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调整</w:t>
      </w:r>
      <w:r>
        <w:rPr>
          <w:rFonts w:hint="eastAsia" w:ascii="Times New Roman" w:hAnsi="Times New Roman" w:eastAsia="方正小标宋_GBK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公共租赁住房租金价格调整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政策解读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、为什么要调整</w:t>
      </w:r>
      <w:r>
        <w:rPr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公共租赁住房租金价格调整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《疏勒县公共租赁住房管理办法（试行）》于2020年6月4日下发，根据《新疆维吾尔自治区行政规范性文件管理办法》第二十九条：“行政规范性文件中应当载明有效期限，有效期限一般不得超过5年。未载明有效期的行政规范性文件，有效期限视为5年。冠以‘试行’‘暂行’的行政规范性文件有效期不得超过2年。法律、法规或者规章另有规定的，从其规定”等相关要求，《疏勒县公共租赁住房管理办法（试行）》为试行版，有效期为2年，目前已超过有效期，需重新进行修订。在修订过程中，《疏勒县公共租赁住房管理办法（试行）》第二十五条涉及租金标准问题，需对租金标准进行调整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为加强对公共租赁住房的管理，保障公平分配，规范运营与使用，</w:t>
      </w: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根据《公共租赁住房管理办法》《政府制定价格成本监审办法》《自治区公租房管理办法（试行）的通知》等文件规定，结合疏勒县实际情况，遵循合法性、合理性、相关性原则，在依法依规对疏勒县公共租赁住房租金价格开展成本监审、召开听证会等程序基础上，制定疏勒县公共租赁住房租金价格调整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</w:t>
      </w: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  <w:t>现执行价格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根据《疏勒县公共租赁住房管理办法</w:t>
      </w:r>
      <w:r>
        <w:rPr>
          <w:rFonts w:hint="eastAsia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试行</w:t>
      </w:r>
      <w:r>
        <w:rPr>
          <w:rFonts w:hint="eastAsia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》（勒政办发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〔20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〕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11号），现执行价格如下。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（一）按照保障对象确定租金标准（租金按照每两年调整一次，以此类推。租金核算：多层按楼层系数计算；高层按照均价5元/平方米</w:t>
      </w:r>
      <w:r>
        <w:rPr>
          <w:rFonts w:hint="eastAsia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月进行计算）：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低保、低收入家庭第一年按均价1元/平方米/月，第三年按均价1.2元/平方米/月进行收取；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中等偏下收入户第一年按均价2元/平方米/月，第三年按均价2.2元/平方米/月进行收取；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新就业无房人员第一年按均价4元/平方米/月，第三年按均价4.5元/平方米/月进行收取；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外来务工人员</w:t>
      </w:r>
      <w:r>
        <w:rPr>
          <w:rFonts w:hint="eastAsia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企业职工、农民工、个体户等</w:t>
      </w:r>
      <w:r>
        <w:rPr>
          <w:rFonts w:hint="eastAsia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第一年按均价4元/平方米/月，第三年按均价4.5元/平方米/月进行收取；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（二）各乡</w:t>
      </w:r>
      <w:r>
        <w:rPr>
          <w:rFonts w:hint="eastAsia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镇</w:t>
      </w:r>
      <w:r>
        <w:rPr>
          <w:rFonts w:hint="eastAsia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、村、 学校所建公共租赁住房，作为乡</w:t>
      </w:r>
      <w:r>
        <w:rPr>
          <w:rFonts w:hint="eastAsia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镇</w:t>
      </w:r>
      <w:r>
        <w:rPr>
          <w:rFonts w:hint="eastAsia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干部、教师周转宿舍使用。各乡</w:t>
      </w:r>
      <w:r>
        <w:rPr>
          <w:rFonts w:hint="eastAsia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镇</w:t>
      </w:r>
      <w:r>
        <w:rPr>
          <w:rFonts w:hint="eastAsia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人民政府对本辖区内，所建公共租赁住房不交纳租金。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（三）山钢生态钢城建设的公共租赁住房，由于位置较远，租金按照均价2元/平方米</w:t>
      </w:r>
      <w:r>
        <w:rPr>
          <w:rFonts w:hint="eastAsia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月进行收取，按照楼层系数进行计算。工业园区</w:t>
      </w:r>
      <w:r>
        <w:rPr>
          <w:rFonts w:hint="eastAsia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新型社区等</w:t>
      </w:r>
      <w:r>
        <w:rPr>
          <w:rFonts w:hint="eastAsia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建设的、租赁的公共租赁住房，由于新型社区等工作性质的特殊性、人员的特殊性，租金按照均价2元/平方米</w:t>
      </w:r>
      <w:r>
        <w:rPr>
          <w:rFonts w:hint="eastAsia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月进行收取，</w:t>
      </w:r>
      <w:r>
        <w:rPr>
          <w:rFonts w:hint="default" w:ascii="Times New Roman" w:hAnsi="Times New Roman" w:eastAsia="方正仿宋简体" w:cs="Times New Roman"/>
          <w:spacing w:val="0"/>
          <w:sz w:val="30"/>
          <w:szCs w:val="30"/>
        </w:rPr>
        <w:t>按照楼层系数进行计算。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疏勒县公共租赁住房</w:t>
      </w:r>
      <w:r>
        <w:rPr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租金价格拟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调整</w:t>
      </w: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spacing w:val="0"/>
          <w:kern w:val="0"/>
          <w:sz w:val="32"/>
          <w:szCs w:val="32"/>
          <w:lang w:val="en-US" w:eastAsia="zh-CN" w:bidi="ar-SA"/>
        </w:rPr>
        <w:t>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. 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县城中心区域公租房租金标准：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翰林世家小区、名都小区、舒乐小区、鲁东小区（98套）、湖畔康城小区、观澜御府小区、博望康城小区、左岸明珠小区、秀丽文苑小区、嘉和美逸小区等小区收费标准：按照均价5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hi-IN"/>
        </w:rPr>
        <w:t>元/平方米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hi-IN"/>
        </w:rPr>
        <w:t>月进行收取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并按照楼层系数进行计算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zh-CN"/>
        </w:rPr>
        <w:t>；低保户按均价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hi-IN"/>
        </w:rPr>
        <w:t>元/平方米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hi-IN"/>
        </w:rPr>
        <w:t>月进行收取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并按照楼层系数进行计算；高层均价按5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hi-IN"/>
        </w:rPr>
        <w:t>元/平方米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hi-IN"/>
        </w:rPr>
        <w:t>月进行收取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 w:right="0" w:rightChars="0"/>
        <w:textAlignment w:val="auto"/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县城周边小区公租房租金标准：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阳光锦苑小区、老保安公司、教育园区等小区按照均价4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hi-IN"/>
        </w:rPr>
        <w:t>元/平方米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hi-IN"/>
        </w:rPr>
        <w:t>月进行收取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并按照楼层系数进行计算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zh-CN"/>
        </w:rPr>
        <w:t>；低保户按均价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hi-IN"/>
        </w:rPr>
        <w:t>元/平方米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hi-IN"/>
        </w:rPr>
        <w:t>月进行收取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并按照楼层系数进行计算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3. 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政法委院内（原幸福路公安局）、东四环路公安局、良种场片区等小区按照均价3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hi-IN"/>
        </w:rPr>
        <w:t>元/平方米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hi-IN"/>
        </w:rPr>
        <w:t>月进行收取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并按照楼层系数进行计算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zh-CN"/>
        </w:rPr>
        <w:t>；低保户按均价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hi-IN"/>
        </w:rPr>
        <w:t>元/平方米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hi-IN"/>
        </w:rPr>
        <w:t>月进行收取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并按照楼层系数进行计算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hi-IN"/>
        </w:rPr>
      </w:pPr>
      <w:r>
        <w:rPr>
          <w:rFonts w:hint="eastAsia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4. 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乡（镇）、村、学校周转房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hi-IN"/>
        </w:rPr>
        <w:t>为了聚焦总目标，营造拴心留人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zh-CN"/>
        </w:rPr>
        <w:t>环境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hi-IN"/>
        </w:rPr>
        <w:t>，并结合自治区开展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hi-IN"/>
        </w:rPr>
        <w:t>访惠聚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zh-CN"/>
        </w:rPr>
        <w:t>”驻村工作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hi-IN"/>
        </w:rPr>
        <w:t>，各乡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hi-IN"/>
        </w:rPr>
        <w:t>镇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hi-IN"/>
        </w:rPr>
        <w:t>、村、学校所建公共租赁住房，作为乡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hi-IN"/>
        </w:rPr>
        <w:t>镇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hi-IN"/>
        </w:rPr>
        <w:t>干部、教师周转宿舍使用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zh-CN"/>
        </w:rPr>
        <w:t>。租金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按照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hi-IN"/>
        </w:rPr>
        <w:t>均价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hi-IN"/>
        </w:rPr>
        <w:t>元/平方米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hi-IN"/>
        </w:rPr>
        <w:t>月进行收取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并按照楼层系数进行计算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运营管理单位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zh-CN"/>
        </w:rPr>
        <w:t>或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hi-IN"/>
        </w:rPr>
        <w:t>各乡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hi-IN"/>
        </w:rPr>
        <w:t>镇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hi-IN"/>
        </w:rPr>
        <w:t>人民政府对本辖区内所建公共租赁住房自行进行维护、管理，保证公共租赁住房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zh-CN"/>
        </w:rPr>
        <w:t>正常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hi-IN"/>
        </w:rPr>
        <w:t>入住。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5. 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hi-IN"/>
        </w:rPr>
        <w:t>山钢生态钢城建设的公共租赁住房，由于位置较远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hi-IN"/>
        </w:rPr>
        <w:t>租金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标准为：园区内企业普通职工多层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hi-IN"/>
        </w:rPr>
        <w:t>均价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2元/平方米/月，企业管理人员多层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hi-IN"/>
        </w:rPr>
        <w:t>均价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3元/平方米/月，多层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hi-IN"/>
        </w:rPr>
        <w:t>按照楼层系数进行计算。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hi-IN"/>
        </w:rPr>
        <w:t>由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运营管理单位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zh-CN"/>
        </w:rPr>
        <w:t>或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hi-IN"/>
        </w:rPr>
        <w:t>工业园区管委会统一进行分配、管理、维护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6. 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新型社区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hi-IN"/>
        </w:rPr>
        <w:t>建设的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公共租赁住房，城南、孵化园区高层、多层等小区，由于新型社区等工作性质的特殊性，人员的特殊性，租金标准为：园区内企业普通职工多层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hi-IN"/>
        </w:rPr>
        <w:t>均价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hi-IN"/>
        </w:rPr>
        <w:t>元/平方米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hi-IN"/>
        </w:rPr>
        <w:t>月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，高层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hi-IN"/>
        </w:rPr>
        <w:t>均价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hi-IN"/>
        </w:rPr>
        <w:t>元/平方米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hi-IN"/>
        </w:rPr>
        <w:t>月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，企业管理人员多层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hi-IN"/>
        </w:rPr>
        <w:t>均价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hi-IN"/>
        </w:rPr>
        <w:t>元/平方米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hi-IN"/>
        </w:rPr>
        <w:t>月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，高层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hi-IN"/>
        </w:rPr>
        <w:t>均价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hi-IN"/>
        </w:rPr>
        <w:t>元/平方米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hi-IN"/>
        </w:rPr>
        <w:t>月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；园区外企业及社会租房群体多层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hi-IN"/>
        </w:rPr>
        <w:t>均价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hi-IN"/>
        </w:rPr>
        <w:t>元/平方米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hi-IN"/>
        </w:rPr>
        <w:t>月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，高层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hi-IN"/>
        </w:rPr>
        <w:t>均价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hi-IN"/>
        </w:rPr>
        <w:t>元/平方米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hi-IN"/>
        </w:rPr>
        <w:t>月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，多层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hi-IN"/>
        </w:rPr>
        <w:t>按照楼层系数进行计算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。由运营管理单位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zh-CN"/>
        </w:rPr>
        <w:t>或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新型社区统一分配、管理、维护。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7. 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对于引进的特殊人才、知识分子、国企高层、拥有全日制本科及以上学历、学位（以毕业证、学位证为准）并在疏勒县就业人员，经组织人事部门、国资委、市场监督管理局、人力资源和社会保障局等相关单位认定后均享受租金按照多层均价2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hi-IN"/>
        </w:rPr>
        <w:t>元/平方米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hi-IN"/>
        </w:rPr>
        <w:t>月进行收取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并按照楼层系数进行计算；高层按照均价5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hi-IN"/>
        </w:rPr>
        <w:t>元/平方米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eastAsia="hi-IN"/>
        </w:rPr>
        <w:t>月进行收取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四、</w:t>
      </w:r>
      <w:r>
        <w:rPr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执行时间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方正仿宋简体" w:cs="Times New Roman"/>
          <w:bCs/>
          <w:color w:val="000000"/>
          <w:kern w:val="2"/>
          <w:sz w:val="32"/>
          <w:szCs w:val="32"/>
          <w:shd w:val="clear" w:color="auto" w:fill="FFFFFF"/>
          <w:lang w:val="en-US" w:eastAsia="hi-IN" w:bidi="ar-SA"/>
        </w:rPr>
      </w:pPr>
      <w:r>
        <w:rPr>
          <w:rFonts w:hint="default" w:ascii="Times New Roman" w:hAnsi="Times New Roman" w:eastAsia="方正仿宋简体" w:cs="Times New Roman"/>
          <w:bCs/>
          <w:color w:val="000000"/>
          <w:kern w:val="2"/>
          <w:sz w:val="32"/>
          <w:szCs w:val="32"/>
          <w:shd w:val="clear" w:color="auto" w:fill="FFFFFF"/>
          <w:lang w:val="en-US" w:eastAsia="hi-IN" w:bidi="ar-SA"/>
        </w:rPr>
        <w:t>从202</w:t>
      </w:r>
      <w:r>
        <w:rPr>
          <w:rFonts w:hint="eastAsia" w:ascii="Times New Roman" w:hAnsi="Times New Roman" w:eastAsia="方正仿宋简体" w:cs="Times New Roman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4</w:t>
      </w:r>
      <w:r>
        <w:rPr>
          <w:rFonts w:hint="default" w:ascii="Times New Roman" w:hAnsi="Times New Roman" w:eastAsia="方正仿宋简体" w:cs="Times New Roman"/>
          <w:bCs/>
          <w:color w:val="000000"/>
          <w:kern w:val="2"/>
          <w:sz w:val="32"/>
          <w:szCs w:val="32"/>
          <w:shd w:val="clear" w:color="auto" w:fill="FFFFFF"/>
          <w:lang w:val="en-US" w:eastAsia="hi-IN" w:bidi="ar-SA"/>
        </w:rPr>
        <w:t>年</w:t>
      </w:r>
      <w:r>
        <w:rPr>
          <w:rFonts w:hint="eastAsia" w:ascii="Times New Roman" w:hAnsi="Times New Roman" w:eastAsia="方正仿宋简体" w:cs="Times New Roman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1</w:t>
      </w:r>
      <w:r>
        <w:rPr>
          <w:rFonts w:hint="default" w:ascii="Times New Roman" w:hAnsi="Times New Roman" w:eastAsia="方正仿宋简体" w:cs="Times New Roman"/>
          <w:bCs/>
          <w:color w:val="000000"/>
          <w:kern w:val="2"/>
          <w:sz w:val="32"/>
          <w:szCs w:val="32"/>
          <w:shd w:val="clear" w:color="auto" w:fill="FFFFFF"/>
          <w:lang w:val="en-US" w:eastAsia="hi-IN" w:bidi="ar-SA"/>
        </w:rPr>
        <w:t>月1日起收费执行</w:t>
      </w:r>
      <w:r>
        <w:rPr>
          <w:rFonts w:hint="eastAsia" w:ascii="Times New Roman" w:hAnsi="Times New Roman" w:eastAsia="方正仿宋简体" w:cs="Times New Roman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，</w:t>
      </w:r>
      <w:r>
        <w:rPr>
          <w:rFonts w:hint="default" w:ascii="Times New Roman" w:hAnsi="Times New Roman" w:eastAsia="方正仿宋简体" w:cs="Times New Roman"/>
          <w:bCs/>
          <w:color w:val="000000"/>
          <w:kern w:val="2"/>
          <w:sz w:val="32"/>
          <w:szCs w:val="32"/>
          <w:shd w:val="clear" w:color="auto" w:fill="FFFFFF"/>
          <w:lang w:val="en-US" w:eastAsia="hi-IN" w:bidi="ar-SA"/>
        </w:rPr>
        <w:t>有效期5年。执行过程中，如遇上级政策调整，从其规定。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right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疏勒县发展和改革委员会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center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  （粮食和物资储备局）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  2023年11月13日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BB8D0B0-A72C-4953-80D6-2F56DA0D38A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1CB3E0AB-2CF6-4D50-8712-3667F652755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7528BC"/>
    <w:multiLevelType w:val="singleLevel"/>
    <w:tmpl w:val="A57528BC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OTk0YjJlYTAxNGI2M2U2YTFhMWUwNDVjNzRjODQifQ=="/>
  </w:docVars>
  <w:rsids>
    <w:rsidRoot w:val="00000000"/>
    <w:rsid w:val="00CC66F4"/>
    <w:rsid w:val="01347A59"/>
    <w:rsid w:val="03F82FC0"/>
    <w:rsid w:val="080D32A4"/>
    <w:rsid w:val="0A454A85"/>
    <w:rsid w:val="0C6311F3"/>
    <w:rsid w:val="0FA27246"/>
    <w:rsid w:val="129E4D32"/>
    <w:rsid w:val="13D604FC"/>
    <w:rsid w:val="160B6BC8"/>
    <w:rsid w:val="18185587"/>
    <w:rsid w:val="18246CC1"/>
    <w:rsid w:val="19573E8D"/>
    <w:rsid w:val="1A9128E5"/>
    <w:rsid w:val="1ACC4B81"/>
    <w:rsid w:val="1CCC6940"/>
    <w:rsid w:val="1DFE0D7B"/>
    <w:rsid w:val="22FF1153"/>
    <w:rsid w:val="23307C29"/>
    <w:rsid w:val="24D323B5"/>
    <w:rsid w:val="26A26E5D"/>
    <w:rsid w:val="29226266"/>
    <w:rsid w:val="2A5C57A7"/>
    <w:rsid w:val="33596D28"/>
    <w:rsid w:val="38D5605C"/>
    <w:rsid w:val="39AB34DF"/>
    <w:rsid w:val="3D402D06"/>
    <w:rsid w:val="45BE5E98"/>
    <w:rsid w:val="45E85CE9"/>
    <w:rsid w:val="45F72E96"/>
    <w:rsid w:val="4739279E"/>
    <w:rsid w:val="47D77955"/>
    <w:rsid w:val="48C90054"/>
    <w:rsid w:val="494C2A5E"/>
    <w:rsid w:val="4F1F7716"/>
    <w:rsid w:val="4F3D5F79"/>
    <w:rsid w:val="50971CFC"/>
    <w:rsid w:val="538C05FC"/>
    <w:rsid w:val="55C220B3"/>
    <w:rsid w:val="578F7385"/>
    <w:rsid w:val="58FC3B2E"/>
    <w:rsid w:val="5A1F51DD"/>
    <w:rsid w:val="5A3D43E1"/>
    <w:rsid w:val="5BF316E9"/>
    <w:rsid w:val="5C036F81"/>
    <w:rsid w:val="5C624F92"/>
    <w:rsid w:val="626A6EB3"/>
    <w:rsid w:val="67B4300E"/>
    <w:rsid w:val="6A796005"/>
    <w:rsid w:val="6BF5367A"/>
    <w:rsid w:val="6CFC1EF7"/>
    <w:rsid w:val="6D9E4D5C"/>
    <w:rsid w:val="6FCF38F2"/>
    <w:rsid w:val="708B5A6B"/>
    <w:rsid w:val="71AF7537"/>
    <w:rsid w:val="71BE0EB7"/>
    <w:rsid w:val="71C46F2D"/>
    <w:rsid w:val="74A70ED5"/>
    <w:rsid w:val="78964FAD"/>
    <w:rsid w:val="79927E6B"/>
    <w:rsid w:val="7B775E25"/>
    <w:rsid w:val="7CA2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uppressAutoHyphens/>
      <w:overflowPunct w:val="0"/>
      <w:topLinePunct/>
      <w:adjustRightInd w:val="0"/>
      <w:snapToGrid w:val="0"/>
      <w:spacing w:beforeLines="50" w:after="100" w:afterAutospacing="1" w:line="360" w:lineRule="auto"/>
      <w:ind w:firstLine="640" w:firstLineChars="200"/>
      <w:jc w:val="left"/>
      <w:outlineLvl w:val="1"/>
    </w:pPr>
    <w:rPr>
      <w:rFonts w:ascii="楷体_GB2312" w:hAnsi="楷体" w:eastAsia="楷体_GB2312"/>
      <w:bCs/>
      <w:kern w:val="0"/>
      <w:sz w:val="32"/>
      <w:szCs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1973</Words>
  <Characters>2083</Characters>
  <Lines>0</Lines>
  <Paragraphs>0</Paragraphs>
  <TotalTime>2</TotalTime>
  <ScaleCrop>false</ScaleCrop>
  <LinksUpToDate>false</LinksUpToDate>
  <CharactersWithSpaces>2135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2022-07-27T04:09:00Z</dcterms:created>
  <dc:creator>Administrator</dc:creator>
  <cp:lastModifiedBy>ablimit</cp:lastModifiedBy>
  <dcterms:modified xsi:type="dcterms:W3CDTF">2023-11-16T11:42:21Z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07120BFDA2BF45F7AFD0454E300E5E2C_13</vt:lpwstr>
  </property>
</Properties>
</file>