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新疆喀什地区中共疏勒县委员会党校2021年度部门决算公开说明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（一）宣传和研究马克思主义、毛泽东思想、邓小平理论、“三个代表”重要思想、科学发展观、习近平新时代中国特色社会主义思想和马克思主义中国化最新理论成果。宣传和研究党的路线、方针、政策。</w:t>
      </w:r>
      <w:r>
        <w:rPr>
          <w:rFonts w:ascii="仿宋_GB2312" w:eastAsia="仿宋_GB2312"/>
          <w:sz w:val="32"/>
          <w:szCs w:val="32"/>
        </w:rPr>
        <w:br w:type="textWrapping"/>
      </w:r>
      <w:r>
        <w:rPr>
          <w:rFonts w:ascii="仿宋_GB2312" w:eastAsia="仿宋_GB2312"/>
          <w:sz w:val="32"/>
          <w:szCs w:val="32"/>
        </w:rPr>
        <w:t>　　（二）负责实施县委下达的干部培训轮训计划。负责全县机关公务员培训轮训工作。过有计划地培训，提高学员用马克思主义立场、观点、方法观察和处理问题的能力;结合新的形势，提高学员的政治思想观念和科学文化水平，增强党性，进一步发挥先锋模范作用。党校还承担着党的建设理论的研究，以及对党组织和党员状况的调查研究等任务。承办县委、县政府举办的专题研讨班。</w:t>
      </w:r>
      <w:r>
        <w:rPr>
          <w:rFonts w:ascii="仿宋_GB2312" w:eastAsia="仿宋_GB2312"/>
          <w:sz w:val="32"/>
          <w:szCs w:val="32"/>
        </w:rPr>
        <w:br w:type="textWrapping"/>
      </w:r>
      <w:r>
        <w:rPr>
          <w:rFonts w:ascii="仿宋_GB2312" w:eastAsia="仿宋_GB2312"/>
          <w:sz w:val="32"/>
          <w:szCs w:val="32"/>
        </w:rPr>
        <w:t>　　（三）受委托，承担共青团干部、妇女干部、村干部、党员和入党积极分子的培训工作。</w:t>
      </w:r>
      <w:r>
        <w:rPr>
          <w:rFonts w:ascii="仿宋_GB2312" w:eastAsia="仿宋_GB2312"/>
          <w:sz w:val="32"/>
          <w:szCs w:val="32"/>
        </w:rPr>
        <w:br w:type="textWrapping"/>
      </w:r>
      <w:r>
        <w:rPr>
          <w:rFonts w:ascii="仿宋_GB2312" w:eastAsia="仿宋_GB2312"/>
          <w:sz w:val="32"/>
          <w:szCs w:val="32"/>
        </w:rPr>
        <w:t>　　（四）会同组织人社部门，对学员在校期间的学习和党性锻炼情况进行考核、考察和评价，提出使用建议。</w:t>
      </w:r>
      <w:r>
        <w:rPr>
          <w:rFonts w:ascii="仿宋_GB2312" w:eastAsia="仿宋_GB2312"/>
          <w:sz w:val="32"/>
          <w:szCs w:val="32"/>
        </w:rPr>
        <w:br w:type="textWrapping"/>
      </w:r>
      <w:r>
        <w:rPr>
          <w:rFonts w:ascii="仿宋_GB2312" w:eastAsia="仿宋_GB2312"/>
          <w:sz w:val="32"/>
          <w:szCs w:val="32"/>
        </w:rPr>
        <w:t>　　（五）围绕县委、县政府的中心工作开展调查研究，为县委、县政府提供决策咨询服务。</w:t>
      </w:r>
      <w:r>
        <w:rPr>
          <w:rFonts w:ascii="仿宋_GB2312" w:eastAsia="仿宋_GB2312"/>
          <w:sz w:val="32"/>
          <w:szCs w:val="32"/>
        </w:rPr>
        <w:br w:type="textWrapping"/>
      </w:r>
      <w:r>
        <w:rPr>
          <w:rFonts w:ascii="仿宋_GB2312" w:eastAsia="仿宋_GB2312"/>
          <w:sz w:val="32"/>
          <w:szCs w:val="32"/>
        </w:rPr>
        <w:t>　　（六）组织开展中华文化教育、研究和对外交流，开展同其他教育研究机构的合作交流。</w:t>
      </w:r>
      <w:r>
        <w:rPr>
          <w:rFonts w:ascii="仿宋_GB2312" w:eastAsia="仿宋_GB2312"/>
          <w:sz w:val="32"/>
          <w:szCs w:val="32"/>
        </w:rPr>
        <w:br w:type="textWrapping"/>
      </w:r>
      <w:r>
        <w:rPr>
          <w:rFonts w:ascii="仿宋_GB2312" w:eastAsia="仿宋_GB2312"/>
          <w:sz w:val="32"/>
          <w:szCs w:val="32"/>
        </w:rPr>
        <w:t>　　（七）完成县委、县政府交办的其他工作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新疆喀什地区中共疏勒县委员会党校</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30</w:t>
      </w:r>
      <w:r>
        <w:rPr>
          <w:rFonts w:hint="eastAsia" w:ascii="仿宋_GB2312" w:eastAsia="仿宋_GB2312"/>
          <w:sz w:val="32"/>
          <w:szCs w:val="32"/>
        </w:rPr>
        <w:t>人，其中：在职人员</w:t>
      </w:r>
      <w:r>
        <w:rPr>
          <w:rFonts w:ascii="仿宋_GB2312" w:eastAsia="仿宋_GB2312"/>
          <w:sz w:val="32"/>
          <w:szCs w:val="32"/>
        </w:rPr>
        <w:t>23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7</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从部门决算单位构成看，新疆喀什地区中共疏勒县委员会党校部门决算包括：新疆喀什地区中共疏勒县委员会党校决算。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个处室，分别是：办公室、财务室</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444.58</w:t>
      </w:r>
      <w:r>
        <w:rPr>
          <w:rFonts w:hint="eastAsia" w:ascii="仿宋_GB2312" w:eastAsia="仿宋_GB2312"/>
          <w:sz w:val="32"/>
          <w:szCs w:val="32"/>
        </w:rPr>
        <w:t>万元，与上年相比，减少9.43万元，</w:t>
      </w:r>
      <w:r>
        <w:rPr>
          <w:rFonts w:ascii="仿宋_GB2312" w:eastAsia="仿宋_GB2312"/>
          <w:sz w:val="32"/>
          <w:szCs w:val="32"/>
        </w:rPr>
        <w:t>降低2.08</w:t>
      </w:r>
      <w:r>
        <w:rPr>
          <w:rFonts w:hint="eastAsia" w:ascii="仿宋_GB2312" w:eastAsia="仿宋_GB2312"/>
          <w:sz w:val="32"/>
          <w:szCs w:val="32"/>
        </w:rPr>
        <w:t>%，主要原因是：根据县委、县政府的工作调整和工作安排，对我单位进行了人员调出，以及有1人退休，导致人员工资、福利类经费减少。本年支出</w:t>
      </w:r>
      <w:r>
        <w:rPr>
          <w:rFonts w:ascii="仿宋_GB2312" w:eastAsia="仿宋_GB2312"/>
          <w:sz w:val="32"/>
          <w:szCs w:val="32"/>
        </w:rPr>
        <w:t>444.58</w:t>
      </w:r>
      <w:r>
        <w:rPr>
          <w:rFonts w:hint="eastAsia" w:ascii="仿宋_GB2312" w:eastAsia="仿宋_GB2312"/>
          <w:sz w:val="32"/>
          <w:szCs w:val="32"/>
        </w:rPr>
        <w:t>万元，与上年相比，</w:t>
      </w:r>
      <w:r>
        <w:rPr>
          <w:rFonts w:ascii="仿宋_GB2312" w:eastAsia="仿宋_GB2312"/>
          <w:sz w:val="32"/>
          <w:szCs w:val="32"/>
        </w:rPr>
        <w:t>减少9.43</w:t>
      </w:r>
      <w:r>
        <w:rPr>
          <w:rFonts w:hint="eastAsia" w:ascii="仿宋_GB2312" w:eastAsia="仿宋_GB2312"/>
          <w:sz w:val="32"/>
          <w:szCs w:val="32"/>
        </w:rPr>
        <w:t>万元，</w:t>
      </w:r>
      <w:r>
        <w:rPr>
          <w:rFonts w:ascii="仿宋_GB2312" w:eastAsia="仿宋_GB2312"/>
          <w:sz w:val="32"/>
          <w:szCs w:val="32"/>
        </w:rPr>
        <w:t>降低2.08</w:t>
      </w:r>
      <w:r>
        <w:rPr>
          <w:rFonts w:hint="eastAsia" w:ascii="仿宋_GB2312" w:eastAsia="仿宋_GB2312"/>
          <w:sz w:val="32"/>
          <w:szCs w:val="32"/>
        </w:rPr>
        <w:t>%，主要原因是：根据县委、县政府的工作调整和工作安排，对我单位进行了人员调出，以及有1人退休，导致人员工资、福利类经费减少。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444.58</w:t>
      </w:r>
      <w:r>
        <w:rPr>
          <w:rFonts w:hint="eastAsia" w:ascii="仿宋_GB2312" w:eastAsia="仿宋_GB2312"/>
          <w:sz w:val="32"/>
          <w:szCs w:val="32"/>
        </w:rPr>
        <w:t>万元，其中：财政拨款收入</w:t>
      </w:r>
      <w:r>
        <w:rPr>
          <w:rFonts w:ascii="仿宋_GB2312" w:eastAsia="仿宋_GB2312"/>
          <w:sz w:val="32"/>
          <w:szCs w:val="32"/>
        </w:rPr>
        <w:t>444.58</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年度本年支出444.58万元，其中：基本支出</w:t>
      </w:r>
      <w:r>
        <w:rPr>
          <w:rFonts w:ascii="仿宋_GB2312" w:eastAsia="仿宋_GB2312"/>
          <w:sz w:val="32"/>
          <w:szCs w:val="32"/>
        </w:rPr>
        <w:t>385.20</w:t>
      </w:r>
      <w:r>
        <w:rPr>
          <w:rFonts w:hint="eastAsia" w:ascii="仿宋_GB2312" w:eastAsia="仿宋_GB2312"/>
          <w:sz w:val="32"/>
          <w:szCs w:val="32"/>
        </w:rPr>
        <w:t>万元，占86.64%；项目支出</w:t>
      </w:r>
      <w:r>
        <w:rPr>
          <w:rFonts w:ascii="仿宋_GB2312" w:eastAsia="仿宋_GB2312"/>
          <w:sz w:val="32"/>
          <w:szCs w:val="32"/>
        </w:rPr>
        <w:t>59.39</w:t>
      </w:r>
      <w:r>
        <w:rPr>
          <w:rFonts w:hint="eastAsia" w:ascii="仿宋_GB2312" w:eastAsia="仿宋_GB2312"/>
          <w:sz w:val="32"/>
          <w:szCs w:val="32"/>
        </w:rPr>
        <w:t>万元，占13.36%；上缴上级支出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444.58万元，与上年相比，减少9.43万元，降低2.08%，主要原因是：根据县委、县政府的工作调整和工作安排，我单位有人员调出，以及有1人退休，导致人员工资、福利类经费减少，日常公用经费减少。财政拨款支出444.58万元，与上年相比，减少9.43万元，降低2.08%，主要原因是：根据县委、县政府的工作调整和工作安排，我单位有人员调出，以及有1人退休，导致人员工资、福利类经费减少，日常公用经费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460.62</w:t>
      </w:r>
      <w:r>
        <w:rPr>
          <w:rFonts w:hint="eastAsia" w:ascii="仿宋_GB2312" w:eastAsia="仿宋_GB2312"/>
          <w:sz w:val="32"/>
          <w:szCs w:val="32"/>
        </w:rPr>
        <w:t>万元，决算数</w:t>
      </w:r>
      <w:r>
        <w:rPr>
          <w:rFonts w:ascii="仿宋_GB2312" w:eastAsia="仿宋_GB2312"/>
          <w:sz w:val="32"/>
          <w:szCs w:val="32"/>
        </w:rPr>
        <w:t>444.58</w:t>
      </w:r>
      <w:r>
        <w:rPr>
          <w:rFonts w:hint="eastAsia" w:ascii="仿宋_GB2312" w:eastAsia="仿宋_GB2312"/>
          <w:sz w:val="32"/>
          <w:szCs w:val="32"/>
        </w:rPr>
        <w:t>万元，预决算差异率</w:t>
      </w:r>
      <w:r>
        <w:rPr>
          <w:rFonts w:ascii="仿宋_GB2312" w:eastAsia="仿宋_GB2312"/>
          <w:sz w:val="32"/>
          <w:szCs w:val="32"/>
        </w:rPr>
        <w:t>-3.48</w:t>
      </w:r>
      <w:r>
        <w:rPr>
          <w:rFonts w:hint="eastAsia" w:ascii="仿宋_GB2312" w:eastAsia="仿宋_GB2312"/>
          <w:sz w:val="32"/>
          <w:szCs w:val="32"/>
        </w:rPr>
        <w:t>%，主要原因是：落实过紧日子要求，我单位厉行节约，我单位日常公用经费减少，以及根据县委、县政府的工作调整和安排，我单位有人员调出，以及有1人退休，导致人员工资、福利类支出经费减少。财政拨款支出年初预算数</w:t>
      </w:r>
      <w:r>
        <w:rPr>
          <w:rFonts w:ascii="仿宋_GB2312" w:eastAsia="仿宋_GB2312"/>
          <w:sz w:val="32"/>
          <w:szCs w:val="32"/>
        </w:rPr>
        <w:t>460.62</w:t>
      </w:r>
      <w:r>
        <w:rPr>
          <w:rFonts w:hint="eastAsia" w:ascii="仿宋_GB2312" w:eastAsia="仿宋_GB2312"/>
          <w:sz w:val="32"/>
          <w:szCs w:val="32"/>
        </w:rPr>
        <w:t>万元，决算数</w:t>
      </w:r>
      <w:r>
        <w:rPr>
          <w:rFonts w:ascii="仿宋_GB2312" w:eastAsia="仿宋_GB2312"/>
          <w:sz w:val="32"/>
          <w:szCs w:val="32"/>
        </w:rPr>
        <w:t>444.58</w:t>
      </w:r>
      <w:r>
        <w:rPr>
          <w:rFonts w:hint="eastAsia" w:ascii="仿宋_GB2312" w:eastAsia="仿宋_GB2312"/>
          <w:sz w:val="32"/>
          <w:szCs w:val="32"/>
        </w:rPr>
        <w:t>万元，预决算差异率-3.48%，主要原因是：落实过紧日子要求，我单位厉行节约，我单位日常公用经费减少，以及根据县委、县政府的工作调整和安排，我单位有人员调出，以及有1人退休，导致人员工资、福利类支出经费减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年度一般公共预算财政拨款支出444.58万元。按功能分类科目项级科目公开，其中：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2050802干部教育322.06万元；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2050899其他进修及培训30.00万元；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2080505机关事业单位基本养老保险缴费支出35.99万元；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2210201住房公积金27.14万元；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2299999其他支出29.39万元。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385.20</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377.04</w:t>
      </w:r>
      <w:r>
        <w:rPr>
          <w:rFonts w:hint="eastAsia" w:ascii="仿宋_GB2312" w:eastAsia="仿宋_GB2312"/>
          <w:sz w:val="32"/>
          <w:szCs w:val="32"/>
        </w:rPr>
        <w:t>万元，包括：基本工资、津贴补贴、奖金、绩效工资、机关事业单位基本养老保险缴费、职工基本医疗保险缴费、公务员医疗补助缴费、其他社会保障缴费、住房公积金、其他工资福利支出、退休费、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公用经费8.16万元，包括：办公费、手续费、水费、电费、物业管理费、维修（护）费、劳务费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减少0.86万元，降低100.00%，主要原因是：落实过紧日子要求，厉行节约，我单位本年没有“三公”经费支出。其中：因公出国（境）费支出0.00万元，占0.00%，比上年增加0.00万元，增长0.00%，主要原因是：我单位无因公出国（境）费；公务用车购置及运行维护费支出0.00万元，占0.00%，比上年减少0.86万元，降低100.00%，主要原因是：落实过紧日子要求，厉行节约，本单位公务用车一直被县委组织部借用，公务用车各项费用由组织部来承担，因此我单位本年没有“公务用车运行维护费”支出；公务接待费支出0.00万元，占0.00%，比上年增加0.00万元，增长0.00%，主要原因是：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与年初预算数相比情况：一般公共预算“三公”经费支出年初预算数0.82万元，决算数</w:t>
      </w:r>
      <w:r>
        <w:rPr>
          <w:rFonts w:ascii="仿宋_GB2312" w:eastAsia="仿宋_GB2312"/>
          <w:sz w:val="32"/>
          <w:szCs w:val="32"/>
        </w:rPr>
        <w:t>0.00</w:t>
      </w:r>
      <w:r>
        <w:rPr>
          <w:rFonts w:hint="eastAsia" w:ascii="仿宋_GB2312" w:eastAsia="仿宋_GB2312"/>
          <w:sz w:val="32"/>
          <w:szCs w:val="32"/>
        </w:rPr>
        <w:t>万元，预决算差异率-100.00%，主要原因是：落实过紧日子要求，我单位厉行节约，本单位公务用车被县委组织部借用，公务用车各项费用由组织部来承担，因此我单位本年没有“三公”经费支出。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0.82万元，决算数0.00万元，预决算差异率-100.00%，主要原因是：落实过紧日子要求，我单位厉行节约，本单位公务用车被县委组织部借用，公务用车各项费用由组织部来承担，因此我单位本年没有公务用车运行维护费支出；</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我单位本年度无政府性基金预算财政拨款收入支出，政府性基金预算财政拨款收入支出决算表为空表。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2021年度新疆喀什地区中共疏勒县委员会党校（事业单位）公用经费8.16万元，比上年减少25.78万元，降低75.96%，主要原因是：我单位合并办公，精简节约，日常办公用品耗材减少，导致公用经费减少。</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11,174.44</w:t>
      </w:r>
      <w:r>
        <w:rPr>
          <w:rFonts w:hint="eastAsia" w:ascii="仿宋_GB2312" w:eastAsia="仿宋_GB2312"/>
          <w:sz w:val="32"/>
          <w:szCs w:val="32"/>
        </w:rPr>
        <w:t>（平方米），价值</w:t>
      </w:r>
      <w:r>
        <w:rPr>
          <w:rFonts w:ascii="仿宋_GB2312" w:eastAsia="仿宋_GB2312"/>
          <w:sz w:val="32"/>
          <w:szCs w:val="32"/>
        </w:rPr>
        <w:t>1,745.36</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13.18</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w:t>
      </w:r>
      <w:r>
        <w:rPr>
          <w:rFonts w:hint="eastAsia" w:ascii="仿宋_GB2312" w:eastAsia="仿宋_GB2312"/>
          <w:sz w:val="32"/>
          <w:szCs w:val="32"/>
          <w:lang w:eastAsia="zh-CN"/>
        </w:rPr>
        <w:t>业务</w:t>
      </w:r>
      <w:r>
        <w:rPr>
          <w:rFonts w:hint="eastAsia" w:ascii="仿宋_GB2312" w:eastAsia="仿宋_GB2312"/>
          <w:sz w:val="32"/>
          <w:szCs w:val="32"/>
        </w:rPr>
        <w:t>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bookmarkStart w:id="54" w:name="_GoBack"/>
      <w:bookmarkEnd w:id="54"/>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30万元。预算绩效管理取得的成效：一是进一步落实预算部门、项目实施单位在预算绩效目标管理中的主体责任；二是预算部门是本部门预算绩效目标管理的责任主体，结合本单位主要工作和单位的项目绩效目标为重点，科学制定计划，做到横向到边、纵向到底，以点带面，全面推进；三是项目实施完毕后从而改善党校教学环境。发现的问题及原因：一是绩效管理评价需要的项目基本资料不全，主要反应在缺少可研和实施方案，或者说没有及时编制可研究和实施方案，导致年底绩效评价依据不足，因此绩效目标和绩效自评报告质量无法提升。二是财务人员大多是兼职工作人员，即使是专职财务人员，推进绩效管理既缺乏工作经验也缺乏专业技能，难以做到程序规范、管理科学和绩效显著。三是人员力量不足，同时，既没有现成的经验可供借鉴，又缺乏专业性很强的技能储备，只能是边工作、边学习、边积累，短期内很多工作只能停留在表面，难以深入推进。下一步改进措施：一是组织我单位工作人员学习预算绩效管理的法律法规、规范要求，让绩效理念深入人心、让绩效管理人员熟知政策、知行合一；二是适时组织预算单位主要领导、分管负责人以及具体工作人员的培训教育，及时为单位开展绩效管理提供政策理论和专业操作技术指导，促进单位绩效管理整体上台阶。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2315D"/>
    <w:rsid w:val="00464FAC"/>
    <w:rsid w:val="00480271"/>
    <w:rsid w:val="00487954"/>
    <w:rsid w:val="00495F92"/>
    <w:rsid w:val="004971F0"/>
    <w:rsid w:val="004B241A"/>
    <w:rsid w:val="004B2827"/>
    <w:rsid w:val="004B4550"/>
    <w:rsid w:val="004C036C"/>
    <w:rsid w:val="004C7698"/>
    <w:rsid w:val="004D5A4F"/>
    <w:rsid w:val="004D7C6E"/>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83091"/>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14C3D"/>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BEC791E"/>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Char"/>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47613-A833-4C87-A71E-48DF28B0C50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1012</Words>
  <Characters>5772</Characters>
  <Lines>48</Lines>
  <Paragraphs>13</Paragraphs>
  <TotalTime>22</TotalTime>
  <ScaleCrop>false</ScaleCrop>
  <LinksUpToDate>false</LinksUpToDate>
  <CharactersWithSpaces>6771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2023-08-15T12:29:57Z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