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新疆喀什地区疏勒县委宣传部2021年度部门决算公开说明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bookmarkStart w:id="3" w:name="_Hlk9780704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4" w:name="_Toc30738"/>
      <w:bookmarkStart w:id="5" w:name="_Toc30567"/>
      <w:r>
        <w:rPr>
          <w:rFonts w:hint="eastAsia" w:ascii="黑体" w:hAnsi="黑体" w:eastAsia="黑体" w:cs="宋体"/>
          <w:bCs/>
          <w:kern w:val="0"/>
          <w:sz w:val="32"/>
          <w:szCs w:val="32"/>
        </w:rPr>
        <w:t>一、主要职能</w:t>
      </w:r>
      <w:bookmarkEnd w:id="4"/>
      <w:bookmarkEnd w:id="5"/>
    </w:p>
    <w:p>
      <w:pPr>
        <w:rPr>
          <w:rFonts w:ascii="仿宋_GB2312" w:eastAsia="仿宋_GB2312"/>
          <w:sz w:val="32"/>
          <w:szCs w:val="32"/>
        </w:rPr>
      </w:pPr>
      <w:r>
        <w:rPr>
          <w:rFonts w:ascii="仿宋_GB2312" w:eastAsia="仿宋_GB2312"/>
          <w:sz w:val="32"/>
          <w:szCs w:val="32"/>
        </w:rPr>
        <w:t>　　（1）拟定全县宣传思想工作总体发展规划，按照县委统一部署，协调宣传系统各部门之间的工作，负责全县宣传思想工作的指导和监督检查，负责规划组织领导全县思想政治工作，会同有关部门研究和改进群众思想教育工作，及时向县委反映重要情况，提出建议。</w:t>
      </w:r>
      <w:r>
        <w:rPr>
          <w:rFonts w:ascii="仿宋_GB2312" w:eastAsia="仿宋_GB2312"/>
          <w:sz w:val="32"/>
          <w:szCs w:val="32"/>
        </w:rPr>
        <w:br w:type="textWrapping"/>
      </w:r>
      <w:r>
        <w:rPr>
          <w:rFonts w:ascii="仿宋_GB2312" w:eastAsia="仿宋_GB2312"/>
          <w:sz w:val="32"/>
          <w:szCs w:val="32"/>
        </w:rPr>
        <w:t>　　（2）统筹协调党的意识形态工作，贯彻落实县委关于意识形态工作的决策部署。</w:t>
      </w:r>
      <w:r>
        <w:rPr>
          <w:rFonts w:ascii="仿宋_GB2312" w:eastAsia="仿宋_GB2312"/>
          <w:sz w:val="32"/>
          <w:szCs w:val="32"/>
        </w:rPr>
        <w:br w:type="textWrapping"/>
      </w:r>
      <w:r>
        <w:rPr>
          <w:rFonts w:ascii="仿宋_GB2312" w:eastAsia="仿宋_GB2312"/>
          <w:sz w:val="32"/>
          <w:szCs w:val="32"/>
        </w:rPr>
        <w:t>　　（3）统筹指导协调全县理论研究、理论学习、理论宣传工作，组织推动理论武装工作，配合县委组织部做好党员教育工作。</w:t>
      </w:r>
      <w:r>
        <w:rPr>
          <w:rFonts w:ascii="仿宋_GB2312" w:eastAsia="仿宋_GB2312"/>
          <w:sz w:val="32"/>
          <w:szCs w:val="32"/>
        </w:rPr>
        <w:br w:type="textWrapping"/>
      </w:r>
      <w:r>
        <w:rPr>
          <w:rFonts w:ascii="仿宋_GB2312" w:eastAsia="仿宋_GB2312"/>
          <w:sz w:val="32"/>
          <w:szCs w:val="32"/>
        </w:rPr>
        <w:t>　　（4）统筹分析研判和引导社会舆论，指导协调新闻单位工作，负责宣传舆情和内容的分析监管。</w:t>
      </w:r>
      <w:r>
        <w:rPr>
          <w:rFonts w:ascii="仿宋_GB2312" w:eastAsia="仿宋_GB2312"/>
          <w:sz w:val="32"/>
          <w:szCs w:val="32"/>
        </w:rPr>
        <w:br w:type="textWrapping"/>
      </w:r>
      <w:r>
        <w:rPr>
          <w:rFonts w:ascii="仿宋_GB2312" w:eastAsia="仿宋_GB2312"/>
          <w:sz w:val="32"/>
          <w:szCs w:val="32"/>
        </w:rPr>
        <w:t>　　（5）统筹指导协调互联网宣传和信息内容管理工作。统筹协调数字新媒体的建设和管理相关工作。</w:t>
      </w:r>
      <w:r>
        <w:rPr>
          <w:rFonts w:ascii="仿宋_GB2312" w:eastAsia="仿宋_GB2312"/>
          <w:sz w:val="32"/>
          <w:szCs w:val="32"/>
        </w:rPr>
        <w:br w:type="textWrapping"/>
      </w:r>
      <w:r>
        <w:rPr>
          <w:rFonts w:ascii="仿宋_GB2312" w:eastAsia="仿宋_GB2312"/>
          <w:sz w:val="32"/>
          <w:szCs w:val="32"/>
        </w:rPr>
        <w:t>　　（6）负责新闻出版业的管理政策督促落实，管理新闻出版行政事务，组织协调有关行政审批工作，统筹规划和指导调新闻出版事业、产业发展，监督管理印刷业，管理著作权，组织指导协调“扫黄打非”工作。</w:t>
      </w:r>
      <w:r>
        <w:rPr>
          <w:rFonts w:ascii="仿宋_GB2312" w:eastAsia="仿宋_GB2312"/>
          <w:sz w:val="32"/>
          <w:szCs w:val="32"/>
        </w:rPr>
        <w:br w:type="textWrapping"/>
      </w:r>
      <w:r>
        <w:rPr>
          <w:rFonts w:ascii="仿宋_GB2312" w:eastAsia="仿宋_GB2312"/>
          <w:sz w:val="32"/>
          <w:szCs w:val="32"/>
        </w:rPr>
        <w:t>　　（7）负责组织实施县精神文明建设规划、协调、指导、创建工作，负责规划和统筹协调县未成年人思想道德建设工作。</w:t>
      </w:r>
      <w:r>
        <w:rPr>
          <w:rFonts w:ascii="仿宋_GB2312" w:eastAsia="仿宋_GB2312"/>
          <w:sz w:val="32"/>
          <w:szCs w:val="32"/>
        </w:rPr>
        <w:br w:type="textWrapping"/>
      </w:r>
      <w:r>
        <w:rPr>
          <w:rFonts w:ascii="仿宋_GB2312" w:eastAsia="仿宋_GB2312"/>
          <w:sz w:val="32"/>
          <w:szCs w:val="32"/>
        </w:rPr>
        <w:t>　　（8）负责电影行政事务，指导监管电影制片、发行、放映工作，组织对电影内容进行审查，指导协调全县性重大电影活动，承担对外合作制片、输出输入影片的合作交流等。</w:t>
      </w:r>
      <w:r>
        <w:rPr>
          <w:rFonts w:ascii="仿宋_GB2312" w:eastAsia="仿宋_GB2312"/>
          <w:sz w:val="32"/>
          <w:szCs w:val="32"/>
        </w:rPr>
        <w:br w:type="textWrapping"/>
      </w:r>
      <w:r>
        <w:rPr>
          <w:rFonts w:ascii="仿宋_GB2312" w:eastAsia="仿宋_GB2312"/>
          <w:sz w:val="32"/>
          <w:szCs w:val="32"/>
        </w:rPr>
        <w:t>　　（9）统筹协调对外宣传工作，指导协调有关部门研究协拟订对外宣传总体规划。会同有关部门组织涉疆方面的对外宣传和舆论斗争工作，做好境内外来访记者采访事务方面的工作。</w:t>
      </w:r>
      <w:r>
        <w:rPr>
          <w:rFonts w:ascii="仿宋_GB2312" w:eastAsia="仿宋_GB2312"/>
          <w:sz w:val="32"/>
          <w:szCs w:val="32"/>
        </w:rPr>
        <w:br w:type="textWrapping"/>
      </w:r>
      <w:r>
        <w:rPr>
          <w:rFonts w:ascii="仿宋_GB2312" w:eastAsia="仿宋_GB2312"/>
          <w:sz w:val="32"/>
          <w:szCs w:val="32"/>
        </w:rPr>
        <w:t>　　（10）统筹协调组织开展新闻发布工作，推动新闻发言人制度建设。组织突发公共事件应急新闻工作。</w:t>
      </w:r>
      <w:r>
        <w:rPr>
          <w:rFonts w:ascii="仿宋_GB2312" w:eastAsia="仿宋_GB2312"/>
          <w:sz w:val="32"/>
          <w:szCs w:val="32"/>
        </w:rPr>
        <w:br w:type="textWrapping"/>
      </w:r>
      <w:r>
        <w:rPr>
          <w:rFonts w:ascii="仿宋_GB2312" w:eastAsia="仿宋_GB2312"/>
          <w:sz w:val="32"/>
          <w:szCs w:val="32"/>
        </w:rPr>
        <w:t>　　（11）受的任免提出建议；负责组织开展宣传思想系统干部教育培县委委托，指导宣传思想等部门的领导班子建设，对乡镇党委宣传委员训和人才工作。协调宣传系统事业单位专业技术称职评审工作。</w:t>
      </w:r>
      <w:r>
        <w:rPr>
          <w:rFonts w:ascii="仿宋_GB2312" w:eastAsia="仿宋_GB2312"/>
          <w:sz w:val="32"/>
          <w:szCs w:val="32"/>
        </w:rPr>
        <w:br w:type="textWrapping"/>
      </w:r>
      <w:r>
        <w:rPr>
          <w:rFonts w:ascii="仿宋_GB2312" w:eastAsia="仿宋_GB2312"/>
          <w:sz w:val="32"/>
          <w:szCs w:val="32"/>
        </w:rPr>
        <w:t>　　（12）完成县委交办的其他任务</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6" w:name="_Toc31238"/>
      <w:bookmarkStart w:id="7" w:name="_Toc2151"/>
      <w:r>
        <w:rPr>
          <w:rFonts w:hint="eastAsia" w:ascii="黑体" w:hAnsi="黑体" w:eastAsia="黑体" w:cs="宋体"/>
          <w:bCs/>
          <w:kern w:val="0"/>
          <w:sz w:val="32"/>
          <w:szCs w:val="32"/>
        </w:rPr>
        <w:t>二、机构设置及</w:t>
      </w:r>
      <w:bookmarkEnd w:id="6"/>
      <w:r>
        <w:rPr>
          <w:rFonts w:hint="eastAsia" w:ascii="黑体" w:hAnsi="黑体" w:eastAsia="黑体" w:cs="宋体"/>
          <w:bCs/>
          <w:kern w:val="0"/>
          <w:sz w:val="32"/>
          <w:szCs w:val="32"/>
        </w:rPr>
        <w:t>人员情况</w:t>
      </w:r>
      <w:bookmarkEnd w:id="7"/>
    </w:p>
    <w:p>
      <w:pPr>
        <w:ind w:firstLine="640" w:firstLineChars="200"/>
        <w:rPr>
          <w:rFonts w:ascii="仿宋_GB2312" w:eastAsia="仿宋_GB2312"/>
          <w:sz w:val="32"/>
          <w:szCs w:val="32"/>
        </w:rPr>
      </w:pPr>
      <w:r>
        <w:rPr>
          <w:rFonts w:hint="eastAsia" w:ascii="仿宋_GB2312" w:eastAsia="仿宋_GB2312"/>
          <w:sz w:val="32"/>
          <w:szCs w:val="32"/>
        </w:rPr>
        <w:t>新疆喀什地区疏勒县委宣传部</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21</w:t>
      </w:r>
      <w:r>
        <w:rPr>
          <w:rFonts w:hint="eastAsia" w:ascii="仿宋_GB2312" w:eastAsia="仿宋_GB2312"/>
          <w:sz w:val="32"/>
          <w:szCs w:val="32"/>
        </w:rPr>
        <w:t>人，其中：在职人员</w:t>
      </w:r>
      <w:r>
        <w:rPr>
          <w:rFonts w:ascii="仿宋_GB2312" w:eastAsia="仿宋_GB2312"/>
          <w:sz w:val="32"/>
          <w:szCs w:val="32"/>
        </w:rPr>
        <w:t>16</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5</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从部门决算单位构成看，新疆喀什地区疏勒县委宣传部部门决算包括：新疆喀什地区疏勒县委宣传部部门本级决算及所属单位决算。</w:t>
      </w:r>
    </w:p>
    <w:p>
      <w:pPr>
        <w:ind w:firstLine="640" w:firstLineChars="200"/>
        <w:rPr>
          <w:rFonts w:ascii="仿宋_GB2312" w:eastAsia="仿宋_GB2312"/>
          <w:sz w:val="32"/>
          <w:szCs w:val="32"/>
        </w:rPr>
      </w:pPr>
      <w:r>
        <w:rPr>
          <w:rFonts w:hint="eastAsia" w:ascii="仿宋_GB2312" w:hAnsi="宋体" w:eastAsia="仿宋_GB2312" w:cs="宋体"/>
          <w:kern w:val="0"/>
          <w:sz w:val="32"/>
          <w:szCs w:val="32"/>
        </w:rPr>
        <w:t>新疆喀什地区疏勒县委宣传部本级</w:t>
      </w:r>
      <w:r>
        <w:rPr>
          <w:rFonts w:hint="eastAsia" w:ascii="仿宋_GB2312" w:hAnsi="黑体" w:eastAsia="仿宋_GB2312" w:cs="宋体"/>
          <w:bCs/>
          <w:kern w:val="0"/>
          <w:sz w:val="32"/>
          <w:szCs w:val="32"/>
        </w:rPr>
        <w:t>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个处室，分别是：财务室、办公室</w:t>
      </w:r>
      <w:r>
        <w:rPr>
          <w:rFonts w:ascii="Arial" w:hAnsi="Arial" w:cs="Arial"/>
          <w:color w:val="4D4D4D"/>
          <w:shd w:val="clear" w:color="auto" w:fill="FFFFFF"/>
        </w:rPr>
        <w:t xml:space="preserve"> </w:t>
      </w:r>
      <w:r>
        <w:rPr>
          <w:rFonts w:hint="eastAsia" w:ascii="仿宋_GB2312" w:hAnsi="宋体" w:eastAsia="仿宋_GB2312" w:cs="宋体"/>
          <w:kern w:val="0"/>
          <w:sz w:val="32"/>
          <w:szCs w:val="32"/>
        </w:rPr>
        <w:t>。</w:t>
      </w:r>
    </w:p>
    <w:tbl>
      <w:tblPr>
        <w:tblStyle w:val="10"/>
        <w:tblpPr w:leftFromText="180" w:rightFromText="180" w:vertAnchor="text" w:horzAnchor="page" w:tblpX="1785" w:tblpY="1366"/>
        <w:tblOverlap w:val="never"/>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7"/>
        <w:gridCol w:w="3999"/>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847" w:type="dxa"/>
            <w:vAlign w:val="center"/>
          </w:tcPr>
          <w:p>
            <w:pPr>
              <w:jc w:val="center"/>
              <w:rPr>
                <w:rFonts w:ascii="仿宋_GB2312" w:eastAsia="仿宋_GB2312"/>
                <w:sz w:val="32"/>
                <w:szCs w:val="32"/>
              </w:rPr>
            </w:pPr>
            <w:r>
              <w:rPr>
                <w:rFonts w:hint="eastAsia" w:ascii="仿宋_GB2312" w:eastAsia="仿宋_GB2312"/>
                <w:sz w:val="32"/>
                <w:szCs w:val="32"/>
              </w:rPr>
              <w:t>序号</w:t>
            </w:r>
          </w:p>
        </w:tc>
        <w:tc>
          <w:tcPr>
            <w:tcW w:w="3999" w:type="dxa"/>
            <w:vAlign w:val="center"/>
          </w:tcPr>
          <w:p>
            <w:pPr>
              <w:jc w:val="center"/>
              <w:rPr>
                <w:rFonts w:ascii="仿宋_GB2312" w:eastAsia="仿宋_GB2312"/>
                <w:sz w:val="32"/>
                <w:szCs w:val="32"/>
              </w:rPr>
            </w:pPr>
            <w:r>
              <w:rPr>
                <w:rFonts w:hint="eastAsia" w:ascii="仿宋_GB2312" w:eastAsia="仿宋_GB2312"/>
                <w:sz w:val="32"/>
                <w:szCs w:val="32"/>
              </w:rPr>
              <w:t>单位名称</w:t>
            </w:r>
          </w:p>
        </w:tc>
        <w:tc>
          <w:tcPr>
            <w:tcW w:w="2673" w:type="dxa"/>
            <w:vAlign w:val="center"/>
          </w:tcPr>
          <w:p>
            <w:pPr>
              <w:jc w:val="center"/>
              <w:rPr>
                <w:rFonts w:ascii="仿宋_GB2312" w:eastAsia="仿宋_GB2312"/>
                <w:sz w:val="32"/>
                <w:szCs w:val="32"/>
              </w:rPr>
            </w:pPr>
            <w:r>
              <w:rPr>
                <w:rFonts w:hint="eastAsia" w:ascii="仿宋_GB2312" w:eastAsia="仿宋_GB2312"/>
                <w:sz w:val="32"/>
                <w:szCs w:val="32"/>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trPr>
        <w:tc>
          <w:tcPr>
            <w:tcW w:w="1847" w:type="dxa"/>
            <w:vAlign w:val="center"/>
          </w:tcPr>
          <w:p>
            <w:pPr>
              <w:jc w:val="center"/>
              <w:rPr>
                <w:rFonts w:ascii="仿宋_GB2312" w:eastAsia="仿宋_GB2312"/>
                <w:sz w:val="32"/>
                <w:szCs w:val="32"/>
              </w:rPr>
            </w:pPr>
            <w:r>
              <w:rPr>
                <w:rFonts w:ascii="Arial" w:hAnsi="Arial" w:cs="Arial"/>
                <w:color w:val="4D4D4D"/>
                <w:shd w:val="clear" w:color="auto" w:fill="FFFFFF"/>
              </w:rPr>
              <w:t>1</w:t>
            </w:r>
          </w:p>
        </w:tc>
        <w:tc>
          <w:tcPr>
            <w:tcW w:w="3999" w:type="dxa"/>
            <w:vAlign w:val="center"/>
          </w:tcPr>
          <w:p>
            <w:pPr>
              <w:jc w:val="center"/>
              <w:rPr>
                <w:rFonts w:ascii="仿宋_GB2312" w:eastAsia="仿宋_GB2312"/>
                <w:sz w:val="32"/>
                <w:szCs w:val="32"/>
              </w:rPr>
            </w:pPr>
            <w:r>
              <w:rPr>
                <w:rFonts w:ascii="Arial" w:hAnsi="Arial" w:cs="Arial"/>
                <w:color w:val="4D4D4D"/>
                <w:shd w:val="clear" w:color="auto" w:fill="FFFFFF"/>
              </w:rPr>
              <w:t>疏勒县农村数字放映站</w:t>
            </w:r>
          </w:p>
        </w:tc>
        <w:tc>
          <w:tcPr>
            <w:tcW w:w="2673" w:type="dxa"/>
            <w:vAlign w:val="center"/>
          </w:tcPr>
          <w:p>
            <w:pPr>
              <w:jc w:val="center"/>
              <w:rPr>
                <w:rFonts w:ascii="仿宋_GB2312" w:eastAsia="仿宋_GB2312"/>
                <w:sz w:val="32"/>
                <w:szCs w:val="32"/>
              </w:rPr>
            </w:pPr>
            <w:r>
              <w:rPr>
                <w:rFonts w:ascii="Arial" w:hAnsi="Arial" w:cs="Arial"/>
                <w:color w:val="4D4D4D"/>
                <w:shd w:val="clear" w:color="auto" w:fill="FFFFFF"/>
              </w:rPr>
              <w:t>其他单位</w:t>
            </w:r>
          </w:p>
        </w:tc>
      </w:tr>
    </w:tbl>
    <w:p>
      <w:pPr>
        <w:ind w:firstLine="640" w:firstLineChars="200"/>
        <w:rPr>
          <w:rFonts w:ascii="仿宋_GB2312" w:eastAsia="仿宋_GB2312"/>
          <w:spacing w:val="-6"/>
          <w:sz w:val="32"/>
          <w:szCs w:val="32"/>
        </w:rPr>
      </w:pPr>
      <w:r>
        <w:rPr>
          <w:rFonts w:hint="eastAsia" w:ascii="仿宋_GB2312" w:eastAsia="仿宋_GB2312"/>
          <w:sz w:val="32"/>
          <w:szCs w:val="32"/>
        </w:rPr>
        <w:t>纳入新疆喀什地区疏勒县委宣传部</w:t>
      </w:r>
      <w:r>
        <w:rPr>
          <w:rFonts w:ascii="仿宋_GB2312" w:eastAsia="仿宋_GB2312"/>
          <w:sz w:val="32"/>
          <w:szCs w:val="32"/>
        </w:rPr>
        <w:t>2021</w:t>
      </w:r>
      <w:r>
        <w:rPr>
          <w:rFonts w:hint="eastAsia" w:ascii="仿宋_GB2312" w:eastAsia="仿宋_GB2312"/>
          <w:sz w:val="32"/>
          <w:szCs w:val="32"/>
        </w:rPr>
        <w:t>年度部门决算编制范围的单位名单见下表</w:t>
      </w:r>
      <w:r>
        <w:rPr>
          <w:rFonts w:hint="eastAsia" w:ascii="仿宋_GB2312" w:eastAsia="仿宋_GB2312"/>
          <w:spacing w:val="-6"/>
          <w:sz w:val="32"/>
          <w:szCs w:val="32"/>
        </w:rPr>
        <w:t>：</w:t>
      </w:r>
    </w:p>
    <w:bookmarkEnd w:id="3"/>
    <w:p>
      <w:pPr>
        <w:ind w:firstLine="420" w:firstLineChars="200"/>
        <w:jc w:val="left"/>
        <w:rPr>
          <w:rFonts w:ascii="Arial" w:hAnsi="Arial" w:cs="Arial"/>
          <w:color w:val="4D4D4D"/>
          <w:shd w:val="clear" w:color="auto" w:fill="FFFFFF"/>
        </w:rPr>
      </w:pPr>
      <w:bookmarkStart w:id="8" w:name="_Toc3092"/>
      <w:bookmarkStart w:id="9" w:name="_Toc29374"/>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8"/>
      <w:bookmarkEnd w:id="9"/>
    </w:p>
    <w:p>
      <w:pPr>
        <w:ind w:firstLine="640" w:firstLineChars="200"/>
        <w:outlineLvl w:val="1"/>
        <w:rPr>
          <w:rFonts w:ascii="黑体" w:hAnsi="黑体" w:eastAsia="黑体" w:cs="宋体"/>
          <w:bCs/>
          <w:kern w:val="0"/>
          <w:sz w:val="32"/>
          <w:szCs w:val="32"/>
        </w:rPr>
      </w:pPr>
      <w:bookmarkStart w:id="10" w:name="_Toc25314"/>
      <w:bookmarkStart w:id="11" w:name="_Toc12566"/>
      <w:bookmarkStart w:id="12" w:name="_Hlk97807141"/>
      <w:r>
        <w:rPr>
          <w:rFonts w:hint="eastAsia" w:ascii="黑体" w:hAnsi="黑体" w:eastAsia="黑体" w:cs="宋体"/>
          <w:bCs/>
          <w:kern w:val="0"/>
          <w:sz w:val="32"/>
          <w:szCs w:val="32"/>
        </w:rPr>
        <w:t>一、收入支出决算总体情况说明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387.52</w:t>
      </w:r>
      <w:r>
        <w:rPr>
          <w:rFonts w:hint="eastAsia" w:ascii="仿宋_GB2312" w:eastAsia="仿宋_GB2312"/>
          <w:sz w:val="32"/>
          <w:szCs w:val="32"/>
        </w:rPr>
        <w:t>万元，与上年相比，增加52.15万元，</w:t>
      </w:r>
      <w:r>
        <w:rPr>
          <w:rFonts w:ascii="仿宋_GB2312" w:eastAsia="仿宋_GB2312"/>
          <w:sz w:val="32"/>
          <w:szCs w:val="32"/>
        </w:rPr>
        <w:t>增长15.55</w:t>
      </w:r>
      <w:r>
        <w:rPr>
          <w:rFonts w:hint="eastAsia" w:ascii="仿宋_GB2312" w:eastAsia="仿宋_GB2312"/>
          <w:sz w:val="32"/>
          <w:szCs w:val="32"/>
        </w:rPr>
        <w:t>%，主要原因是：我单位本年度新增自聘人员，人员工资、社保公积金等增加，及日常公用经费增加，本年收入较上年增加。本年支出</w:t>
      </w:r>
      <w:r>
        <w:rPr>
          <w:rFonts w:ascii="仿宋_GB2312" w:eastAsia="仿宋_GB2312"/>
          <w:sz w:val="32"/>
          <w:szCs w:val="32"/>
        </w:rPr>
        <w:t>387.52</w:t>
      </w:r>
      <w:r>
        <w:rPr>
          <w:rFonts w:hint="eastAsia" w:ascii="仿宋_GB2312" w:eastAsia="仿宋_GB2312"/>
          <w:sz w:val="32"/>
          <w:szCs w:val="32"/>
        </w:rPr>
        <w:t>万元，与上年相比，</w:t>
      </w:r>
      <w:r>
        <w:rPr>
          <w:rFonts w:ascii="仿宋_GB2312" w:eastAsia="仿宋_GB2312"/>
          <w:sz w:val="32"/>
          <w:szCs w:val="32"/>
        </w:rPr>
        <w:t>增加52.15</w:t>
      </w:r>
      <w:r>
        <w:rPr>
          <w:rFonts w:hint="eastAsia" w:ascii="仿宋_GB2312" w:eastAsia="仿宋_GB2312"/>
          <w:sz w:val="32"/>
          <w:szCs w:val="32"/>
        </w:rPr>
        <w:t>万元，</w:t>
      </w:r>
      <w:r>
        <w:rPr>
          <w:rFonts w:ascii="仿宋_GB2312" w:eastAsia="仿宋_GB2312"/>
          <w:sz w:val="32"/>
          <w:szCs w:val="32"/>
        </w:rPr>
        <w:t>增长15.55</w:t>
      </w:r>
      <w:r>
        <w:rPr>
          <w:rFonts w:hint="eastAsia" w:ascii="仿宋_GB2312" w:eastAsia="仿宋_GB2312"/>
          <w:sz w:val="32"/>
          <w:szCs w:val="32"/>
        </w:rPr>
        <w:t>%，主要原因是：我单位本年度新增自聘人员，人员工资、社保公积金等增加，及日常公用经费增加，本年支出较上年增加。</w:t>
      </w:r>
    </w:p>
    <w:p>
      <w:pPr>
        <w:ind w:firstLine="640" w:firstLineChars="200"/>
        <w:outlineLvl w:val="1"/>
        <w:rPr>
          <w:rFonts w:ascii="黑体" w:hAnsi="黑体" w:eastAsia="黑体" w:cs="宋体"/>
          <w:bCs/>
          <w:kern w:val="0"/>
          <w:sz w:val="32"/>
          <w:szCs w:val="32"/>
        </w:rPr>
      </w:pPr>
      <w:bookmarkStart w:id="13" w:name="_Toc12142"/>
      <w:bookmarkStart w:id="14" w:name="_Toc1979"/>
      <w:r>
        <w:rPr>
          <w:rFonts w:hint="eastAsia" w:ascii="黑体" w:hAnsi="黑体" w:eastAsia="黑体" w:cs="宋体"/>
          <w:bCs/>
          <w:kern w:val="0"/>
          <w:sz w:val="32"/>
          <w:szCs w:val="32"/>
        </w:rPr>
        <w:t>二、收入决算情况说明</w:t>
      </w:r>
      <w:bookmarkEnd w:id="13"/>
      <w:bookmarkEnd w:id="14"/>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387.52</w:t>
      </w:r>
      <w:r>
        <w:rPr>
          <w:rFonts w:hint="eastAsia" w:ascii="仿宋_GB2312" w:eastAsia="仿宋_GB2312"/>
          <w:sz w:val="32"/>
          <w:szCs w:val="32"/>
        </w:rPr>
        <w:t>万元，其中：财政拨款收入</w:t>
      </w:r>
      <w:r>
        <w:rPr>
          <w:rFonts w:ascii="仿宋_GB2312" w:eastAsia="仿宋_GB2312"/>
          <w:sz w:val="32"/>
          <w:szCs w:val="32"/>
        </w:rPr>
        <w:t>387.52</w:t>
      </w:r>
      <w:r>
        <w:rPr>
          <w:rFonts w:hint="eastAsia" w:ascii="仿宋_GB2312" w:eastAsia="仿宋_GB2312"/>
          <w:sz w:val="32"/>
          <w:szCs w:val="32"/>
        </w:rPr>
        <w:t>万元，占100.00%；上级补助收入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0.00</w:t>
      </w:r>
      <w:r>
        <w:rPr>
          <w:rFonts w:hint="eastAsia" w:ascii="仿宋_GB2312" w:eastAsia="仿宋_GB2312"/>
          <w:sz w:val="32"/>
          <w:szCs w:val="32"/>
        </w:rPr>
        <w:t>万元，占0.00%；经营收入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5" w:name="_Toc13201"/>
      <w:bookmarkStart w:id="16" w:name="_Toc27961"/>
      <w:r>
        <w:rPr>
          <w:rFonts w:hint="eastAsia" w:ascii="黑体" w:hAnsi="黑体" w:eastAsia="黑体" w:cs="宋体"/>
          <w:bCs/>
          <w:kern w:val="0"/>
          <w:sz w:val="32"/>
          <w:szCs w:val="32"/>
        </w:rPr>
        <w:t>三、支出决算情况说明</w:t>
      </w:r>
      <w:bookmarkEnd w:id="15"/>
      <w:bookmarkEnd w:id="16"/>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年度本年支出387.52万元，其中：基本支出</w:t>
      </w:r>
      <w:r>
        <w:rPr>
          <w:rFonts w:ascii="仿宋_GB2312" w:eastAsia="仿宋_GB2312"/>
          <w:sz w:val="32"/>
          <w:szCs w:val="32"/>
        </w:rPr>
        <w:t>235.77</w:t>
      </w:r>
      <w:r>
        <w:rPr>
          <w:rFonts w:hint="eastAsia" w:ascii="仿宋_GB2312" w:eastAsia="仿宋_GB2312"/>
          <w:sz w:val="32"/>
          <w:szCs w:val="32"/>
        </w:rPr>
        <w:t>万元，占60.84%；项目支出</w:t>
      </w:r>
      <w:r>
        <w:rPr>
          <w:rFonts w:ascii="仿宋_GB2312" w:eastAsia="仿宋_GB2312"/>
          <w:sz w:val="32"/>
          <w:szCs w:val="32"/>
        </w:rPr>
        <w:t>151.75</w:t>
      </w:r>
      <w:r>
        <w:rPr>
          <w:rFonts w:hint="eastAsia" w:ascii="仿宋_GB2312" w:eastAsia="仿宋_GB2312"/>
          <w:sz w:val="32"/>
          <w:szCs w:val="32"/>
        </w:rPr>
        <w:t>万元，占39.16%；上缴上级支出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12"/>
    <w:p>
      <w:pPr>
        <w:ind w:firstLine="640" w:firstLineChars="200"/>
        <w:outlineLvl w:val="1"/>
        <w:rPr>
          <w:rFonts w:ascii="黑体" w:hAnsi="黑体" w:eastAsia="黑体" w:cs="宋体"/>
          <w:bCs/>
          <w:kern w:val="0"/>
          <w:sz w:val="32"/>
          <w:szCs w:val="32"/>
        </w:rPr>
      </w:pPr>
      <w:bookmarkStart w:id="17" w:name="_Toc26564"/>
      <w:bookmarkStart w:id="18" w:name="_Toc4393"/>
      <w:r>
        <w:rPr>
          <w:rFonts w:hint="eastAsia" w:ascii="黑体" w:hAnsi="黑体" w:eastAsia="黑体" w:cs="宋体"/>
          <w:bCs/>
          <w:kern w:val="0"/>
          <w:sz w:val="32"/>
          <w:szCs w:val="32"/>
        </w:rPr>
        <w:t>四、财政拨款收入支出决算总体情况说明</w:t>
      </w:r>
      <w:bookmarkEnd w:id="17"/>
      <w:bookmarkEnd w:id="1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387.52万元，与上年相比，增加52.15万元，增长15.55%，主要原因是：我单位本年度新增疏勒县委专班项目、2021年度东风工程市场监管和版权保护工作经费、原电影公司退休人员社保和取暖费项目，导致财政拨款收入增加。财政拨款支出387.52万元，与上年相比，增加52.15万元，增长15.55%，主要原因是：我单位本年度新增疏勒县委专班项目、2021年度东风工程市场监管和版权保护工作经费、原电影公司退休人员社保和取暖费项目，导致财政拨款支出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186.83</w:t>
      </w:r>
      <w:r>
        <w:rPr>
          <w:rFonts w:hint="eastAsia" w:ascii="仿宋_GB2312" w:eastAsia="仿宋_GB2312"/>
          <w:sz w:val="32"/>
          <w:szCs w:val="32"/>
        </w:rPr>
        <w:t>万元，决算数</w:t>
      </w:r>
      <w:r>
        <w:rPr>
          <w:rFonts w:ascii="仿宋_GB2312" w:eastAsia="仿宋_GB2312"/>
          <w:sz w:val="32"/>
          <w:szCs w:val="32"/>
        </w:rPr>
        <w:t>387.52</w:t>
      </w:r>
      <w:r>
        <w:rPr>
          <w:rFonts w:hint="eastAsia" w:ascii="仿宋_GB2312" w:eastAsia="仿宋_GB2312"/>
          <w:sz w:val="32"/>
          <w:szCs w:val="32"/>
        </w:rPr>
        <w:t>万元，预决算差异率</w:t>
      </w:r>
      <w:r>
        <w:rPr>
          <w:rFonts w:ascii="仿宋_GB2312" w:eastAsia="仿宋_GB2312"/>
          <w:sz w:val="32"/>
          <w:szCs w:val="32"/>
        </w:rPr>
        <w:t>107.42</w:t>
      </w:r>
      <w:r>
        <w:rPr>
          <w:rFonts w:hint="eastAsia" w:ascii="仿宋_GB2312" w:eastAsia="仿宋_GB2312"/>
          <w:sz w:val="32"/>
          <w:szCs w:val="32"/>
        </w:rPr>
        <w:t>%，主要原因是：项目资金未列入年初预算，年中追加疏勒县委专班项目、2021年度东风工程市场监管和版权保护工作经费、原电影公司退休人员社保和取暖费项目，导致预决算差异率大。财政拨款支出年初预算数</w:t>
      </w:r>
      <w:r>
        <w:rPr>
          <w:rFonts w:ascii="仿宋_GB2312" w:eastAsia="仿宋_GB2312"/>
          <w:sz w:val="32"/>
          <w:szCs w:val="32"/>
        </w:rPr>
        <w:t>186.83</w:t>
      </w:r>
      <w:r>
        <w:rPr>
          <w:rFonts w:hint="eastAsia" w:ascii="仿宋_GB2312" w:eastAsia="仿宋_GB2312"/>
          <w:sz w:val="32"/>
          <w:szCs w:val="32"/>
        </w:rPr>
        <w:t>万元，决算数</w:t>
      </w:r>
      <w:r>
        <w:rPr>
          <w:rFonts w:ascii="仿宋_GB2312" w:eastAsia="仿宋_GB2312"/>
          <w:sz w:val="32"/>
          <w:szCs w:val="32"/>
        </w:rPr>
        <w:t>387.52</w:t>
      </w:r>
      <w:r>
        <w:rPr>
          <w:rFonts w:hint="eastAsia" w:ascii="仿宋_GB2312" w:eastAsia="仿宋_GB2312"/>
          <w:sz w:val="32"/>
          <w:szCs w:val="32"/>
        </w:rPr>
        <w:t>万元，预决算差异率107.42%，主要原因是：项目资金未列入年初预算，年中追加疏勒县委专班项目、2021年度东风工程市场监管和版权保护工作经费、原电影公司退休人员社保和取暖费项目，导致预决算差异率大。</w:t>
      </w:r>
    </w:p>
    <w:p>
      <w:pPr>
        <w:ind w:firstLine="640" w:firstLineChars="200"/>
        <w:outlineLvl w:val="1"/>
        <w:rPr>
          <w:rFonts w:ascii="黑体" w:hAnsi="黑体" w:eastAsia="黑体" w:cs="宋体"/>
          <w:bCs/>
          <w:kern w:val="0"/>
          <w:sz w:val="32"/>
          <w:szCs w:val="32"/>
        </w:rPr>
      </w:pPr>
      <w:bookmarkStart w:id="19" w:name="_Toc20360"/>
      <w:bookmarkStart w:id="20" w:name="_Toc13833"/>
      <w:r>
        <w:rPr>
          <w:rFonts w:hint="eastAsia" w:ascii="黑体" w:hAnsi="黑体" w:eastAsia="黑体" w:cs="宋体"/>
          <w:bCs/>
          <w:kern w:val="0"/>
          <w:sz w:val="32"/>
          <w:szCs w:val="32"/>
        </w:rPr>
        <w:t>五、一般公共预算财政拨款支出决算情况说明</w:t>
      </w:r>
      <w:bookmarkEnd w:id="19"/>
      <w:bookmarkEnd w:id="20"/>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年度一般公共预算财政拨款支出387.52万元。按功能分类科目项级科目公开，其中：</w:t>
      </w:r>
    </w:p>
    <w:p>
      <w:pPr>
        <w:jc w:val="left"/>
        <w:rPr>
          <w:rFonts w:ascii="仿宋_GB2312" w:eastAsia="仿宋_GB2312"/>
          <w:sz w:val="32"/>
          <w:szCs w:val="32"/>
        </w:rPr>
      </w:pPr>
      <w:bookmarkStart w:id="21" w:name="_Toc30870"/>
      <w:bookmarkStart w:id="22" w:name="_Toc11146"/>
      <w:r>
        <w:rPr>
          <w:rFonts w:ascii="仿宋_GB2312" w:eastAsia="仿宋_GB2312"/>
          <w:sz w:val="32"/>
          <w:szCs w:val="32"/>
        </w:rPr>
        <w:tab/>
      </w:r>
      <w:r>
        <w:rPr>
          <w:rFonts w:ascii="仿宋_GB2312" w:eastAsia="仿宋_GB2312"/>
          <w:sz w:val="32"/>
          <w:szCs w:val="32"/>
        </w:rPr>
        <w:t xml:space="preserve"> 2013301行政运行197.84万元；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2013399其他宣传事务支出48.50万元；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2070606版权管理9.00万元；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2079999其他文化旅游体育与传媒支出89.25万元；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2080505机关事业单位基本养老保险缴费支出23.65万元；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2210201住房公积金14.28万元；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2299999其他支出5.00万元。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21"/>
      <w:bookmarkEnd w:id="22"/>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235.77</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230.73</w:t>
      </w:r>
      <w:r>
        <w:rPr>
          <w:rFonts w:hint="eastAsia" w:ascii="仿宋_GB2312" w:eastAsia="仿宋_GB2312"/>
          <w:sz w:val="32"/>
          <w:szCs w:val="32"/>
        </w:rPr>
        <w:t>万元，包括：基本工资、津贴补贴、奖金、机关事业单位基本养老保险缴费、职工基本医疗保险缴费、公务员医疗补助缴费、其他社会保障缴费、住房公积金、其他工资福利支出、退休费、抚恤金、生活补助、奖励金</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公用经费5.04万元，包括：办公费、印刷费、手续费、邮电费、差旅费、委托业务费、公务用车运行维护费</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3" w:name="_Toc7190"/>
      <w:bookmarkStart w:id="24" w:name="_Toc21518"/>
      <w:r>
        <w:rPr>
          <w:rFonts w:hint="eastAsia" w:ascii="黑体" w:hAnsi="黑体" w:eastAsia="黑体" w:cs="宋体"/>
          <w:bCs/>
          <w:kern w:val="0"/>
          <w:sz w:val="32"/>
          <w:szCs w:val="32"/>
        </w:rPr>
        <w:t>七、一般公共预算财政拨款“三公”经费支出决算情况说明</w:t>
      </w:r>
      <w:bookmarkEnd w:id="23"/>
      <w:bookmarkEnd w:id="24"/>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2021年度一般公共预算“三公”经费支出决算2.45万元，比上年减少0.13万元，降低5.04%，主要原因是</w:t>
      </w:r>
      <w:r>
        <w:rPr>
          <w:rFonts w:hint="eastAsia" w:ascii="仿宋_GB2312" w:eastAsia="仿宋_GB2312"/>
          <w:sz w:val="32"/>
          <w:szCs w:val="32"/>
          <w:lang w:eastAsia="zh-CN"/>
        </w:rPr>
        <w:t>：</w:t>
      </w:r>
      <w:r>
        <w:rPr>
          <w:rFonts w:ascii="仿宋_GB2312" w:eastAsia="仿宋_GB2312"/>
          <w:sz w:val="32"/>
          <w:szCs w:val="32"/>
        </w:rPr>
        <w:t>落实过紧日子要求，压缩三公经费，厉行节约，压减开支，本年度公务用车购置及运行维护费和公务接待费减少。其中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2.45万元，占100.00%，比上年减少0.13万元，降低5.04%，主要原因是：我单位本年度落实过紧日子要求，严格管理公务用车，绿色出行，公务用车运行维护费减少；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2.45</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2.45</w:t>
      </w:r>
      <w:r>
        <w:rPr>
          <w:rFonts w:hint="eastAsia" w:ascii="仿宋_GB2312" w:eastAsia="仿宋_GB2312"/>
          <w:sz w:val="32"/>
          <w:szCs w:val="32"/>
        </w:rPr>
        <w:t>万元。公务用车运行维护费开支内容包括：车辆保险费、车辆燃油费，车辆审验费。公务用车购置数</w:t>
      </w:r>
      <w:r>
        <w:rPr>
          <w:rFonts w:ascii="仿宋_GB2312" w:eastAsia="仿宋_GB2312"/>
          <w:sz w:val="32"/>
          <w:szCs w:val="32"/>
        </w:rPr>
        <w:t>0</w:t>
      </w:r>
      <w:r>
        <w:rPr>
          <w:rFonts w:hint="eastAsia" w:ascii="仿宋_GB2312" w:eastAsia="仿宋_GB2312"/>
          <w:sz w:val="32"/>
          <w:szCs w:val="32"/>
        </w:rPr>
        <w:t>辆，公务用车保有量4辆。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与年初预算数相比情况：一般公共预算“三公”经费支出年初预算数2.45万元，决算数</w:t>
      </w:r>
      <w:r>
        <w:rPr>
          <w:rFonts w:ascii="仿宋_GB2312" w:eastAsia="仿宋_GB2312"/>
          <w:sz w:val="32"/>
          <w:szCs w:val="32"/>
        </w:rPr>
        <w:t>2.45</w:t>
      </w:r>
      <w:r>
        <w:rPr>
          <w:rFonts w:hint="eastAsia" w:ascii="仿宋_GB2312" w:eastAsia="仿宋_GB2312"/>
          <w:sz w:val="32"/>
          <w:szCs w:val="32"/>
        </w:rPr>
        <w:t>万元，预决算差异率0.00%，主要原因是：严格落实过紧日子要求，决算数与预算数相同，预决算无差异。</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预算数2.45万元，决算数2.45万元，预决算差异率0.00%，主要原因是：</w:t>
      </w:r>
      <w:r>
        <w:rPr>
          <w:rFonts w:hint="eastAsia" w:ascii="仿宋_GB2312" w:eastAsia="仿宋_GB2312"/>
          <w:sz w:val="32"/>
          <w:szCs w:val="32"/>
          <w:lang w:eastAsia="zh-CN"/>
        </w:rPr>
        <w:t>预决算一致，无差异</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bookmarkStart w:id="55" w:name="_GoBack"/>
      <w:bookmarkEnd w:id="55"/>
    </w:p>
    <w:p>
      <w:pPr>
        <w:ind w:firstLine="640" w:firstLineChars="200"/>
        <w:outlineLvl w:val="1"/>
        <w:rPr>
          <w:rFonts w:ascii="黑体" w:hAnsi="黑体" w:eastAsia="黑体" w:cs="宋体"/>
          <w:bCs/>
          <w:kern w:val="0"/>
          <w:sz w:val="32"/>
          <w:szCs w:val="32"/>
        </w:rPr>
      </w:pPr>
      <w:bookmarkStart w:id="25" w:name="_Toc5810"/>
      <w:bookmarkStart w:id="26" w:name="_Toc7927"/>
      <w:r>
        <w:rPr>
          <w:rFonts w:hint="eastAsia" w:ascii="黑体" w:hAnsi="黑体" w:eastAsia="黑体" w:cs="宋体"/>
          <w:bCs/>
          <w:kern w:val="0"/>
          <w:sz w:val="32"/>
          <w:szCs w:val="32"/>
        </w:rPr>
        <w:t>八、政府性基金预算财政拨款收入支出决算情况说明</w:t>
      </w:r>
      <w:bookmarkEnd w:id="25"/>
      <w:bookmarkEnd w:id="26"/>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7" w:name="_Toc7314"/>
      <w:bookmarkStart w:id="28" w:name="_Toc1235"/>
      <w:r>
        <w:rPr>
          <w:rFonts w:hint="eastAsia" w:ascii="黑体" w:hAnsi="黑体" w:eastAsia="黑体" w:cs="宋体"/>
          <w:bCs/>
          <w:kern w:val="0"/>
          <w:sz w:val="32"/>
          <w:szCs w:val="32"/>
        </w:rPr>
        <w:t>十、其他重要事项的情况说明</w:t>
      </w:r>
      <w:bookmarkEnd w:id="27"/>
      <w:bookmarkEnd w:id="28"/>
    </w:p>
    <w:p>
      <w:pPr>
        <w:ind w:firstLine="640" w:firstLineChars="200"/>
        <w:outlineLvl w:val="2"/>
        <w:rPr>
          <w:rFonts w:hint="eastAsia" w:ascii="黑体" w:hAnsi="黑体" w:eastAsia="黑体"/>
          <w:sz w:val="32"/>
          <w:szCs w:val="32"/>
        </w:rPr>
      </w:pPr>
      <w:bookmarkStart w:id="29" w:name="_Toc13105"/>
      <w:bookmarkStart w:id="30" w:name="_Toc14519"/>
      <w:r>
        <w:rPr>
          <w:rFonts w:hint="eastAsia" w:ascii="黑体" w:hAnsi="黑体" w:eastAsia="黑体"/>
          <w:sz w:val="32"/>
          <w:szCs w:val="32"/>
        </w:rPr>
        <w:t>（一）机关运行经费支出情况</w:t>
      </w:r>
      <w:bookmarkEnd w:id="29"/>
      <w:bookmarkEnd w:id="30"/>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2021年度新疆喀什地区疏勒县委宣传部（行政单位和参照公务员法管理事业单位）机关运行经费支出</w:t>
      </w:r>
      <w:r>
        <w:rPr>
          <w:rFonts w:ascii="仿宋_GB2312" w:eastAsia="仿宋_GB2312"/>
          <w:sz w:val="32"/>
          <w:szCs w:val="32"/>
        </w:rPr>
        <w:t>5.04</w:t>
      </w:r>
      <w:r>
        <w:rPr>
          <w:rFonts w:hint="eastAsia" w:ascii="仿宋_GB2312" w:eastAsia="仿宋_GB2312"/>
          <w:sz w:val="32"/>
          <w:szCs w:val="32"/>
        </w:rPr>
        <w:t>万元，比上年增加0.57万元，增长12.75%，主要原因是：办公耗材增加，机关运行经费比上年略有增加。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68.55</w:t>
      </w:r>
      <w:r>
        <w:rPr>
          <w:rFonts w:hint="eastAsia" w:ascii="仿宋_GB2312" w:eastAsia="仿宋_GB2312"/>
          <w:sz w:val="32"/>
          <w:szCs w:val="32"/>
        </w:rPr>
        <w:t>万元，其中：政府采购货物支出</w:t>
      </w:r>
      <w:r>
        <w:rPr>
          <w:rFonts w:ascii="仿宋_GB2312" w:eastAsia="仿宋_GB2312"/>
          <w:sz w:val="32"/>
          <w:szCs w:val="32"/>
        </w:rPr>
        <w:t>67.42</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1.13</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68.55</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%，其中：授予小微企业合同金额</w:t>
      </w:r>
      <w:r>
        <w:rPr>
          <w:rFonts w:ascii="仿宋_GB2312" w:eastAsia="仿宋_GB2312"/>
          <w:sz w:val="32"/>
          <w:szCs w:val="32"/>
        </w:rPr>
        <w:t>68.55</w:t>
      </w:r>
      <w:r>
        <w:rPr>
          <w:rFonts w:hint="eastAsia" w:ascii="仿宋_GB2312" w:eastAsia="仿宋_GB2312"/>
          <w:sz w:val="32"/>
          <w:szCs w:val="32"/>
        </w:rPr>
        <w:t>万元，占政府采购支出总额的</w:t>
      </w:r>
      <w:r>
        <w:rPr>
          <w:rFonts w:ascii="仿宋_GB2312" w:eastAsia="仿宋_GB2312"/>
          <w:sz w:val="32"/>
          <w:szCs w:val="32"/>
        </w:rPr>
        <w:t>100.00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1" w:name="_Toc4591"/>
      <w:bookmarkStart w:id="32" w:name="_Toc8391"/>
      <w:r>
        <w:rPr>
          <w:rFonts w:hint="eastAsia" w:ascii="黑体" w:hAnsi="黑体" w:eastAsia="黑体"/>
          <w:sz w:val="32"/>
          <w:szCs w:val="32"/>
        </w:rPr>
        <w:t>（三）国有资产占用情况说明</w:t>
      </w:r>
      <w:bookmarkEnd w:id="31"/>
      <w:bookmarkEnd w:id="32"/>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0.00</w:t>
      </w:r>
      <w:r>
        <w:rPr>
          <w:rFonts w:hint="eastAsia" w:ascii="仿宋_GB2312" w:eastAsia="仿宋_GB2312"/>
          <w:sz w:val="32"/>
          <w:szCs w:val="32"/>
        </w:rPr>
        <w:t>（平方米），价值</w:t>
      </w:r>
      <w:r>
        <w:rPr>
          <w:rFonts w:ascii="仿宋_GB2312" w:eastAsia="仿宋_GB2312"/>
          <w:sz w:val="32"/>
          <w:szCs w:val="32"/>
        </w:rPr>
        <w:t>0.00</w:t>
      </w:r>
      <w:r>
        <w:rPr>
          <w:rFonts w:hint="eastAsia" w:ascii="仿宋_GB2312" w:eastAsia="仿宋_GB2312"/>
          <w:sz w:val="32"/>
          <w:szCs w:val="32"/>
        </w:rPr>
        <w:t>万元。车辆</w:t>
      </w:r>
      <w:r>
        <w:rPr>
          <w:rFonts w:ascii="仿宋_GB2312" w:eastAsia="仿宋_GB2312"/>
          <w:sz w:val="32"/>
          <w:szCs w:val="32"/>
        </w:rPr>
        <w:t>5</w:t>
      </w:r>
      <w:r>
        <w:rPr>
          <w:rFonts w:hint="eastAsia" w:ascii="仿宋_GB2312" w:eastAsia="仿宋_GB2312"/>
          <w:sz w:val="32"/>
          <w:szCs w:val="32"/>
        </w:rPr>
        <w:t>辆，价值</w:t>
      </w:r>
      <w:r>
        <w:rPr>
          <w:rFonts w:ascii="仿宋_GB2312" w:eastAsia="仿宋_GB2312"/>
          <w:sz w:val="32"/>
          <w:szCs w:val="32"/>
        </w:rPr>
        <w:t>61.62</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5</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3" w:name="_Toc11283"/>
      <w:bookmarkStart w:id="34" w:name="_Toc435"/>
      <w:r>
        <w:rPr>
          <w:rFonts w:hint="eastAsia" w:ascii="黑体" w:hAnsi="黑体" w:eastAsia="黑体" w:cs="宋体"/>
          <w:bCs/>
          <w:kern w:val="0"/>
          <w:sz w:val="32"/>
          <w:szCs w:val="32"/>
        </w:rPr>
        <w:t>十一、预算绩效的情况说明</w:t>
      </w:r>
      <w:bookmarkEnd w:id="33"/>
      <w:bookmarkEnd w:id="34"/>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4个，共涉及资金53.5万元。预算绩效管理取得的成效：一是预算绩效目标明确，编制建立科学合理、细化量化。二是进一步提高了预算绩效管理工作水平，优化项目支出绩效指标体系，完善预算绩效管理制度，有效推动我单位下一年度预算绩效管理工作常态化、规范化。发现的问题及原因：一是部分业务人员绩效管理意识有待增强，未能全面深入认识理解绩效管理工作的意义，绩效管理经验不足，预算绩效管理工作有待进一步落实；二是绩效指标的明确性、可衡量性、相关性还需进一步提升。下一步改进措施：一是加大绩效工作宣传力度，强化绩效理念；二是完善绩效指标，提高整体绩效目标质量，提升预算精细化管理水平；三是继续完善预算绩效管理相关工作制度。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5" w:name="_Toc3250"/>
      <w:bookmarkStart w:id="36" w:name="_Toc24143"/>
      <w:r>
        <w:rPr>
          <w:rFonts w:hint="eastAsia" w:ascii="黑体" w:hAnsi="黑体" w:eastAsia="黑体"/>
          <w:sz w:val="32"/>
          <w:szCs w:val="32"/>
        </w:rPr>
        <w:t>第三部分 专业名词解释</w:t>
      </w:r>
      <w:bookmarkEnd w:id="35"/>
      <w:bookmarkEnd w:id="36"/>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7" w:name="_Toc22784"/>
      <w:bookmarkStart w:id="38" w:name="_Toc28903"/>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7"/>
      <w:bookmarkEnd w:id="38"/>
    </w:p>
    <w:p>
      <w:pPr>
        <w:ind w:firstLine="640" w:firstLineChars="200"/>
        <w:outlineLvl w:val="1"/>
        <w:rPr>
          <w:rFonts w:ascii="黑体" w:hAnsi="黑体" w:eastAsia="黑体" w:cs="宋体"/>
          <w:bCs/>
          <w:kern w:val="0"/>
          <w:sz w:val="32"/>
          <w:szCs w:val="32"/>
        </w:rPr>
      </w:pPr>
      <w:bookmarkStart w:id="39" w:name="_Toc6062"/>
      <w:bookmarkStart w:id="40" w:name="_Toc2183"/>
      <w:r>
        <w:rPr>
          <w:rFonts w:hint="eastAsia" w:ascii="黑体" w:hAnsi="黑体" w:eastAsia="黑体" w:cs="宋体"/>
          <w:bCs/>
          <w:kern w:val="0"/>
          <w:sz w:val="32"/>
          <w:szCs w:val="32"/>
        </w:rPr>
        <w:t>一、《收入支出决算总表》</w:t>
      </w:r>
      <w:bookmarkEnd w:id="39"/>
      <w:bookmarkEnd w:id="40"/>
    </w:p>
    <w:p>
      <w:pPr>
        <w:ind w:firstLine="640" w:firstLineChars="200"/>
        <w:outlineLvl w:val="1"/>
        <w:rPr>
          <w:rFonts w:ascii="黑体" w:hAnsi="黑体" w:eastAsia="黑体" w:cs="宋体"/>
          <w:bCs/>
          <w:kern w:val="0"/>
          <w:sz w:val="32"/>
          <w:szCs w:val="32"/>
        </w:rPr>
      </w:pPr>
      <w:bookmarkStart w:id="41" w:name="_Toc24532"/>
      <w:bookmarkStart w:id="42" w:name="_Toc30364"/>
      <w:r>
        <w:rPr>
          <w:rFonts w:hint="eastAsia" w:ascii="黑体" w:hAnsi="黑体" w:eastAsia="黑体" w:cs="宋体"/>
          <w:bCs/>
          <w:kern w:val="0"/>
          <w:sz w:val="32"/>
          <w:szCs w:val="32"/>
        </w:rPr>
        <w:t>二、《收入决算表》</w:t>
      </w:r>
      <w:bookmarkEnd w:id="41"/>
      <w:bookmarkEnd w:id="42"/>
    </w:p>
    <w:p>
      <w:pPr>
        <w:ind w:firstLine="640" w:firstLineChars="200"/>
        <w:outlineLvl w:val="1"/>
        <w:rPr>
          <w:rFonts w:ascii="黑体" w:hAnsi="黑体" w:eastAsia="黑体" w:cs="宋体"/>
          <w:bCs/>
          <w:kern w:val="0"/>
          <w:sz w:val="32"/>
          <w:szCs w:val="32"/>
        </w:rPr>
      </w:pPr>
      <w:bookmarkStart w:id="43" w:name="_Toc21304"/>
      <w:bookmarkStart w:id="44" w:name="_Toc32434"/>
      <w:r>
        <w:rPr>
          <w:rFonts w:hint="eastAsia" w:ascii="黑体" w:hAnsi="黑体" w:eastAsia="黑体" w:cs="宋体"/>
          <w:bCs/>
          <w:kern w:val="0"/>
          <w:sz w:val="32"/>
          <w:szCs w:val="32"/>
        </w:rPr>
        <w:t>三、《支出决算表》</w:t>
      </w:r>
      <w:bookmarkEnd w:id="43"/>
      <w:bookmarkEnd w:id="44"/>
    </w:p>
    <w:p>
      <w:pPr>
        <w:ind w:firstLine="640" w:firstLineChars="200"/>
        <w:outlineLvl w:val="1"/>
        <w:rPr>
          <w:rFonts w:ascii="黑体" w:hAnsi="黑体" w:eastAsia="黑体" w:cs="宋体"/>
          <w:bCs/>
          <w:kern w:val="0"/>
          <w:sz w:val="32"/>
          <w:szCs w:val="32"/>
        </w:rPr>
      </w:pPr>
      <w:bookmarkStart w:id="45" w:name="_Toc14238"/>
      <w:bookmarkStart w:id="46" w:name="_Toc28786"/>
      <w:r>
        <w:rPr>
          <w:rFonts w:hint="eastAsia" w:ascii="黑体" w:hAnsi="黑体" w:eastAsia="黑体" w:cs="宋体"/>
          <w:bCs/>
          <w:kern w:val="0"/>
          <w:sz w:val="32"/>
          <w:szCs w:val="32"/>
        </w:rPr>
        <w:t>四、《财政拨款收入支出决算总表》</w:t>
      </w:r>
      <w:bookmarkEnd w:id="45"/>
      <w:bookmarkEnd w:id="46"/>
    </w:p>
    <w:p>
      <w:pPr>
        <w:ind w:firstLine="640" w:firstLineChars="200"/>
        <w:outlineLvl w:val="1"/>
        <w:rPr>
          <w:rFonts w:ascii="黑体" w:hAnsi="黑体" w:eastAsia="黑体" w:cs="宋体"/>
          <w:bCs/>
          <w:kern w:val="0"/>
          <w:sz w:val="32"/>
          <w:szCs w:val="32"/>
        </w:rPr>
      </w:pPr>
      <w:bookmarkStart w:id="47" w:name="_Toc14869"/>
      <w:bookmarkStart w:id="48" w:name="_Toc10347"/>
      <w:r>
        <w:rPr>
          <w:rFonts w:hint="eastAsia" w:ascii="黑体" w:hAnsi="黑体" w:eastAsia="黑体" w:cs="宋体"/>
          <w:bCs/>
          <w:kern w:val="0"/>
          <w:sz w:val="32"/>
          <w:szCs w:val="32"/>
        </w:rPr>
        <w:t>五、《一般公共预算财政拨款支出决算表》</w:t>
      </w:r>
      <w:bookmarkEnd w:id="47"/>
      <w:bookmarkEnd w:id="48"/>
    </w:p>
    <w:p>
      <w:pPr>
        <w:ind w:firstLine="640" w:firstLineChars="200"/>
        <w:outlineLvl w:val="1"/>
        <w:rPr>
          <w:rFonts w:ascii="黑体" w:hAnsi="黑体" w:eastAsia="黑体" w:cs="宋体"/>
          <w:bCs/>
          <w:kern w:val="0"/>
          <w:sz w:val="32"/>
          <w:szCs w:val="32"/>
        </w:rPr>
      </w:pPr>
      <w:bookmarkStart w:id="49" w:name="_Toc8884"/>
      <w:bookmarkStart w:id="50" w:name="_Toc5626"/>
      <w:r>
        <w:rPr>
          <w:rFonts w:hint="eastAsia" w:ascii="黑体" w:hAnsi="黑体" w:eastAsia="黑体" w:cs="宋体"/>
          <w:bCs/>
          <w:kern w:val="0"/>
          <w:sz w:val="32"/>
          <w:szCs w:val="32"/>
        </w:rPr>
        <w:t>六、《一般公共预算财政拨款基本支出决算表》</w:t>
      </w:r>
      <w:bookmarkEnd w:id="49"/>
      <w:bookmarkEnd w:id="50"/>
    </w:p>
    <w:p>
      <w:pPr>
        <w:ind w:firstLine="640" w:firstLineChars="200"/>
        <w:outlineLvl w:val="1"/>
        <w:rPr>
          <w:rFonts w:ascii="黑体" w:hAnsi="黑体" w:eastAsia="黑体" w:cs="宋体"/>
          <w:bCs/>
          <w:kern w:val="0"/>
          <w:sz w:val="32"/>
          <w:szCs w:val="32"/>
        </w:rPr>
      </w:pPr>
      <w:bookmarkStart w:id="51" w:name="_Toc32663"/>
      <w:bookmarkStart w:id="52" w:name="_Toc29106"/>
      <w:r>
        <w:rPr>
          <w:rFonts w:hint="eastAsia" w:ascii="黑体" w:hAnsi="黑体" w:eastAsia="黑体" w:cs="宋体"/>
          <w:bCs/>
          <w:kern w:val="0"/>
          <w:sz w:val="32"/>
          <w:szCs w:val="32"/>
        </w:rPr>
        <w:t>七、《一般公共预算财政拨款“三公”经费支出决算表》</w:t>
      </w:r>
      <w:bookmarkEnd w:id="51"/>
      <w:bookmarkEnd w:id="52"/>
    </w:p>
    <w:p>
      <w:pPr>
        <w:ind w:firstLine="640" w:firstLineChars="200"/>
        <w:outlineLvl w:val="1"/>
        <w:rPr>
          <w:rFonts w:ascii="黑体" w:hAnsi="黑体" w:eastAsia="黑体" w:cs="宋体"/>
          <w:bCs/>
          <w:kern w:val="0"/>
          <w:sz w:val="32"/>
          <w:szCs w:val="32"/>
        </w:rPr>
      </w:pPr>
      <w:bookmarkStart w:id="53" w:name="_Toc7643"/>
      <w:bookmarkStart w:id="54" w:name="_Toc5453"/>
      <w:r>
        <w:rPr>
          <w:rFonts w:hint="eastAsia" w:ascii="黑体" w:hAnsi="黑体" w:eastAsia="黑体" w:cs="宋体"/>
          <w:bCs/>
          <w:kern w:val="0"/>
          <w:sz w:val="32"/>
          <w:szCs w:val="32"/>
        </w:rPr>
        <w:t>八、《政府性基金预算财政拨款收入支出决算表》</w:t>
      </w:r>
      <w:bookmarkEnd w:id="53"/>
      <w:bookmarkEnd w:id="54"/>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12F1166"/>
    <w:rsid w:val="455E1F7C"/>
    <w:rsid w:val="45897ADA"/>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21</TotalTime>
  <ScaleCrop>false</ScaleCrop>
  <LinksUpToDate>false</LinksUpToDate>
  <CharactersWithSpaces>7480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2023-08-15T12:24:02Z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