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宋体" w:eastAsia="方正小标宋_GBK"/>
          <w:sz w:val="44"/>
          <w:szCs w:val="44"/>
        </w:rPr>
      </w:pPr>
      <w:bookmarkStart w:id="0" w:name="_Hlk97806973"/>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新疆喀什地区疏勒县中等职业技术学校2021年度部门决算公开说明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1" w:name="_Toc32314"/>
      <w:bookmarkStart w:id="2" w:name="_Toc24028"/>
      <w:r>
        <w:rPr>
          <w:rFonts w:hint="eastAsia" w:ascii="黑体" w:hAnsi="黑体" w:eastAsia="黑体"/>
          <w:sz w:val="32"/>
          <w:szCs w:val="32"/>
        </w:rPr>
        <w:t>第一部分 部门单位概况</w:t>
      </w:r>
      <w:bookmarkEnd w:id="1"/>
      <w:bookmarkEnd w:id="2"/>
    </w:p>
    <w:p>
      <w:pPr>
        <w:ind w:firstLine="640" w:firstLineChars="200"/>
        <w:outlineLvl w:val="1"/>
        <w:rPr>
          <w:rFonts w:ascii="黑体" w:hAnsi="黑体" w:eastAsia="黑体" w:cs="宋体"/>
          <w:bCs/>
          <w:kern w:val="0"/>
          <w:sz w:val="32"/>
          <w:szCs w:val="32"/>
        </w:rPr>
      </w:pPr>
      <w:bookmarkStart w:id="3" w:name="_Toc30567"/>
      <w:bookmarkStart w:id="4" w:name="_Toc30738"/>
      <w:r>
        <w:rPr>
          <w:rFonts w:hint="eastAsia" w:ascii="黑体" w:hAnsi="黑体" w:eastAsia="黑体" w:cs="宋体"/>
          <w:bCs/>
          <w:kern w:val="0"/>
          <w:sz w:val="32"/>
          <w:szCs w:val="32"/>
        </w:rPr>
        <w:t>一、主要职能</w:t>
      </w:r>
      <w:bookmarkEnd w:id="3"/>
      <w:bookmarkEnd w:id="4"/>
    </w:p>
    <w:p>
      <w:pPr>
        <w:rPr>
          <w:rFonts w:ascii="仿宋_GB2312" w:eastAsia="仿宋_GB2312"/>
          <w:sz w:val="32"/>
          <w:szCs w:val="32"/>
        </w:rPr>
      </w:pPr>
      <w:r>
        <w:rPr>
          <w:rFonts w:ascii="仿宋_GB2312" w:eastAsia="仿宋_GB2312"/>
          <w:sz w:val="32"/>
          <w:szCs w:val="32"/>
        </w:rPr>
        <w:t>　　1.实施全日制三年制中等职业教育。</w:t>
      </w:r>
      <w:r>
        <w:rPr>
          <w:rFonts w:ascii="仿宋_GB2312" w:eastAsia="仿宋_GB2312"/>
          <w:sz w:val="32"/>
          <w:szCs w:val="32"/>
        </w:rPr>
        <w:br w:type="textWrapping"/>
      </w:r>
      <w:r>
        <w:rPr>
          <w:rFonts w:ascii="仿宋_GB2312" w:eastAsia="仿宋_GB2312"/>
          <w:sz w:val="32"/>
          <w:szCs w:val="32"/>
        </w:rPr>
        <w:t>　　2.坚持以习近平新时代中国特色社会主义思想为指导，以立德树人为根本，以服务发展为宗旨，以促进就业为导向，培养面向社会生产、建设、管理、服务等一线的高素质技术技能型人才。</w:t>
      </w:r>
      <w:r>
        <w:rPr>
          <w:rFonts w:ascii="仿宋_GB2312" w:eastAsia="仿宋_GB2312"/>
          <w:sz w:val="32"/>
          <w:szCs w:val="32"/>
        </w:rPr>
        <w:br w:type="textWrapping"/>
      </w:r>
      <w:r>
        <w:rPr>
          <w:rFonts w:ascii="仿宋_GB2312" w:eastAsia="仿宋_GB2312"/>
          <w:sz w:val="32"/>
          <w:szCs w:val="32"/>
        </w:rPr>
        <w:t>　　3.贯彻党和国家的教育方针，遵循职业教育规律，坚持依法办学，实行民主管理。推进体制机制、治理管理、教育教学等方面的改革创新。</w:t>
      </w:r>
      <w:r>
        <w:rPr>
          <w:rFonts w:ascii="仿宋_GB2312" w:eastAsia="仿宋_GB2312"/>
          <w:sz w:val="32"/>
          <w:szCs w:val="32"/>
        </w:rPr>
        <w:br w:type="textWrapping"/>
      </w:r>
      <w:r>
        <w:rPr>
          <w:rFonts w:ascii="仿宋_GB2312" w:eastAsia="仿宋_GB2312"/>
          <w:sz w:val="32"/>
          <w:szCs w:val="32"/>
        </w:rPr>
        <w:t>　　4.确立服务经济社会发展和人的全面发展的办学理念，推动专业设置与产业需求对接，课程内容与职业标准对接，教学过程与生产过程对接，职业教育与终身学习对接。</w:t>
      </w:r>
      <w:r>
        <w:rPr>
          <w:rFonts w:ascii="仿宋_GB2312" w:eastAsia="仿宋_GB2312"/>
          <w:sz w:val="32"/>
          <w:szCs w:val="32"/>
        </w:rPr>
        <w:br w:type="textWrapping"/>
      </w:r>
      <w:r>
        <w:rPr>
          <w:rFonts w:ascii="仿宋_GB2312" w:eastAsia="仿宋_GB2312"/>
          <w:sz w:val="32"/>
          <w:szCs w:val="32"/>
        </w:rPr>
        <w:t>　　5.深化职业教育办学体制改革，积极与当地企业合作，推进校企合作，产教融合</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bookmarkStart w:id="5" w:name="_Toc31238"/>
      <w:bookmarkStart w:id="6" w:name="_Toc2151"/>
      <w:r>
        <w:rPr>
          <w:rFonts w:hint="eastAsia" w:ascii="黑体" w:hAnsi="黑体" w:eastAsia="黑体" w:cs="宋体"/>
          <w:bCs/>
          <w:kern w:val="0"/>
          <w:sz w:val="32"/>
          <w:szCs w:val="32"/>
        </w:rPr>
        <w:t>二、机构设置及</w:t>
      </w:r>
      <w:bookmarkEnd w:id="5"/>
      <w:r>
        <w:rPr>
          <w:rFonts w:hint="eastAsia" w:ascii="黑体" w:hAnsi="黑体" w:eastAsia="黑体" w:cs="宋体"/>
          <w:bCs/>
          <w:kern w:val="0"/>
          <w:sz w:val="32"/>
          <w:szCs w:val="32"/>
        </w:rPr>
        <w:t>人员情况</w:t>
      </w:r>
      <w:bookmarkEnd w:id="6"/>
    </w:p>
    <w:p>
      <w:pPr>
        <w:ind w:firstLine="640" w:firstLineChars="200"/>
        <w:rPr>
          <w:rFonts w:ascii="仿宋_GB2312" w:eastAsia="仿宋_GB2312"/>
          <w:sz w:val="32"/>
          <w:szCs w:val="32"/>
        </w:rPr>
      </w:pPr>
      <w:r>
        <w:rPr>
          <w:rFonts w:hint="eastAsia" w:ascii="仿宋_GB2312" w:eastAsia="仿宋_GB2312"/>
          <w:sz w:val="32"/>
          <w:szCs w:val="32"/>
        </w:rPr>
        <w:t>新疆喀什地区疏勒县中等职业技术学校</w:t>
      </w:r>
      <w:r>
        <w:rPr>
          <w:rFonts w:ascii="仿宋_GB2312" w:eastAsia="仿宋_GB2312"/>
          <w:sz w:val="32"/>
          <w:szCs w:val="32"/>
        </w:rPr>
        <w:t>2021</w:t>
      </w:r>
      <w:r>
        <w:rPr>
          <w:rFonts w:hint="eastAsia" w:ascii="仿宋_GB2312" w:eastAsia="仿宋_GB2312"/>
          <w:sz w:val="32"/>
          <w:szCs w:val="32"/>
        </w:rPr>
        <w:t>年度，实有人数</w:t>
      </w:r>
      <w:r>
        <w:rPr>
          <w:rFonts w:ascii="仿宋_GB2312" w:eastAsia="仿宋_GB2312"/>
          <w:sz w:val="32"/>
          <w:szCs w:val="32"/>
        </w:rPr>
        <w:t>134</w:t>
      </w:r>
      <w:r>
        <w:rPr>
          <w:rFonts w:hint="eastAsia" w:ascii="仿宋_GB2312" w:eastAsia="仿宋_GB2312"/>
          <w:sz w:val="32"/>
          <w:szCs w:val="32"/>
        </w:rPr>
        <w:t>人，其中：在职人员</w:t>
      </w:r>
      <w:r>
        <w:rPr>
          <w:rFonts w:ascii="仿宋_GB2312" w:eastAsia="仿宋_GB2312"/>
          <w:sz w:val="32"/>
          <w:szCs w:val="32"/>
        </w:rPr>
        <w:t>104</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30</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从部门决算单位构成看，新疆喀什地区疏勒县中等职业技术学校部门决算包括：新疆喀什地区疏勒县中等职业技术学校决算。</w:t>
      </w: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14</w:t>
      </w:r>
      <w:r>
        <w:rPr>
          <w:rFonts w:hint="eastAsia" w:ascii="仿宋_GB2312" w:hAnsi="黑体" w:eastAsia="仿宋_GB2312" w:cs="宋体"/>
          <w:bCs/>
          <w:kern w:val="0"/>
          <w:sz w:val="32"/>
          <w:szCs w:val="32"/>
        </w:rPr>
        <w:t>个处室，分别是：党政办、教务处、学生工作处、服装工程部、中餐烹饪部、招生就业办、资助管理办、实训处、加工制造部、工会共青团组织、机电工程部、后勤处、计算机与美容美发部、园艺制造部</w:t>
      </w:r>
      <w:r>
        <w:rPr>
          <w:rFonts w:hint="eastAsia" w:ascii="仿宋_GB2312" w:hAnsi="宋体" w:eastAsia="仿宋_GB2312" w:cs="宋体"/>
          <w:kern w:val="0"/>
          <w:sz w:val="32"/>
          <w:szCs w:val="32"/>
        </w:rPr>
        <w:t>。</w:t>
      </w:r>
    </w:p>
    <w:p>
      <w:pPr>
        <w:rPr>
          <w:rFonts w:ascii="Arial" w:hAnsi="Arial" w:cs="Arial"/>
          <w:color w:val="4D4D4D"/>
          <w:shd w:val="clear" w:color="auto" w:fill="FFFFFF"/>
        </w:rPr>
      </w:pPr>
      <w:r>
        <w:rPr>
          <w:rFonts w:ascii="Arial" w:hAnsi="Arial" w:cs="Arial"/>
          <w:color w:val="4D4D4D"/>
          <w:shd w:val="clear" w:color="auto" w:fill="FFFFFF"/>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 部门决算情况说明</w:t>
      </w:r>
    </w:p>
    <w:p>
      <w:pPr>
        <w:ind w:firstLine="640" w:firstLineChars="200"/>
        <w:outlineLvl w:val="1"/>
        <w:rPr>
          <w:rFonts w:ascii="黑体" w:hAnsi="黑体" w:eastAsia="黑体" w:cs="宋体"/>
          <w:bCs/>
          <w:kern w:val="0"/>
          <w:sz w:val="32"/>
          <w:szCs w:val="32"/>
        </w:rPr>
      </w:pPr>
      <w:bookmarkStart w:id="7" w:name="_Toc25314"/>
      <w:bookmarkStart w:id="8" w:name="_Toc12566"/>
      <w:bookmarkStart w:id="9" w:name="_Hlk97807141"/>
      <w:r>
        <w:rPr>
          <w:rFonts w:hint="eastAsia" w:ascii="黑体" w:hAnsi="黑体" w:eastAsia="黑体" w:cs="宋体"/>
          <w:bCs/>
          <w:kern w:val="0"/>
          <w:sz w:val="32"/>
          <w:szCs w:val="32"/>
        </w:rPr>
        <w:t>一、收入支出决算总体情况说明</w:t>
      </w:r>
      <w:bookmarkEnd w:id="7"/>
      <w:bookmarkEnd w:id="8"/>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4,761.04</w:t>
      </w:r>
      <w:r>
        <w:rPr>
          <w:rFonts w:hint="eastAsia" w:ascii="仿宋_GB2312" w:eastAsia="仿宋_GB2312"/>
          <w:sz w:val="32"/>
          <w:szCs w:val="32"/>
        </w:rPr>
        <w:t>万元，与上年相比，增加1,112.93万元，</w:t>
      </w:r>
      <w:r>
        <w:rPr>
          <w:rFonts w:ascii="仿宋_GB2312" w:eastAsia="仿宋_GB2312"/>
          <w:sz w:val="32"/>
          <w:szCs w:val="32"/>
        </w:rPr>
        <w:t>增长30.51</w:t>
      </w:r>
      <w:r>
        <w:rPr>
          <w:rFonts w:hint="eastAsia" w:ascii="仿宋_GB2312" w:eastAsia="仿宋_GB2312"/>
          <w:sz w:val="32"/>
          <w:szCs w:val="32"/>
        </w:rPr>
        <w:t>%，主要原因是：2021年比2020年增加助学金项目、人社局发放的创业补助金项目、职业教育质量提升专项项目资金，项目资金收入增加，导致本年收入增加。本年支出</w:t>
      </w:r>
      <w:r>
        <w:rPr>
          <w:rFonts w:ascii="仿宋_GB2312" w:eastAsia="仿宋_GB2312"/>
          <w:sz w:val="32"/>
          <w:szCs w:val="32"/>
        </w:rPr>
        <w:t>4,761.04</w:t>
      </w:r>
      <w:r>
        <w:rPr>
          <w:rFonts w:hint="eastAsia" w:ascii="仿宋_GB2312" w:eastAsia="仿宋_GB2312"/>
          <w:sz w:val="32"/>
          <w:szCs w:val="32"/>
        </w:rPr>
        <w:t>万元，与上年相比，</w:t>
      </w:r>
      <w:r>
        <w:rPr>
          <w:rFonts w:ascii="仿宋_GB2312" w:eastAsia="仿宋_GB2312"/>
          <w:sz w:val="32"/>
          <w:szCs w:val="32"/>
        </w:rPr>
        <w:t>增加1,112.93</w:t>
      </w:r>
      <w:r>
        <w:rPr>
          <w:rFonts w:hint="eastAsia" w:ascii="仿宋_GB2312" w:eastAsia="仿宋_GB2312"/>
          <w:sz w:val="32"/>
          <w:szCs w:val="32"/>
        </w:rPr>
        <w:t>万元，</w:t>
      </w:r>
      <w:r>
        <w:rPr>
          <w:rFonts w:ascii="仿宋_GB2312" w:eastAsia="仿宋_GB2312"/>
          <w:sz w:val="32"/>
          <w:szCs w:val="32"/>
        </w:rPr>
        <w:t>增长30.51</w:t>
      </w:r>
      <w:r>
        <w:rPr>
          <w:rFonts w:hint="eastAsia" w:ascii="仿宋_GB2312" w:eastAsia="仿宋_GB2312"/>
          <w:sz w:val="32"/>
          <w:szCs w:val="32"/>
        </w:rPr>
        <w:t>%，主要原因是：2021年比2020年增加助学金项目、人社局发放的创业补助金项目、职业教育质量提升专项项目资金，项目资金支出增加，导致本年支出增加。</w:t>
      </w:r>
    </w:p>
    <w:p>
      <w:pPr>
        <w:ind w:firstLine="640" w:firstLineChars="200"/>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4,761.04</w:t>
      </w:r>
      <w:r>
        <w:rPr>
          <w:rFonts w:hint="eastAsia" w:ascii="仿宋_GB2312" w:eastAsia="仿宋_GB2312"/>
          <w:sz w:val="32"/>
          <w:szCs w:val="32"/>
        </w:rPr>
        <w:t>万元，其中：财政拨款收入</w:t>
      </w:r>
      <w:r>
        <w:rPr>
          <w:rFonts w:ascii="仿宋_GB2312" w:eastAsia="仿宋_GB2312"/>
          <w:sz w:val="32"/>
          <w:szCs w:val="32"/>
        </w:rPr>
        <w:t>4,761.04</w:t>
      </w:r>
      <w:r>
        <w:rPr>
          <w:rFonts w:hint="eastAsia" w:ascii="仿宋_GB2312" w:eastAsia="仿宋_GB2312"/>
          <w:sz w:val="32"/>
          <w:szCs w:val="32"/>
        </w:rPr>
        <w:t>万元，占100.00%；上级补助收入</w:t>
      </w:r>
      <w:r>
        <w:rPr>
          <w:rFonts w:ascii="仿宋_GB2312" w:eastAsia="仿宋_GB2312"/>
          <w:sz w:val="32"/>
          <w:szCs w:val="32"/>
        </w:rPr>
        <w:t>0.00</w:t>
      </w:r>
      <w:r>
        <w:rPr>
          <w:rFonts w:hint="eastAsia" w:ascii="仿宋_GB2312" w:eastAsia="仿宋_GB2312"/>
          <w:sz w:val="32"/>
          <w:szCs w:val="32"/>
        </w:rPr>
        <w:t>万元，占0.00%；事业收入</w:t>
      </w:r>
      <w:r>
        <w:rPr>
          <w:rFonts w:ascii="仿宋_GB2312" w:eastAsia="仿宋_GB2312"/>
          <w:sz w:val="32"/>
          <w:szCs w:val="32"/>
        </w:rPr>
        <w:t>0.00</w:t>
      </w:r>
      <w:r>
        <w:rPr>
          <w:rFonts w:hint="eastAsia" w:ascii="仿宋_GB2312" w:eastAsia="仿宋_GB2312"/>
          <w:sz w:val="32"/>
          <w:szCs w:val="32"/>
        </w:rPr>
        <w:t>万元，占0.00%；经营收入</w:t>
      </w:r>
      <w:r>
        <w:rPr>
          <w:rFonts w:ascii="仿宋_GB2312" w:eastAsia="仿宋_GB2312"/>
          <w:sz w:val="32"/>
          <w:szCs w:val="32"/>
        </w:rPr>
        <w:t>0.00</w:t>
      </w:r>
      <w:r>
        <w:rPr>
          <w:rFonts w:hint="eastAsia" w:ascii="仿宋_GB2312" w:eastAsia="仿宋_GB2312"/>
          <w:sz w:val="32"/>
          <w:szCs w:val="32"/>
        </w:rPr>
        <w:t>万元，占0.00%；附属单位上缴收入</w:t>
      </w:r>
      <w:r>
        <w:rPr>
          <w:rFonts w:ascii="仿宋_GB2312" w:eastAsia="仿宋_GB2312"/>
          <w:sz w:val="32"/>
          <w:szCs w:val="32"/>
        </w:rPr>
        <w:t>0.00</w:t>
      </w:r>
      <w:r>
        <w:rPr>
          <w:rFonts w:hint="eastAsia" w:ascii="仿宋_GB2312" w:eastAsia="仿宋_GB2312"/>
          <w:sz w:val="32"/>
          <w:szCs w:val="32"/>
        </w:rPr>
        <w:t>万元，占0.00%；其他收入</w:t>
      </w:r>
      <w:r>
        <w:rPr>
          <w:rFonts w:ascii="仿宋_GB2312" w:eastAsia="仿宋_GB2312"/>
          <w:sz w:val="32"/>
          <w:szCs w:val="32"/>
        </w:rPr>
        <w:t>0.00</w:t>
      </w:r>
      <w:r>
        <w:rPr>
          <w:rFonts w:hint="eastAsia" w:ascii="仿宋_GB2312" w:eastAsia="仿宋_GB2312"/>
          <w:sz w:val="32"/>
          <w:szCs w:val="32"/>
        </w:rPr>
        <w:t>万元，占0.00%。</w:t>
      </w:r>
    </w:p>
    <w:p>
      <w:pPr>
        <w:ind w:firstLine="640" w:firstLineChars="200"/>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年度本年支出4,761.04万元，其中：基本支出</w:t>
      </w:r>
      <w:r>
        <w:rPr>
          <w:rFonts w:ascii="仿宋_GB2312" w:eastAsia="仿宋_GB2312"/>
          <w:sz w:val="32"/>
          <w:szCs w:val="32"/>
        </w:rPr>
        <w:t>1,321.16</w:t>
      </w:r>
      <w:r>
        <w:rPr>
          <w:rFonts w:hint="eastAsia" w:ascii="仿宋_GB2312" w:eastAsia="仿宋_GB2312"/>
          <w:sz w:val="32"/>
          <w:szCs w:val="32"/>
        </w:rPr>
        <w:t>万元，占27.75%；项目支出</w:t>
      </w:r>
      <w:r>
        <w:rPr>
          <w:rFonts w:ascii="仿宋_GB2312" w:eastAsia="仿宋_GB2312"/>
          <w:sz w:val="32"/>
          <w:szCs w:val="32"/>
        </w:rPr>
        <w:t>3,439.88</w:t>
      </w:r>
      <w:r>
        <w:rPr>
          <w:rFonts w:hint="eastAsia" w:ascii="仿宋_GB2312" w:eastAsia="仿宋_GB2312"/>
          <w:sz w:val="32"/>
          <w:szCs w:val="32"/>
        </w:rPr>
        <w:t>万元，占72.25%；上缴上级支出</w:t>
      </w:r>
      <w:r>
        <w:rPr>
          <w:rFonts w:ascii="仿宋_GB2312" w:eastAsia="仿宋_GB2312"/>
          <w:sz w:val="32"/>
          <w:szCs w:val="32"/>
        </w:rPr>
        <w:t>0.00</w:t>
      </w:r>
      <w:r>
        <w:rPr>
          <w:rFonts w:hint="eastAsia" w:ascii="仿宋_GB2312" w:eastAsia="仿宋_GB2312"/>
          <w:sz w:val="32"/>
          <w:szCs w:val="32"/>
        </w:rPr>
        <w:t>万元，占0.00%；经营支出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%；对附属单位补助支出0.00万元，占0.00%。</w:t>
      </w:r>
    </w:p>
    <w:bookmarkEnd w:id="9"/>
    <w:p>
      <w:pPr>
        <w:ind w:firstLine="640" w:firstLineChars="200"/>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财政拨款收入4,761.04万元，与上年相比，增加1,114.93万元，增长30.58%，主要原因是：2021年比2020年增加助学金项目、人社局发放的创业补助金项目、职业教育质量提升专项项目资金，项目资金收入增加，导致本年财政拨款收入增加。财政拨款支出4,761.04万元，与上年相比，增加1,114.93万元，增长30.58%，主要原因是：2021年比2020年增加助学金项目、人社局发放的创业补助金项目、职业教育质量提升专项项目资金，项目资金支出增加，导致本年财政拨款支出增加。</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1,501.38</w:t>
      </w:r>
      <w:r>
        <w:rPr>
          <w:rFonts w:hint="eastAsia" w:ascii="仿宋_GB2312" w:eastAsia="仿宋_GB2312"/>
          <w:sz w:val="32"/>
          <w:szCs w:val="32"/>
        </w:rPr>
        <w:t>万元，决算数</w:t>
      </w:r>
      <w:r>
        <w:rPr>
          <w:rFonts w:ascii="仿宋_GB2312" w:eastAsia="仿宋_GB2312"/>
          <w:sz w:val="32"/>
          <w:szCs w:val="32"/>
        </w:rPr>
        <w:t>4,761.04</w:t>
      </w:r>
      <w:r>
        <w:rPr>
          <w:rFonts w:hint="eastAsia" w:ascii="仿宋_GB2312" w:eastAsia="仿宋_GB2312"/>
          <w:sz w:val="32"/>
          <w:szCs w:val="32"/>
        </w:rPr>
        <w:t>万元，预决算差异率</w:t>
      </w:r>
      <w:r>
        <w:rPr>
          <w:rFonts w:ascii="仿宋_GB2312" w:eastAsia="仿宋_GB2312"/>
          <w:sz w:val="32"/>
          <w:szCs w:val="32"/>
        </w:rPr>
        <w:t>217.11</w:t>
      </w:r>
      <w:r>
        <w:rPr>
          <w:rFonts w:hint="eastAsia" w:ascii="仿宋_GB2312" w:eastAsia="仿宋_GB2312"/>
          <w:sz w:val="32"/>
          <w:szCs w:val="32"/>
        </w:rPr>
        <w:t>%，主要原因是：项目资金未列入年初预算，年中追加职业教育质量提升专项项目资金，助学金项目，中等职业学校国家助学金，2021年自治区为民办实事项目等项目资金。财政拨款支出年初预算数</w:t>
      </w:r>
      <w:r>
        <w:rPr>
          <w:rFonts w:ascii="仿宋_GB2312" w:eastAsia="仿宋_GB2312"/>
          <w:sz w:val="32"/>
          <w:szCs w:val="32"/>
        </w:rPr>
        <w:t>1,501.38</w:t>
      </w:r>
      <w:r>
        <w:rPr>
          <w:rFonts w:hint="eastAsia" w:ascii="仿宋_GB2312" w:eastAsia="仿宋_GB2312"/>
          <w:sz w:val="32"/>
          <w:szCs w:val="32"/>
        </w:rPr>
        <w:t>万元，决算数</w:t>
      </w:r>
      <w:r>
        <w:rPr>
          <w:rFonts w:ascii="仿宋_GB2312" w:eastAsia="仿宋_GB2312"/>
          <w:sz w:val="32"/>
          <w:szCs w:val="32"/>
        </w:rPr>
        <w:t>4,761.04</w:t>
      </w:r>
      <w:r>
        <w:rPr>
          <w:rFonts w:hint="eastAsia" w:ascii="仿宋_GB2312" w:eastAsia="仿宋_GB2312"/>
          <w:sz w:val="32"/>
          <w:szCs w:val="32"/>
        </w:rPr>
        <w:t>万元，预决算差异率217.11%，主要原因是：项目资金未列入年初预算，年中追加职业教育质量提升专项项目资金，助学金项目，中等职业学校国家助学金，2021年自治区为民办实事项目等项目资金。</w:t>
      </w:r>
    </w:p>
    <w:p>
      <w:pPr>
        <w:ind w:firstLine="640" w:firstLineChars="200"/>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年度一般公共预算财政拨款支出4,741.04万元。按功能分类科目项级科目公开，其中：</w:t>
      </w:r>
    </w:p>
    <w:p>
      <w:pPr>
        <w:jc w:val="left"/>
        <w:rPr>
          <w:rFonts w:ascii="仿宋_GB2312" w:eastAsia="仿宋_GB2312"/>
          <w:sz w:val="32"/>
          <w:szCs w:val="32"/>
        </w:rPr>
      </w:pPr>
      <w:bookmarkStart w:id="18" w:name="_Toc11146"/>
      <w:bookmarkStart w:id="19" w:name="_Toc30870"/>
      <w:r>
        <w:rPr>
          <w:rFonts w:ascii="仿宋_GB2312" w:eastAsia="仿宋_GB2312"/>
          <w:sz w:val="32"/>
          <w:szCs w:val="32"/>
        </w:rPr>
        <w:tab/>
      </w:r>
      <w:r>
        <w:rPr>
          <w:rFonts w:ascii="仿宋_GB2312" w:eastAsia="仿宋_GB2312"/>
          <w:sz w:val="32"/>
          <w:szCs w:val="32"/>
        </w:rPr>
        <w:t xml:space="preserve"> 2050302中等职业教育4,272.63万元；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2050303技校教育174.97万元；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2050801教师进修122.92万元；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2080505机关事业单位基本养老保险缴费支出107.47万元；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2080506机关事业单位职业年金缴费支出5.05万元；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2299999其他支出57.99万元。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w:t>
      </w:r>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年度一般公共预算财政拨款基本支出</w:t>
      </w:r>
      <w:r>
        <w:rPr>
          <w:rFonts w:ascii="仿宋_GB2312" w:eastAsia="仿宋_GB2312"/>
          <w:sz w:val="32"/>
          <w:szCs w:val="32"/>
        </w:rPr>
        <w:t>1,321.16</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1,321.16</w:t>
      </w:r>
      <w:r>
        <w:rPr>
          <w:rFonts w:hint="eastAsia" w:ascii="仿宋_GB2312" w:eastAsia="仿宋_GB2312"/>
          <w:sz w:val="32"/>
          <w:szCs w:val="32"/>
        </w:rPr>
        <w:t>万元，包括：基本工资、津贴补贴、奖金、绩效工资、机关事业单位基本养老保险缴费、职业年金缴费、职工基本医疗保险缴费、其他社会保障缴费、住房公积金、退休费、抚恤金、生活补助、奖励金</w:t>
      </w:r>
      <w:r>
        <w:rPr>
          <w:rFonts w:hint="eastAsia" w:ascii="仿宋_GB2312" w:hAnsi="宋体" w:eastAsia="仿宋_GB2312" w:cs="宋体"/>
          <w:kern w:val="0"/>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公用经费0.00万元，包括：无</w:t>
      </w:r>
      <w:r>
        <w:rPr>
          <w:rFonts w:hint="eastAsia" w:ascii="仿宋_GB2312" w:hAnsi="宋体" w:eastAsia="仿宋_GB2312" w:cs="宋体"/>
          <w:kern w:val="0"/>
          <w:sz w:val="32"/>
          <w:szCs w:val="32"/>
        </w:rPr>
        <w:t>。</w:t>
      </w:r>
    </w:p>
    <w:p>
      <w:pPr>
        <w:ind w:firstLine="640" w:firstLineChars="200"/>
        <w:outlineLvl w:val="1"/>
        <w:rPr>
          <w:rFonts w:ascii="黑体" w:hAnsi="黑体" w:eastAsia="黑体" w:cs="宋体"/>
          <w:bCs/>
          <w:kern w:val="0"/>
          <w:sz w:val="32"/>
          <w:szCs w:val="32"/>
        </w:rPr>
      </w:pPr>
      <w:bookmarkStart w:id="20" w:name="_Toc7190"/>
      <w:bookmarkStart w:id="21" w:name="_Toc21518"/>
      <w:r>
        <w:rPr>
          <w:rFonts w:hint="eastAsia" w:ascii="黑体" w:hAnsi="黑体" w:eastAsia="黑体" w:cs="宋体"/>
          <w:bCs/>
          <w:kern w:val="0"/>
          <w:sz w:val="32"/>
          <w:szCs w:val="32"/>
        </w:rPr>
        <w:t>七、一般公共预算财政拨款“三公”经费支出决算情况说明</w:t>
      </w:r>
      <w:bookmarkEnd w:id="20"/>
      <w:bookmarkEnd w:id="21"/>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2021年度一般公共预算“三公”经费支出决算0.00万元，比上年增加0.00万元，增长0.00%，主要原因是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我单位无一般公共预算“三公”经费支出。其中</w:t>
      </w:r>
      <w:r>
        <w:rPr>
          <w:rFonts w:hint="eastAsia" w:ascii="仿宋_GB2312" w:eastAsia="仿宋_GB2312"/>
          <w:sz w:val="32"/>
          <w:szCs w:val="32"/>
          <w:lang w:eastAsia="zh-CN"/>
        </w:rPr>
        <w:t>：</w:t>
      </w:r>
      <w:r>
        <w:rPr>
          <w:rFonts w:ascii="仿宋_GB2312" w:eastAsia="仿宋_GB2312"/>
          <w:sz w:val="32"/>
          <w:szCs w:val="32"/>
        </w:rPr>
        <w:t>因公出国（境）费支出0.00万元，占0.00%，比上年增加0.00万元，增长0.00%，主要原因是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因公出国（境）费；公务用车购置及运行维护费支出0.00万元，占0.00%，比上年增加0.00万元，增长0.00%，主要原因是：我单位无公务用车购置及运行维护费；公务接待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我单位无公务接待费。具体情况如下：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0.00</w:t>
      </w:r>
      <w:r>
        <w:rPr>
          <w:rFonts w:hint="eastAsia" w:ascii="仿宋_GB2312" w:eastAsia="仿宋_GB2312"/>
          <w:sz w:val="32"/>
          <w:szCs w:val="32"/>
        </w:rPr>
        <w:t>万元，其中</w:t>
      </w:r>
      <w:r>
        <w:rPr>
          <w:rFonts w:hint="eastAsia" w:ascii="仿宋_GB2312" w:eastAsia="仿宋_GB2312"/>
          <w:sz w:val="32"/>
          <w:szCs w:val="32"/>
          <w:lang w:eastAsia="zh-CN"/>
        </w:rPr>
        <w:t>：</w:t>
      </w:r>
      <w:r>
        <w:rPr>
          <w:rFonts w:hint="eastAsia" w:ascii="仿宋_GB2312" w:eastAsia="仿宋_GB2312"/>
          <w:sz w:val="32"/>
          <w:szCs w:val="32"/>
        </w:rPr>
        <w:t>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0.00</w:t>
      </w:r>
      <w:r>
        <w:rPr>
          <w:rFonts w:hint="eastAsia" w:ascii="仿宋_GB2312" w:eastAsia="仿宋_GB2312"/>
          <w:sz w:val="32"/>
          <w:szCs w:val="32"/>
        </w:rPr>
        <w:t>万元。公务用车运行维护费开支内容包括：我单位无公务用车运行维护费。公务用车购置数</w:t>
      </w:r>
      <w:r>
        <w:rPr>
          <w:rFonts w:ascii="仿宋_GB2312" w:eastAsia="仿宋_GB2312"/>
          <w:sz w:val="32"/>
          <w:szCs w:val="32"/>
        </w:rPr>
        <w:t>0</w:t>
      </w:r>
      <w:r>
        <w:rPr>
          <w:rFonts w:hint="eastAsia" w:ascii="仿宋_GB2312" w:eastAsia="仿宋_GB2312"/>
          <w:sz w:val="32"/>
          <w:szCs w:val="32"/>
        </w:rPr>
        <w:t>辆，公务用车保有量0辆。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与年初预算数相比情况：一般公共预算“三公”经费支出年初预算数0.00万元，决算数</w:t>
      </w:r>
      <w:r>
        <w:rPr>
          <w:rFonts w:ascii="仿宋_GB2312" w:eastAsia="仿宋_GB2312"/>
          <w:sz w:val="32"/>
          <w:szCs w:val="32"/>
        </w:rPr>
        <w:t>0.00</w:t>
      </w:r>
      <w:r>
        <w:rPr>
          <w:rFonts w:hint="eastAsia" w:ascii="仿宋_GB2312" w:eastAsia="仿宋_GB2312"/>
          <w:sz w:val="32"/>
          <w:szCs w:val="32"/>
        </w:rPr>
        <w:t>万元，预决算差异率0.00%，主要原因是：我单位无一般公共预算“三公”经费支出。</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费预算数0.00万元，决算数0.00万元，预决算差异率0.00%，主要原因是：我单位无公务用车购置费；</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预算数0.00万元，决算数0.00万元，预决算差异率0.00%，主要原因是：我单位无公务用车运行维护费；</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pPr>
        <w:ind w:firstLine="640" w:firstLineChars="200"/>
        <w:outlineLvl w:val="1"/>
        <w:rPr>
          <w:rFonts w:ascii="黑体" w:hAnsi="黑体" w:eastAsia="黑体" w:cs="宋体"/>
          <w:bCs/>
          <w:kern w:val="0"/>
          <w:sz w:val="32"/>
          <w:szCs w:val="32"/>
        </w:rPr>
      </w:pPr>
      <w:bookmarkStart w:id="22" w:name="_Toc7927"/>
      <w:bookmarkStart w:id="23" w:name="_Toc5810"/>
      <w:r>
        <w:rPr>
          <w:rFonts w:hint="eastAsia" w:ascii="黑体" w:hAnsi="黑体" w:eastAsia="黑体" w:cs="宋体"/>
          <w:bCs/>
          <w:kern w:val="0"/>
          <w:sz w:val="32"/>
          <w:szCs w:val="32"/>
        </w:rPr>
        <w:t>八、政府性基金预算财政拨款收入支出决算情况说明</w:t>
      </w:r>
      <w:bookmarkEnd w:id="22"/>
      <w:bookmarkEnd w:id="23"/>
    </w:p>
    <w:p>
      <w:pPr>
        <w:ind w:firstLine="640" w:firstLineChars="200"/>
        <w:rPr>
          <w:rFonts w:hint="eastAsia" w:ascii="仿宋_GB2312" w:hAnsi="宋体" w:eastAsia="仿宋_GB2312"/>
          <w:kern w:val="0"/>
          <w:sz w:val="32"/>
          <w:szCs w:val="32"/>
          <w:lang w:eastAsia="zh-CN"/>
        </w:rPr>
      </w:pPr>
      <w:r>
        <w:rPr>
          <w:rFonts w:ascii="仿宋_GB2312" w:eastAsia="仿宋_GB2312"/>
          <w:sz w:val="32"/>
          <w:szCs w:val="32"/>
        </w:rPr>
        <w:t>2021年度政府性基金预算财政拨款收入20.00万元，与上年相比，增加20.00万元，增长100.00%，主要原因是：2021年新增教育事业的彩票公益金支出学校品牌项目资金。政府性基金预算财政拨款支出20.00万元</w:t>
      </w:r>
      <w:r>
        <w:rPr>
          <w:rFonts w:hint="eastAsia" w:ascii="仿宋_GB2312" w:eastAsia="仿宋_GB2312"/>
          <w:sz w:val="32"/>
          <w:szCs w:val="32"/>
        </w:rPr>
        <w:t>，</w:t>
      </w:r>
      <w:r>
        <w:rPr>
          <w:rFonts w:ascii="仿宋_GB2312" w:eastAsia="仿宋_GB2312"/>
          <w:sz w:val="32"/>
          <w:szCs w:val="32"/>
        </w:rPr>
        <w:t>与上年相比，增加20.00万元，增长100.00%，主要原因是：2021年新增教育事业的彩票公益金支出学校品牌项目资金。</w:t>
      </w:r>
    </w:p>
    <w:p>
      <w:pPr>
        <w:ind w:firstLine="640" w:firstLineChars="200"/>
        <w:rPr>
          <w:rFonts w:ascii="仿宋_GB2312" w:eastAsia="仿宋_GB2312"/>
          <w:sz w:val="32"/>
          <w:szCs w:val="32"/>
        </w:rPr>
      </w:pPr>
      <w:r>
        <w:rPr>
          <w:rFonts w:hint="eastAsia" w:ascii="仿宋_GB2312" w:eastAsia="仿宋_GB2312"/>
          <w:sz w:val="32"/>
          <w:szCs w:val="32"/>
        </w:rPr>
        <w:t>政府性基金预算财政拨款支出20.00万元。按功能分类科目项级科目公开</w:t>
      </w:r>
      <w:r>
        <w:rPr>
          <w:rFonts w:hint="eastAsia" w:ascii="仿宋_GB2312" w:eastAsia="仿宋_GB2312"/>
          <w:sz w:val="32"/>
          <w:szCs w:val="32"/>
          <w:lang w:eastAsia="zh-CN"/>
        </w:rPr>
        <w:t>，</w:t>
      </w:r>
      <w:r>
        <w:rPr>
          <w:rFonts w:hint="eastAsia" w:ascii="仿宋_GB2312" w:eastAsia="仿宋_GB2312"/>
          <w:sz w:val="32"/>
          <w:szCs w:val="32"/>
        </w:rPr>
        <w:t>其中：</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ascii="仿宋_GB2312" w:eastAsia="仿宋_GB2312"/>
          <w:sz w:val="32"/>
          <w:szCs w:val="32"/>
        </w:rPr>
      </w:pPr>
      <w:r>
        <w:rPr>
          <w:rFonts w:hint="eastAsia" w:ascii="仿宋_GB2312" w:eastAsia="仿宋_GB2312"/>
          <w:sz w:val="32"/>
          <w:szCs w:val="32"/>
        </w:rPr>
        <w:t>2296004用于教育事业的彩票公益金支出20.00万元。</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Arial" w:hAnsi="Arial" w:cs="Arial"/>
          <w:color w:val="4D4D4D"/>
          <w:shd w:val="clear" w:color="auto" w:fill="FFFFFF"/>
        </w:rPr>
      </w:pPr>
      <w:r>
        <w:rPr>
          <w:rFonts w:hint="eastAsia" w:ascii="仿宋_GB2312" w:eastAsia="仿宋_GB2312"/>
          <w:sz w:val="32"/>
          <w:szCs w:val="32"/>
        </w:rPr>
        <w:t>我单位本年度无国有资本经营预算财政拨款收入支出，国有资本经营预算财政拨款收入支出决算表为空表。</w:t>
      </w:r>
    </w:p>
    <w:p>
      <w:pPr>
        <w:ind w:firstLine="640" w:firstLineChars="200"/>
        <w:outlineLvl w:val="1"/>
        <w:rPr>
          <w:rFonts w:ascii="黑体" w:hAnsi="黑体" w:eastAsia="黑体" w:cs="宋体"/>
          <w:bCs/>
          <w:kern w:val="0"/>
          <w:sz w:val="32"/>
          <w:szCs w:val="32"/>
        </w:rPr>
      </w:pPr>
      <w:bookmarkStart w:id="24" w:name="_Toc7314"/>
      <w:bookmarkStart w:id="25" w:name="_Toc1235"/>
      <w:r>
        <w:rPr>
          <w:rFonts w:hint="eastAsia" w:ascii="黑体" w:hAnsi="黑体" w:eastAsia="黑体" w:cs="宋体"/>
          <w:bCs/>
          <w:kern w:val="0"/>
          <w:sz w:val="32"/>
          <w:szCs w:val="32"/>
        </w:rPr>
        <w:t>十、其他重要事项的情况说明</w:t>
      </w:r>
      <w:bookmarkEnd w:id="24"/>
      <w:bookmarkEnd w:id="25"/>
    </w:p>
    <w:p>
      <w:pPr>
        <w:ind w:firstLine="640" w:firstLineChars="200"/>
        <w:outlineLvl w:val="2"/>
        <w:rPr>
          <w:rFonts w:hint="eastAsia" w:ascii="黑体" w:hAnsi="黑体" w:eastAsia="黑体"/>
          <w:sz w:val="32"/>
          <w:szCs w:val="32"/>
        </w:rPr>
      </w:pPr>
      <w:bookmarkStart w:id="26" w:name="_Toc14519"/>
      <w:bookmarkStart w:id="27" w:name="_Toc13105"/>
      <w:r>
        <w:rPr>
          <w:rFonts w:hint="eastAsia" w:ascii="黑体" w:hAnsi="黑体" w:eastAsia="黑体"/>
          <w:sz w:val="32"/>
          <w:szCs w:val="32"/>
        </w:rPr>
        <w:t>（一）机关运行经费支出情况</w:t>
      </w:r>
      <w:bookmarkEnd w:id="26"/>
      <w:bookmarkEnd w:id="27"/>
    </w:p>
    <w:p>
      <w:pPr>
        <w:ind w:firstLine="640" w:firstLineChars="200"/>
        <w:outlineLvl w:val="2"/>
        <w:rPr>
          <w:rFonts w:ascii="黑体" w:hAnsi="黑体" w:eastAsia="黑体"/>
          <w:sz w:val="32"/>
          <w:szCs w:val="32"/>
        </w:rPr>
      </w:pPr>
      <w:r>
        <w:rPr>
          <w:rFonts w:hint="eastAsia" w:ascii="仿宋_GB2312" w:eastAsia="仿宋_GB2312"/>
          <w:sz w:val="32"/>
          <w:szCs w:val="32"/>
        </w:rPr>
        <w:t>2021年度新疆喀什地区疏勒县中等职业技术学校（事业单位）公用经费0.00万元，比</w:t>
      </w:r>
      <w:r>
        <w:rPr>
          <w:rFonts w:hint="eastAsia" w:ascii="仿宋_GB2312" w:eastAsia="仿宋_GB2312"/>
          <w:sz w:val="32"/>
          <w:szCs w:val="32"/>
          <w:lang w:val="en-US" w:eastAsia="zh-CN"/>
        </w:rPr>
        <w:t>上年</w:t>
      </w:r>
      <w:r>
        <w:rPr>
          <w:rFonts w:hint="eastAsia" w:ascii="仿宋_GB2312" w:eastAsia="仿宋_GB2312"/>
          <w:sz w:val="32"/>
          <w:szCs w:val="32"/>
        </w:rPr>
        <w:t>增加0.00</w:t>
      </w:r>
      <w:r>
        <w:rPr>
          <w:rFonts w:hint="eastAsia" w:ascii="仿宋_GB2312" w:eastAsia="仿宋_GB2312"/>
          <w:sz w:val="32"/>
          <w:szCs w:val="32"/>
          <w:lang w:val="en-US" w:eastAsia="zh-CN"/>
        </w:rPr>
        <w:t>万</w:t>
      </w:r>
      <w:r>
        <w:rPr>
          <w:rFonts w:hint="eastAsia" w:ascii="仿宋_GB2312" w:eastAsia="仿宋_GB2312"/>
          <w:sz w:val="32"/>
          <w:szCs w:val="32"/>
        </w:rPr>
        <w:t>元，增长0.00%，主要原因是：年初预算未安排日常公用经费，日常公用经费均在专项项目经费中列支。</w:t>
      </w:r>
    </w:p>
    <w:p>
      <w:pPr>
        <w:ind w:firstLine="640" w:firstLineChars="200"/>
        <w:outlineLvl w:val="2"/>
        <w:rPr>
          <w:rFonts w:hint="eastAsia" w:ascii="黑体" w:hAnsi="黑体" w:eastAsia="黑体"/>
          <w:sz w:val="32"/>
          <w:szCs w:val="32"/>
        </w:rPr>
      </w:pPr>
      <w:bookmarkStart w:id="28" w:name="_Toc26704"/>
      <w:bookmarkStart w:id="29" w:name="_Toc227"/>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2021年度政府采购支出总额</w:t>
      </w:r>
      <w:r>
        <w:rPr>
          <w:rFonts w:ascii="仿宋_GB2312" w:eastAsia="仿宋_GB2312"/>
          <w:sz w:val="32"/>
          <w:szCs w:val="32"/>
        </w:rPr>
        <w:t>476.56</w:t>
      </w:r>
      <w:r>
        <w:rPr>
          <w:rFonts w:hint="eastAsia" w:ascii="仿宋_GB2312" w:eastAsia="仿宋_GB2312"/>
          <w:sz w:val="32"/>
          <w:szCs w:val="32"/>
        </w:rPr>
        <w:t>万元，其中：政府采购货物支出</w:t>
      </w:r>
      <w:r>
        <w:rPr>
          <w:rFonts w:ascii="仿宋_GB2312" w:eastAsia="仿宋_GB2312"/>
          <w:sz w:val="32"/>
          <w:szCs w:val="32"/>
        </w:rPr>
        <w:t>470.39</w:t>
      </w:r>
      <w:r>
        <w:rPr>
          <w:rFonts w:hint="eastAsia" w:ascii="仿宋_GB2312" w:eastAsia="仿宋_GB2312"/>
          <w:sz w:val="32"/>
          <w:szCs w:val="32"/>
        </w:rPr>
        <w:t>万元、政府采购工程支出</w:t>
      </w:r>
      <w:r>
        <w:rPr>
          <w:rFonts w:ascii="仿宋_GB2312" w:eastAsia="仿宋_GB2312"/>
          <w:sz w:val="32"/>
          <w:szCs w:val="32"/>
        </w:rPr>
        <w:t>0.00</w:t>
      </w:r>
      <w:r>
        <w:rPr>
          <w:rFonts w:hint="eastAsia" w:ascii="仿宋_GB2312" w:eastAsia="仿宋_GB2312"/>
          <w:sz w:val="32"/>
          <w:szCs w:val="32"/>
        </w:rPr>
        <w:t>万元、政府采购服务支出</w:t>
      </w:r>
      <w:r>
        <w:rPr>
          <w:rFonts w:ascii="仿宋_GB2312" w:eastAsia="仿宋_GB2312"/>
          <w:sz w:val="32"/>
          <w:szCs w:val="32"/>
        </w:rPr>
        <w:t>6.17</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476.56</w:t>
      </w:r>
      <w:r>
        <w:rPr>
          <w:rFonts w:hint="eastAsia" w:ascii="仿宋_GB2312" w:eastAsia="仿宋_GB2312"/>
          <w:sz w:val="32"/>
          <w:szCs w:val="32"/>
        </w:rPr>
        <w:t>万元，占政府采购支出总额的</w:t>
      </w:r>
      <w:r>
        <w:rPr>
          <w:rFonts w:ascii="仿宋_GB2312" w:eastAsia="仿宋_GB2312"/>
          <w:sz w:val="32"/>
          <w:szCs w:val="32"/>
        </w:rPr>
        <w:t>100.00</w:t>
      </w:r>
      <w:r>
        <w:rPr>
          <w:rFonts w:hint="eastAsia" w:ascii="仿宋_GB2312" w:eastAsia="仿宋_GB2312"/>
          <w:sz w:val="32"/>
          <w:szCs w:val="32"/>
        </w:rPr>
        <w:t>%，其中：授予小微企业合同金额</w:t>
      </w:r>
      <w:r>
        <w:rPr>
          <w:rFonts w:ascii="仿宋_GB2312" w:eastAsia="仿宋_GB2312"/>
          <w:sz w:val="32"/>
          <w:szCs w:val="32"/>
        </w:rPr>
        <w:t>476.56</w:t>
      </w:r>
      <w:r>
        <w:rPr>
          <w:rFonts w:hint="eastAsia" w:ascii="仿宋_GB2312" w:eastAsia="仿宋_GB2312"/>
          <w:sz w:val="32"/>
          <w:szCs w:val="32"/>
        </w:rPr>
        <w:t>万元，占政府采购支出总额的</w:t>
      </w:r>
      <w:r>
        <w:rPr>
          <w:rFonts w:ascii="仿宋_GB2312" w:eastAsia="仿宋_GB2312"/>
          <w:sz w:val="32"/>
          <w:szCs w:val="32"/>
        </w:rPr>
        <w:t>100.00</w:t>
      </w:r>
      <w:r>
        <w:rPr>
          <w:rFonts w:hint="eastAsia" w:ascii="仿宋_GB2312" w:eastAsia="仿宋_GB2312"/>
          <w:sz w:val="32"/>
          <w:szCs w:val="32"/>
        </w:rPr>
        <w:t>%。</w:t>
      </w:r>
    </w:p>
    <w:p>
      <w:pPr>
        <w:ind w:firstLine="640" w:firstLineChars="200"/>
        <w:outlineLvl w:val="2"/>
        <w:rPr>
          <w:rFonts w:ascii="黑体" w:hAnsi="黑体" w:eastAsia="黑体"/>
          <w:sz w:val="32"/>
          <w:szCs w:val="32"/>
        </w:rPr>
      </w:pPr>
      <w:bookmarkStart w:id="30" w:name="_Toc8391"/>
      <w:bookmarkStart w:id="31" w:name="_Toc45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hint="eastAsia" w:ascii="仿宋_GB2312" w:eastAsia="仿宋_GB2312"/>
          <w:sz w:val="32"/>
          <w:szCs w:val="32"/>
        </w:rPr>
        <w:t>截止2021年12月31日，单位共有房屋</w:t>
      </w:r>
      <w:r>
        <w:rPr>
          <w:rFonts w:ascii="仿宋_GB2312" w:eastAsia="仿宋_GB2312"/>
          <w:sz w:val="32"/>
          <w:szCs w:val="32"/>
        </w:rPr>
        <w:t>52,251.97</w:t>
      </w:r>
      <w:r>
        <w:rPr>
          <w:rFonts w:hint="eastAsia" w:ascii="仿宋_GB2312" w:eastAsia="仿宋_GB2312"/>
          <w:sz w:val="32"/>
          <w:szCs w:val="32"/>
        </w:rPr>
        <w:t>（平方米），价值</w:t>
      </w:r>
      <w:r>
        <w:rPr>
          <w:rFonts w:ascii="仿宋_GB2312" w:eastAsia="仿宋_GB2312"/>
          <w:sz w:val="32"/>
          <w:szCs w:val="32"/>
        </w:rPr>
        <w:t>7,467.11</w:t>
      </w:r>
      <w:r>
        <w:rPr>
          <w:rFonts w:hint="eastAsia" w:ascii="仿宋_GB2312" w:eastAsia="仿宋_GB2312"/>
          <w:sz w:val="32"/>
          <w:szCs w:val="32"/>
        </w:rPr>
        <w:t>万元。车辆</w:t>
      </w:r>
      <w:r>
        <w:rPr>
          <w:rFonts w:ascii="仿宋_GB2312" w:eastAsia="仿宋_GB2312"/>
          <w:sz w:val="32"/>
          <w:szCs w:val="32"/>
        </w:rPr>
        <w:t>1</w:t>
      </w:r>
      <w:r>
        <w:rPr>
          <w:rFonts w:hint="eastAsia" w:ascii="仿宋_GB2312" w:eastAsia="仿宋_GB2312"/>
          <w:sz w:val="32"/>
          <w:szCs w:val="32"/>
        </w:rPr>
        <w:t>辆，价值</w:t>
      </w:r>
      <w:r>
        <w:rPr>
          <w:rFonts w:ascii="仿宋_GB2312" w:eastAsia="仿宋_GB2312"/>
          <w:sz w:val="32"/>
          <w:szCs w:val="32"/>
        </w:rPr>
        <w:t>15.96</w:t>
      </w:r>
      <w:r>
        <w:rPr>
          <w:rFonts w:hint="eastAsia" w:ascii="仿宋_GB2312" w:eastAsia="仿宋_GB2312"/>
          <w:sz w:val="32"/>
          <w:szCs w:val="32"/>
        </w:rPr>
        <w:t>万元，其中：副部（省）级及以上领导用车0辆、主要领导干部用车0辆、机要通信用车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1</w:t>
      </w:r>
      <w:r>
        <w:rPr>
          <w:rFonts w:hint="eastAsia" w:ascii="仿宋_GB2312" w:eastAsia="仿宋_GB2312"/>
          <w:sz w:val="32"/>
          <w:szCs w:val="32"/>
        </w:rPr>
        <w:t>辆，其他用车主要是：</w:t>
      </w:r>
      <w:r>
        <w:rPr>
          <w:rFonts w:hint="eastAsia" w:ascii="仿宋_GB2312" w:eastAsia="仿宋_GB2312"/>
          <w:sz w:val="32"/>
          <w:szCs w:val="32"/>
          <w:lang w:eastAsia="zh-CN"/>
        </w:rPr>
        <w:t>业务</w:t>
      </w:r>
      <w:r>
        <w:rPr>
          <w:rFonts w:hint="eastAsia" w:ascii="仿宋_GB2312" w:eastAsia="仿宋_GB2312"/>
          <w:sz w:val="32"/>
          <w:szCs w:val="32"/>
        </w:rPr>
        <w:t>用车；单位价值50万元以上通用设备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bookmarkStart w:id="54" w:name="_GoBack"/>
      <w:bookmarkEnd w:id="54"/>
    </w:p>
    <w:p>
      <w:pPr>
        <w:ind w:firstLine="640" w:firstLineChars="200"/>
        <w:outlineLvl w:val="1"/>
        <w:rPr>
          <w:rFonts w:ascii="黑体" w:hAnsi="黑体" w:eastAsia="黑体" w:cs="宋体"/>
          <w:bCs/>
          <w:kern w:val="0"/>
          <w:sz w:val="32"/>
          <w:szCs w:val="32"/>
        </w:rPr>
      </w:pPr>
      <w:bookmarkStart w:id="32" w:name="_Toc11283"/>
      <w:bookmarkStart w:id="33" w:name="_Toc435"/>
      <w:r>
        <w:rPr>
          <w:rFonts w:hint="eastAsia" w:ascii="黑体" w:hAnsi="黑体" w:eastAsia="黑体" w:cs="宋体"/>
          <w:bCs/>
          <w:kern w:val="0"/>
          <w:sz w:val="32"/>
          <w:szCs w:val="32"/>
        </w:rPr>
        <w:t>十一、预算绩效的情况说明</w:t>
      </w:r>
      <w:bookmarkEnd w:id="32"/>
      <w:bookmarkEnd w:id="33"/>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根据预算绩效管理要求，我单位2021年度开展预算绩效评价项目0个，共涉及资金0万元。预算绩效管理取得的成效：我单位无预算项目绩效。发现的问题及原因：我单位无预算项目绩效。下一步改进措施：我单位无预算项目绩效。具体项目自评情况附项目支出绩效自评表。</w:t>
      </w:r>
    </w:p>
    <w:p>
      <w:pPr>
        <w:rPr>
          <w:rFonts w:ascii="仿宋_GB2312" w:eastAsia="仿宋_GB2312"/>
          <w:sz w:val="32"/>
          <w:szCs w:val="32"/>
        </w:rPr>
      </w:pPr>
      <w:r>
        <w:rPr>
          <w:rFonts w:ascii="仿宋_GB2312" w:eastAsia="仿宋_GB2312"/>
          <w:sz w:val="32"/>
          <w:szCs w:val="32"/>
        </w:rPr>
        <w:br w:type="page"/>
      </w:r>
    </w:p>
    <w:p>
      <w:pPr>
        <w:ind w:firstLine="640" w:firstLineChars="200"/>
        <w:jc w:val="center"/>
        <w:outlineLvl w:val="0"/>
        <w:rPr>
          <w:rFonts w:ascii="黑体" w:hAnsi="黑体" w:eastAsia="黑体"/>
          <w:sz w:val="32"/>
          <w:szCs w:val="32"/>
        </w:rPr>
      </w:pPr>
      <w:bookmarkStart w:id="34" w:name="_Toc24143"/>
      <w:bookmarkStart w:id="35" w:name="_Toc3250"/>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rFonts w:ascii="黑体" w:hAnsi="黑体" w:eastAsia="黑体"/>
          <w:sz w:val="32"/>
          <w:szCs w:val="32"/>
        </w:rPr>
      </w:pPr>
      <w:bookmarkStart w:id="36" w:name="_Toc22784"/>
      <w:bookmarkStart w:id="37" w:name="_Toc28903"/>
      <w:r>
        <w:rPr>
          <w:rFonts w:hint="eastAsia" w:ascii="黑体" w:hAnsi="黑体" w:eastAsia="黑体"/>
          <w:sz w:val="32"/>
          <w:szCs w:val="32"/>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2183"/>
      <w:bookmarkStart w:id="39" w:name="_Toc6062"/>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24532"/>
      <w:bookmarkStart w:id="41" w:name="_Toc30364"/>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32434"/>
      <w:bookmarkStart w:id="43" w:name="_Toc2130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14238"/>
      <w:bookmarkStart w:id="45" w:name="_Toc28786"/>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4869"/>
      <w:bookmarkStart w:id="47" w:name="_Toc10347"/>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8884"/>
      <w:bookmarkStart w:id="49" w:name="_Toc5626"/>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32663"/>
      <w:bookmarkStart w:id="51" w:name="_Toc29106"/>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7643"/>
      <w:bookmarkStart w:id="53" w:name="_Toc5453"/>
      <w:r>
        <w:rPr>
          <w:rFonts w:hint="eastAsia" w:ascii="黑体" w:hAnsi="黑体" w:eastAsia="黑体" w:cs="宋体"/>
          <w:bCs/>
          <w:kern w:val="0"/>
          <w:sz w:val="32"/>
          <w:szCs w:val="32"/>
        </w:rPr>
        <w:t>八、《政府性基金预算财政拨款收入支出决算表》</w:t>
      </w:r>
      <w:bookmarkEnd w:id="52"/>
      <w:bookmarkEnd w:id="53"/>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九、《国有资本经营预算财政拨款收入支出决算表》</w:t>
      </w:r>
    </w:p>
    <w:bookmarkEnd w:id="0"/>
    <w:p>
      <w:pPr>
        <w:ind w:firstLine="640" w:firstLineChars="200"/>
        <w:outlineLvl w:val="1"/>
        <w:rPr>
          <w:rFonts w:ascii="黑体" w:hAnsi="黑体" w:eastAsia="黑体" w:cs="宋体"/>
          <w:bCs/>
          <w:kern w:val="0"/>
          <w:sz w:val="32"/>
          <w:szCs w:val="32"/>
        </w:rPr>
      </w:pPr>
    </w:p>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lang w:bidi="ug-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wps:txbx>
                    <wps:bodyPr vert="horz" wrap="none" lIns="0" tIns="0" rIns="0" bIns="0" anchor="t">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BPOpCYwwEAAG0DAAAOAAAAAAAAAAEAIAAAAB4BAABkcnMvZTJvRG9jLnhtbFBL&#10;BQYAAAAABgAGAFkBAABTBQ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iYzk0YzA4ZjRjODNlZDgwMmQzYTBhNGFhMjA2OTkifQ=="/>
  </w:docVars>
  <w:rsids>
    <w:rsidRoot w:val="006B7B8C"/>
    <w:rsid w:val="00014AAB"/>
    <w:rsid w:val="00015801"/>
    <w:rsid w:val="0002486D"/>
    <w:rsid w:val="00062388"/>
    <w:rsid w:val="000731DE"/>
    <w:rsid w:val="00082B96"/>
    <w:rsid w:val="000874C6"/>
    <w:rsid w:val="00091D32"/>
    <w:rsid w:val="000B3F65"/>
    <w:rsid w:val="000B4DF4"/>
    <w:rsid w:val="000B597A"/>
    <w:rsid w:val="000C0611"/>
    <w:rsid w:val="000C72B8"/>
    <w:rsid w:val="000F13FC"/>
    <w:rsid w:val="000F1BC6"/>
    <w:rsid w:val="000F7D1A"/>
    <w:rsid w:val="00100F46"/>
    <w:rsid w:val="001114DC"/>
    <w:rsid w:val="001221DB"/>
    <w:rsid w:val="001224FB"/>
    <w:rsid w:val="001433D9"/>
    <w:rsid w:val="00147345"/>
    <w:rsid w:val="00157386"/>
    <w:rsid w:val="00176B00"/>
    <w:rsid w:val="001A140F"/>
    <w:rsid w:val="001A52AF"/>
    <w:rsid w:val="001C2440"/>
    <w:rsid w:val="001C44B0"/>
    <w:rsid w:val="00207BE8"/>
    <w:rsid w:val="002120BB"/>
    <w:rsid w:val="002548C8"/>
    <w:rsid w:val="00272419"/>
    <w:rsid w:val="003028E1"/>
    <w:rsid w:val="00302A04"/>
    <w:rsid w:val="00312652"/>
    <w:rsid w:val="00345A42"/>
    <w:rsid w:val="0035250E"/>
    <w:rsid w:val="00353DD9"/>
    <w:rsid w:val="00362C48"/>
    <w:rsid w:val="0036666F"/>
    <w:rsid w:val="00370F5B"/>
    <w:rsid w:val="003824A3"/>
    <w:rsid w:val="00392A24"/>
    <w:rsid w:val="0039326B"/>
    <w:rsid w:val="00395F5C"/>
    <w:rsid w:val="003A65AE"/>
    <w:rsid w:val="003C4475"/>
    <w:rsid w:val="003C4518"/>
    <w:rsid w:val="003C5962"/>
    <w:rsid w:val="003D230A"/>
    <w:rsid w:val="003D381A"/>
    <w:rsid w:val="003D4CE8"/>
    <w:rsid w:val="004078AA"/>
    <w:rsid w:val="00420161"/>
    <w:rsid w:val="00464FAC"/>
    <w:rsid w:val="00480271"/>
    <w:rsid w:val="00487954"/>
    <w:rsid w:val="00495F92"/>
    <w:rsid w:val="004971F0"/>
    <w:rsid w:val="004B241A"/>
    <w:rsid w:val="004B2827"/>
    <w:rsid w:val="004B4550"/>
    <w:rsid w:val="004C036C"/>
    <w:rsid w:val="004C7698"/>
    <w:rsid w:val="004D5A4F"/>
    <w:rsid w:val="004E5240"/>
    <w:rsid w:val="004E7075"/>
    <w:rsid w:val="00511EF6"/>
    <w:rsid w:val="005266C7"/>
    <w:rsid w:val="00536589"/>
    <w:rsid w:val="005609AE"/>
    <w:rsid w:val="00565E92"/>
    <w:rsid w:val="00573DA1"/>
    <w:rsid w:val="00577003"/>
    <w:rsid w:val="00581BC9"/>
    <w:rsid w:val="0058594B"/>
    <w:rsid w:val="00597053"/>
    <w:rsid w:val="005B4B49"/>
    <w:rsid w:val="005D0449"/>
    <w:rsid w:val="005D2934"/>
    <w:rsid w:val="005D3D72"/>
    <w:rsid w:val="005D54E8"/>
    <w:rsid w:val="005D6482"/>
    <w:rsid w:val="005F26BE"/>
    <w:rsid w:val="00610E0F"/>
    <w:rsid w:val="006113E2"/>
    <w:rsid w:val="00624982"/>
    <w:rsid w:val="00625F2E"/>
    <w:rsid w:val="006505E8"/>
    <w:rsid w:val="00656A89"/>
    <w:rsid w:val="006612DA"/>
    <w:rsid w:val="00677EE6"/>
    <w:rsid w:val="006B25BA"/>
    <w:rsid w:val="006B5D26"/>
    <w:rsid w:val="006B7089"/>
    <w:rsid w:val="006B7147"/>
    <w:rsid w:val="006B7779"/>
    <w:rsid w:val="006B7B8C"/>
    <w:rsid w:val="006C09CD"/>
    <w:rsid w:val="006C6123"/>
    <w:rsid w:val="007002F4"/>
    <w:rsid w:val="0072647E"/>
    <w:rsid w:val="00730D0A"/>
    <w:rsid w:val="00753BF6"/>
    <w:rsid w:val="007718CB"/>
    <w:rsid w:val="0077373D"/>
    <w:rsid w:val="00773C57"/>
    <w:rsid w:val="00793611"/>
    <w:rsid w:val="007B5171"/>
    <w:rsid w:val="007E51A8"/>
    <w:rsid w:val="007F1677"/>
    <w:rsid w:val="008060FF"/>
    <w:rsid w:val="00817497"/>
    <w:rsid w:val="00820F01"/>
    <w:rsid w:val="00833A8D"/>
    <w:rsid w:val="00844A1B"/>
    <w:rsid w:val="00862C15"/>
    <w:rsid w:val="00866D2C"/>
    <w:rsid w:val="008936FD"/>
    <w:rsid w:val="008B0283"/>
    <w:rsid w:val="008B08E2"/>
    <w:rsid w:val="008C5CF1"/>
    <w:rsid w:val="008E1BC7"/>
    <w:rsid w:val="008E3821"/>
    <w:rsid w:val="008E6109"/>
    <w:rsid w:val="008E6A5A"/>
    <w:rsid w:val="00914AAA"/>
    <w:rsid w:val="00920BB9"/>
    <w:rsid w:val="00937335"/>
    <w:rsid w:val="00972E47"/>
    <w:rsid w:val="00984899"/>
    <w:rsid w:val="009848D4"/>
    <w:rsid w:val="009B30F0"/>
    <w:rsid w:val="009B32AE"/>
    <w:rsid w:val="009C6ACE"/>
    <w:rsid w:val="009E66FE"/>
    <w:rsid w:val="00A01F1F"/>
    <w:rsid w:val="00A04806"/>
    <w:rsid w:val="00A07771"/>
    <w:rsid w:val="00A337C0"/>
    <w:rsid w:val="00A45B04"/>
    <w:rsid w:val="00A830BA"/>
    <w:rsid w:val="00A851E1"/>
    <w:rsid w:val="00AD0C57"/>
    <w:rsid w:val="00AD0ECD"/>
    <w:rsid w:val="00AD3E2A"/>
    <w:rsid w:val="00AD75AE"/>
    <w:rsid w:val="00AE710B"/>
    <w:rsid w:val="00B14642"/>
    <w:rsid w:val="00B223C7"/>
    <w:rsid w:val="00B3137B"/>
    <w:rsid w:val="00B323EA"/>
    <w:rsid w:val="00B32435"/>
    <w:rsid w:val="00B55170"/>
    <w:rsid w:val="00B81749"/>
    <w:rsid w:val="00B82BD1"/>
    <w:rsid w:val="00B82F2C"/>
    <w:rsid w:val="00BC404C"/>
    <w:rsid w:val="00BD11BA"/>
    <w:rsid w:val="00BD1A9F"/>
    <w:rsid w:val="00BF043E"/>
    <w:rsid w:val="00BF382F"/>
    <w:rsid w:val="00BF59D3"/>
    <w:rsid w:val="00C0134C"/>
    <w:rsid w:val="00C0510A"/>
    <w:rsid w:val="00C14826"/>
    <w:rsid w:val="00C274DD"/>
    <w:rsid w:val="00C312EC"/>
    <w:rsid w:val="00C4109C"/>
    <w:rsid w:val="00C65082"/>
    <w:rsid w:val="00C67079"/>
    <w:rsid w:val="00CA4926"/>
    <w:rsid w:val="00CB467D"/>
    <w:rsid w:val="00CC4A46"/>
    <w:rsid w:val="00CD75DB"/>
    <w:rsid w:val="00CF2197"/>
    <w:rsid w:val="00D00715"/>
    <w:rsid w:val="00D060F1"/>
    <w:rsid w:val="00D13254"/>
    <w:rsid w:val="00D20143"/>
    <w:rsid w:val="00D218B2"/>
    <w:rsid w:val="00D26864"/>
    <w:rsid w:val="00D26E58"/>
    <w:rsid w:val="00D27269"/>
    <w:rsid w:val="00D44942"/>
    <w:rsid w:val="00D548CB"/>
    <w:rsid w:val="00D65A9C"/>
    <w:rsid w:val="00D706DB"/>
    <w:rsid w:val="00D8490F"/>
    <w:rsid w:val="00D97950"/>
    <w:rsid w:val="00DC09B1"/>
    <w:rsid w:val="00E00036"/>
    <w:rsid w:val="00E14CA4"/>
    <w:rsid w:val="00E23560"/>
    <w:rsid w:val="00E40C0B"/>
    <w:rsid w:val="00E429F1"/>
    <w:rsid w:val="00E434E9"/>
    <w:rsid w:val="00E8482F"/>
    <w:rsid w:val="00EC7E67"/>
    <w:rsid w:val="00F074B1"/>
    <w:rsid w:val="00F647BE"/>
    <w:rsid w:val="00F85377"/>
    <w:rsid w:val="00FA62CF"/>
    <w:rsid w:val="01D35DA3"/>
    <w:rsid w:val="02E743B6"/>
    <w:rsid w:val="02F1741B"/>
    <w:rsid w:val="04911B11"/>
    <w:rsid w:val="052035FD"/>
    <w:rsid w:val="05AF70DB"/>
    <w:rsid w:val="06792773"/>
    <w:rsid w:val="0742534E"/>
    <w:rsid w:val="08B509AF"/>
    <w:rsid w:val="08E75997"/>
    <w:rsid w:val="09E12A64"/>
    <w:rsid w:val="0AF87F94"/>
    <w:rsid w:val="0B835865"/>
    <w:rsid w:val="0BF6540F"/>
    <w:rsid w:val="0C7227A7"/>
    <w:rsid w:val="0C801B16"/>
    <w:rsid w:val="0D1E33E4"/>
    <w:rsid w:val="0DAA21EE"/>
    <w:rsid w:val="0FA7589A"/>
    <w:rsid w:val="102C6852"/>
    <w:rsid w:val="1081433D"/>
    <w:rsid w:val="12D3520E"/>
    <w:rsid w:val="1396784F"/>
    <w:rsid w:val="13EC0B8A"/>
    <w:rsid w:val="14EB6229"/>
    <w:rsid w:val="155C65A7"/>
    <w:rsid w:val="15E95753"/>
    <w:rsid w:val="16F045F9"/>
    <w:rsid w:val="176E6CF3"/>
    <w:rsid w:val="17C618A3"/>
    <w:rsid w:val="185F4F4D"/>
    <w:rsid w:val="193D4B9E"/>
    <w:rsid w:val="1B4E62E5"/>
    <w:rsid w:val="1C666C77"/>
    <w:rsid w:val="1C8B4975"/>
    <w:rsid w:val="1C98798D"/>
    <w:rsid w:val="1D2D783E"/>
    <w:rsid w:val="1D9D4C68"/>
    <w:rsid w:val="1DAF458D"/>
    <w:rsid w:val="1E150A80"/>
    <w:rsid w:val="1EAA00AC"/>
    <w:rsid w:val="1FA73C1B"/>
    <w:rsid w:val="258917FB"/>
    <w:rsid w:val="27AF63CE"/>
    <w:rsid w:val="27CF2642"/>
    <w:rsid w:val="28605A33"/>
    <w:rsid w:val="294E4805"/>
    <w:rsid w:val="29E96D83"/>
    <w:rsid w:val="29EC087F"/>
    <w:rsid w:val="2A053397"/>
    <w:rsid w:val="2ABE0B21"/>
    <w:rsid w:val="2B3A3AD8"/>
    <w:rsid w:val="2D1136DF"/>
    <w:rsid w:val="2DE716FC"/>
    <w:rsid w:val="2E59285E"/>
    <w:rsid w:val="2FD27414"/>
    <w:rsid w:val="31857BAC"/>
    <w:rsid w:val="31B5304E"/>
    <w:rsid w:val="31C63837"/>
    <w:rsid w:val="33206C0F"/>
    <w:rsid w:val="33BC32B4"/>
    <w:rsid w:val="3429669A"/>
    <w:rsid w:val="34965581"/>
    <w:rsid w:val="35C5793C"/>
    <w:rsid w:val="36325697"/>
    <w:rsid w:val="36E958BB"/>
    <w:rsid w:val="370D7281"/>
    <w:rsid w:val="38CB046A"/>
    <w:rsid w:val="3A643253"/>
    <w:rsid w:val="3B5D1933"/>
    <w:rsid w:val="3D1D5019"/>
    <w:rsid w:val="3D5275AC"/>
    <w:rsid w:val="3E1A76DD"/>
    <w:rsid w:val="3E2B7A03"/>
    <w:rsid w:val="3E9A7BA4"/>
    <w:rsid w:val="3F076061"/>
    <w:rsid w:val="3F6A08C0"/>
    <w:rsid w:val="43EF176F"/>
    <w:rsid w:val="455E1F7C"/>
    <w:rsid w:val="45897ADA"/>
    <w:rsid w:val="46901EEE"/>
    <w:rsid w:val="469C74D2"/>
    <w:rsid w:val="48A52360"/>
    <w:rsid w:val="4902047E"/>
    <w:rsid w:val="4A7D4485"/>
    <w:rsid w:val="4C2E1A9B"/>
    <w:rsid w:val="4DE45AD9"/>
    <w:rsid w:val="4E11500F"/>
    <w:rsid w:val="4EEF1380"/>
    <w:rsid w:val="4F9D7B44"/>
    <w:rsid w:val="50DB5F45"/>
    <w:rsid w:val="512709C0"/>
    <w:rsid w:val="51DB4252"/>
    <w:rsid w:val="52314E57"/>
    <w:rsid w:val="523358A5"/>
    <w:rsid w:val="53350823"/>
    <w:rsid w:val="54054866"/>
    <w:rsid w:val="54F22EA5"/>
    <w:rsid w:val="55516A31"/>
    <w:rsid w:val="59444B98"/>
    <w:rsid w:val="59996596"/>
    <w:rsid w:val="5A8B468F"/>
    <w:rsid w:val="5C386C32"/>
    <w:rsid w:val="5D286D33"/>
    <w:rsid w:val="5D630BDE"/>
    <w:rsid w:val="5E8A0BA7"/>
    <w:rsid w:val="5FFF1C5A"/>
    <w:rsid w:val="61A46A97"/>
    <w:rsid w:val="64275BB0"/>
    <w:rsid w:val="64925820"/>
    <w:rsid w:val="6627325F"/>
    <w:rsid w:val="66F72012"/>
    <w:rsid w:val="67623B14"/>
    <w:rsid w:val="68706FD2"/>
    <w:rsid w:val="69AD798C"/>
    <w:rsid w:val="69F01279"/>
    <w:rsid w:val="6B311CD9"/>
    <w:rsid w:val="6B68175F"/>
    <w:rsid w:val="6B8500AE"/>
    <w:rsid w:val="6C81696B"/>
    <w:rsid w:val="6D587ECB"/>
    <w:rsid w:val="6DE375B7"/>
    <w:rsid w:val="6F516C58"/>
    <w:rsid w:val="6FDFD92C"/>
    <w:rsid w:val="6FFF530B"/>
    <w:rsid w:val="70A609BC"/>
    <w:rsid w:val="73FB6630"/>
    <w:rsid w:val="74060C43"/>
    <w:rsid w:val="74947C20"/>
    <w:rsid w:val="761262E7"/>
    <w:rsid w:val="76416A32"/>
    <w:rsid w:val="77022DD9"/>
    <w:rsid w:val="77ED6F44"/>
    <w:rsid w:val="7DF42720"/>
    <w:rsid w:val="7E6C6E77"/>
    <w:rsid w:val="7F726A00"/>
    <w:rsid w:val="7FB31F36"/>
    <w:rsid w:val="7FC0756C"/>
    <w:rsid w:val="7FC85347"/>
    <w:rsid w:val="BF5DD8AA"/>
    <w:rsid w:val="D3CF2FDB"/>
    <w:rsid w:val="FDFEE3F3"/>
    <w:rsid w:val="FFBF01E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Balloon Text"/>
    <w:basedOn w:val="1"/>
    <w:link w:val="16"/>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2">
    <w:name w:val="annotation reference"/>
    <w:basedOn w:val="11"/>
    <w:qFormat/>
    <w:uiPriority w:val="0"/>
    <w:rPr>
      <w:sz w:val="21"/>
      <w:szCs w:val="21"/>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ug-CN"/>
    </w:rPr>
  </w:style>
  <w:style w:type="paragraph" w:customStyle="1" w:styleId="14">
    <w:name w:val="WPSOffice手动目录 1"/>
    <w:qFormat/>
    <w:uiPriority w:val="0"/>
    <w:rPr>
      <w:rFonts w:ascii="Times New Roman" w:hAnsi="Times New Roman" w:eastAsia="宋体" w:cs="Times New Roman"/>
      <w:lang w:val="en-US" w:eastAsia="zh-CN" w:bidi="ug-CN"/>
    </w:rPr>
  </w:style>
  <w:style w:type="paragraph" w:customStyle="1" w:styleId="15">
    <w:name w:val="WPSOffice手动目录 3"/>
    <w:qFormat/>
    <w:uiPriority w:val="0"/>
    <w:pPr>
      <w:ind w:left="400" w:leftChars="400"/>
    </w:pPr>
    <w:rPr>
      <w:rFonts w:ascii="Times New Roman" w:hAnsi="Times New Roman" w:eastAsia="宋体" w:cs="Times New Roman"/>
      <w:lang w:val="en-US" w:eastAsia="zh-CN" w:bidi="ug-CN"/>
    </w:rPr>
  </w:style>
  <w:style w:type="character" w:customStyle="1" w:styleId="16">
    <w:name w:val="批注框文本 字符"/>
    <w:basedOn w:val="11"/>
    <w:link w:val="4"/>
    <w:qFormat/>
    <w:uiPriority w:val="0"/>
    <w:rPr>
      <w:kern w:val="2"/>
      <w:sz w:val="18"/>
      <w:szCs w:val="18"/>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BEECE7-2313-41ED-AECA-605B6CADA37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15</Pages>
  <Words>3940</Words>
  <Characters>7353</Characters>
  <Lines>59</Lines>
  <Paragraphs>16</Paragraphs>
  <TotalTime>20</TotalTime>
  <ScaleCrop>false</ScaleCrop>
  <LinksUpToDate>false</LinksUpToDate>
  <CharactersWithSpaces>7480</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2014-10-31T04:08:00Z</dcterms:created>
  <dc:creator>GXR</dc:creator>
  <cp:lastModifiedBy>lenovo</cp:lastModifiedBy>
  <dcterms:modified xsi:type="dcterms:W3CDTF">2023-08-15T12:35:56Z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59D8F543E4BF4B5F9BA261246CAB409B</vt:lpwstr>
  </property>
</Properties>
</file>