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sz w:val="44"/>
          <w:szCs w:val="44"/>
        </w:rPr>
      </w:pPr>
      <w:bookmarkStart w:id="0" w:name="_Hlk97806973"/>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新疆喀什地区疏勒县第二小学2021年度部门决算公开说明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1" w:name="_Toc32314"/>
      <w:bookmarkStart w:id="2" w:name="_Toc24028"/>
      <w:r>
        <w:rPr>
          <w:rFonts w:hint="eastAsia" w:ascii="黑体" w:hAnsi="黑体" w:eastAsia="黑体"/>
          <w:sz w:val="32"/>
          <w:szCs w:val="32"/>
        </w:rPr>
        <w:t>第一部分 部门单位概况</w:t>
      </w:r>
      <w:bookmarkEnd w:id="1"/>
      <w:bookmarkEnd w:id="2"/>
    </w:p>
    <w:p>
      <w:pPr>
        <w:ind w:firstLine="640" w:firstLineChars="200"/>
        <w:outlineLvl w:val="1"/>
        <w:rPr>
          <w:rFonts w:ascii="黑体" w:hAnsi="黑体" w:eastAsia="黑体" w:cs="宋体"/>
          <w:bCs/>
          <w:kern w:val="0"/>
          <w:sz w:val="32"/>
          <w:szCs w:val="32"/>
        </w:rPr>
      </w:pPr>
      <w:bookmarkStart w:id="3" w:name="_Toc30738"/>
      <w:bookmarkStart w:id="4" w:name="_Toc30567"/>
      <w:r>
        <w:rPr>
          <w:rFonts w:hint="eastAsia" w:ascii="黑体" w:hAnsi="黑体" w:eastAsia="黑体" w:cs="宋体"/>
          <w:bCs/>
          <w:kern w:val="0"/>
          <w:sz w:val="32"/>
          <w:szCs w:val="32"/>
        </w:rPr>
        <w:t>一、主要职能</w:t>
      </w:r>
      <w:bookmarkEnd w:id="3"/>
      <w:bookmarkEnd w:id="4"/>
    </w:p>
    <w:p>
      <w:pPr>
        <w:rPr>
          <w:rFonts w:ascii="仿宋_GB2312" w:eastAsia="仿宋_GB2312"/>
          <w:sz w:val="32"/>
          <w:szCs w:val="32"/>
        </w:rPr>
      </w:pPr>
      <w:r>
        <w:rPr>
          <w:rFonts w:ascii="仿宋_GB2312" w:eastAsia="仿宋_GB2312"/>
          <w:sz w:val="32"/>
          <w:szCs w:val="32"/>
        </w:rPr>
        <w:t>　　1、为促进基础教育的发展，实施小学学历教育。</w:t>
      </w:r>
      <w:r>
        <w:rPr>
          <w:rFonts w:ascii="仿宋_GB2312" w:eastAsia="仿宋_GB2312"/>
          <w:sz w:val="32"/>
          <w:szCs w:val="32"/>
        </w:rPr>
        <w:br w:type="textWrapping"/>
      </w:r>
      <w:r>
        <w:rPr>
          <w:rFonts w:ascii="仿宋_GB2312" w:eastAsia="仿宋_GB2312"/>
          <w:sz w:val="32"/>
          <w:szCs w:val="32"/>
        </w:rPr>
        <w:t>　　2、贯彻执行党的教育方针、政策、法规和规章制度，制定并组织实施学校中长期规划。</w:t>
      </w:r>
      <w:r>
        <w:rPr>
          <w:rFonts w:ascii="仿宋_GB2312" w:eastAsia="仿宋_GB2312"/>
          <w:sz w:val="32"/>
          <w:szCs w:val="32"/>
        </w:rPr>
        <w:br w:type="textWrapping"/>
      </w:r>
      <w:r>
        <w:rPr>
          <w:rFonts w:ascii="仿宋_GB2312" w:eastAsia="仿宋_GB2312"/>
          <w:sz w:val="32"/>
          <w:szCs w:val="32"/>
        </w:rPr>
        <w:t>　　3、有计划、有组织地培养、提高教师的业务和教学能力。</w:t>
      </w:r>
      <w:r>
        <w:rPr>
          <w:rFonts w:ascii="仿宋_GB2312" w:eastAsia="仿宋_GB2312"/>
          <w:sz w:val="32"/>
          <w:szCs w:val="32"/>
        </w:rPr>
        <w:br w:type="textWrapping"/>
      </w:r>
      <w:r>
        <w:rPr>
          <w:rFonts w:ascii="仿宋_GB2312" w:eastAsia="仿宋_GB2312"/>
          <w:sz w:val="32"/>
          <w:szCs w:val="32"/>
        </w:rPr>
        <w:t>　　4、深化教学改革，创新教学模式，提高教育质量。</w:t>
      </w:r>
      <w:r>
        <w:rPr>
          <w:rFonts w:ascii="仿宋_GB2312" w:eastAsia="仿宋_GB2312"/>
          <w:sz w:val="32"/>
          <w:szCs w:val="32"/>
        </w:rPr>
        <w:br w:type="textWrapping"/>
      </w:r>
      <w:r>
        <w:rPr>
          <w:rFonts w:ascii="仿宋_GB2312" w:eastAsia="仿宋_GB2312"/>
          <w:sz w:val="32"/>
          <w:szCs w:val="32"/>
        </w:rPr>
        <w:t>　　5、做好学生思想教育工作，认真实施中小学生守则、行为规范及有关条例，实施素质教育，锻炼学生的实践能力，为社会主义现代建设培养德、智、体、能全面发展的人才。</w:t>
      </w:r>
      <w:r>
        <w:rPr>
          <w:rFonts w:ascii="仿宋_GB2312" w:eastAsia="仿宋_GB2312"/>
          <w:sz w:val="32"/>
          <w:szCs w:val="32"/>
        </w:rPr>
        <w:br w:type="textWrapping"/>
      </w:r>
      <w:r>
        <w:rPr>
          <w:rFonts w:ascii="仿宋_GB2312" w:eastAsia="仿宋_GB2312"/>
          <w:sz w:val="32"/>
          <w:szCs w:val="32"/>
        </w:rPr>
        <w:t>　　6、做好学校的信息，统计工作，为上级提供决策依据。</w:t>
      </w:r>
      <w:r>
        <w:rPr>
          <w:rFonts w:ascii="仿宋_GB2312" w:eastAsia="仿宋_GB2312"/>
          <w:sz w:val="32"/>
          <w:szCs w:val="32"/>
        </w:rPr>
        <w:br w:type="textWrapping"/>
      </w:r>
      <w:r>
        <w:rPr>
          <w:rFonts w:ascii="仿宋_GB2312" w:eastAsia="仿宋_GB2312"/>
          <w:sz w:val="32"/>
          <w:szCs w:val="32"/>
        </w:rPr>
        <w:t>　　7、合理使用教育经费，严格执行增收节支有关规定。有计划地搞好校舍建设，教学设备设施建设。</w:t>
      </w:r>
      <w:r>
        <w:rPr>
          <w:rFonts w:ascii="仿宋_GB2312" w:eastAsia="仿宋_GB2312"/>
          <w:sz w:val="32"/>
          <w:szCs w:val="32"/>
        </w:rPr>
        <w:br w:type="textWrapping"/>
      </w:r>
      <w:r>
        <w:rPr>
          <w:rFonts w:ascii="仿宋_GB2312" w:eastAsia="仿宋_GB2312"/>
          <w:sz w:val="32"/>
          <w:szCs w:val="32"/>
        </w:rPr>
        <w:t>　　8、制定并组织实施共青团员的管理。</w:t>
      </w:r>
      <w:r>
        <w:rPr>
          <w:rFonts w:ascii="仿宋_GB2312" w:eastAsia="仿宋_GB2312"/>
          <w:sz w:val="32"/>
          <w:szCs w:val="32"/>
        </w:rPr>
        <w:br w:type="textWrapping"/>
      </w:r>
      <w:r>
        <w:rPr>
          <w:rFonts w:ascii="仿宋_GB2312" w:eastAsia="仿宋_GB2312"/>
          <w:sz w:val="32"/>
          <w:szCs w:val="32"/>
        </w:rPr>
        <w:t>　　9、承办县委、政府及行政主管部门交办的其他工作</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bookmarkStart w:id="5" w:name="_Toc31238"/>
      <w:bookmarkStart w:id="6" w:name="_Toc2151"/>
      <w:r>
        <w:rPr>
          <w:rFonts w:hint="eastAsia" w:ascii="黑体" w:hAnsi="黑体" w:eastAsia="黑体" w:cs="宋体"/>
          <w:bCs/>
          <w:kern w:val="0"/>
          <w:sz w:val="32"/>
          <w:szCs w:val="32"/>
        </w:rPr>
        <w:t>二、机构设置及</w:t>
      </w:r>
      <w:bookmarkEnd w:id="5"/>
      <w:r>
        <w:rPr>
          <w:rFonts w:hint="eastAsia" w:ascii="黑体" w:hAnsi="黑体" w:eastAsia="黑体" w:cs="宋体"/>
          <w:bCs/>
          <w:kern w:val="0"/>
          <w:sz w:val="32"/>
          <w:szCs w:val="32"/>
        </w:rPr>
        <w:t>人员情况</w:t>
      </w:r>
      <w:bookmarkEnd w:id="6"/>
    </w:p>
    <w:p>
      <w:pPr>
        <w:ind w:firstLine="640" w:firstLineChars="200"/>
        <w:rPr>
          <w:rFonts w:ascii="仿宋_GB2312" w:eastAsia="仿宋_GB2312"/>
          <w:sz w:val="32"/>
          <w:szCs w:val="32"/>
        </w:rPr>
      </w:pPr>
      <w:r>
        <w:rPr>
          <w:rFonts w:hint="eastAsia" w:ascii="仿宋_GB2312" w:eastAsia="仿宋_GB2312"/>
          <w:sz w:val="32"/>
          <w:szCs w:val="32"/>
        </w:rPr>
        <w:t>新疆喀什地区疏勒县第二小学</w:t>
      </w:r>
      <w:r>
        <w:rPr>
          <w:rFonts w:ascii="仿宋_GB2312" w:eastAsia="仿宋_GB2312"/>
          <w:sz w:val="32"/>
          <w:szCs w:val="32"/>
        </w:rPr>
        <w:t>2021</w:t>
      </w:r>
      <w:r>
        <w:rPr>
          <w:rFonts w:hint="eastAsia" w:ascii="仿宋_GB2312" w:eastAsia="仿宋_GB2312"/>
          <w:sz w:val="32"/>
          <w:szCs w:val="32"/>
        </w:rPr>
        <w:t>年度，实有人数</w:t>
      </w:r>
      <w:r>
        <w:rPr>
          <w:rFonts w:ascii="仿宋_GB2312" w:eastAsia="仿宋_GB2312"/>
          <w:sz w:val="32"/>
          <w:szCs w:val="32"/>
        </w:rPr>
        <w:t>244</w:t>
      </w:r>
      <w:r>
        <w:rPr>
          <w:rFonts w:hint="eastAsia" w:ascii="仿宋_GB2312" w:eastAsia="仿宋_GB2312"/>
          <w:sz w:val="32"/>
          <w:szCs w:val="32"/>
        </w:rPr>
        <w:t>人，其中：在职人员</w:t>
      </w:r>
      <w:r>
        <w:rPr>
          <w:rFonts w:ascii="仿宋_GB2312" w:eastAsia="仿宋_GB2312"/>
          <w:sz w:val="32"/>
          <w:szCs w:val="32"/>
        </w:rPr>
        <w:t>188</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56</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从部门决算单位构成看，新疆喀什地区疏勒县第二小学部门决算包括：新疆喀什地区疏勒县第二小学决算。</w:t>
      </w: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3</w:t>
      </w:r>
      <w:r>
        <w:rPr>
          <w:rFonts w:hint="eastAsia" w:ascii="仿宋_GB2312" w:hAnsi="黑体" w:eastAsia="仿宋_GB2312" w:cs="宋体"/>
          <w:bCs/>
          <w:kern w:val="0"/>
          <w:sz w:val="32"/>
          <w:szCs w:val="32"/>
        </w:rPr>
        <w:t>个处室，分别是：教务处、后勤处、财务处</w:t>
      </w:r>
      <w:r>
        <w:rPr>
          <w:rFonts w:hint="eastAsia" w:ascii="仿宋_GB2312" w:hAnsi="宋体" w:eastAsia="仿宋_GB2312" w:cs="宋体"/>
          <w:kern w:val="0"/>
          <w:sz w:val="32"/>
          <w:szCs w:val="32"/>
        </w:rPr>
        <w:t>。</w:t>
      </w:r>
    </w:p>
    <w:p>
      <w:pPr>
        <w:rPr>
          <w:rFonts w:ascii="Arial" w:hAnsi="Arial" w:cs="Arial"/>
          <w:color w:val="4D4D4D"/>
          <w:shd w:val="clear" w:color="auto" w:fill="FFFFFF"/>
        </w:rPr>
      </w:pPr>
      <w:r>
        <w:rPr>
          <w:rFonts w:ascii="Arial" w:hAnsi="Arial" w:cs="Arial"/>
          <w:color w:val="4D4D4D"/>
          <w:shd w:val="clear" w:color="auto" w:fill="FFFFFF"/>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p>
    <w:p>
      <w:pPr>
        <w:ind w:firstLine="640" w:firstLineChars="200"/>
        <w:outlineLvl w:val="1"/>
        <w:rPr>
          <w:rFonts w:ascii="黑体" w:hAnsi="黑体" w:eastAsia="黑体" w:cs="宋体"/>
          <w:bCs/>
          <w:kern w:val="0"/>
          <w:sz w:val="32"/>
          <w:szCs w:val="32"/>
        </w:rPr>
      </w:pPr>
      <w:bookmarkStart w:id="7" w:name="_Toc25314"/>
      <w:bookmarkStart w:id="8" w:name="_Toc12566"/>
      <w:bookmarkStart w:id="9" w:name="_Hlk97807141"/>
      <w:r>
        <w:rPr>
          <w:rFonts w:hint="eastAsia" w:ascii="黑体" w:hAnsi="黑体" w:eastAsia="黑体" w:cs="宋体"/>
          <w:bCs/>
          <w:kern w:val="0"/>
          <w:sz w:val="32"/>
          <w:szCs w:val="32"/>
        </w:rPr>
        <w:t>一、收入支出决算总体情况说明</w:t>
      </w:r>
      <w:bookmarkEnd w:id="7"/>
      <w:bookmarkEnd w:id="8"/>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2,886.99</w:t>
      </w:r>
      <w:r>
        <w:rPr>
          <w:rFonts w:hint="eastAsia" w:ascii="仿宋_GB2312" w:eastAsia="仿宋_GB2312"/>
          <w:sz w:val="32"/>
          <w:szCs w:val="32"/>
        </w:rPr>
        <w:t>万元，与上年相比，增加42.85万元，</w:t>
      </w:r>
      <w:r>
        <w:rPr>
          <w:rFonts w:ascii="仿宋_GB2312" w:eastAsia="仿宋_GB2312"/>
          <w:sz w:val="32"/>
          <w:szCs w:val="32"/>
        </w:rPr>
        <w:t>增长1.51</w:t>
      </w:r>
      <w:r>
        <w:rPr>
          <w:rFonts w:hint="eastAsia" w:ascii="仿宋_GB2312" w:eastAsia="仿宋_GB2312"/>
          <w:sz w:val="32"/>
          <w:szCs w:val="32"/>
        </w:rPr>
        <w:t>%，主要原因是：2021年符合条件的自聘教师、特岗教师编制转为在编人员，2021年教师工资普调，人员工资、社保、养老、住房公积金相应增加。本年支出</w:t>
      </w:r>
      <w:r>
        <w:rPr>
          <w:rFonts w:ascii="仿宋_GB2312" w:eastAsia="仿宋_GB2312"/>
          <w:sz w:val="32"/>
          <w:szCs w:val="32"/>
        </w:rPr>
        <w:t>2,886.99</w:t>
      </w:r>
      <w:r>
        <w:rPr>
          <w:rFonts w:hint="eastAsia" w:ascii="仿宋_GB2312" w:eastAsia="仿宋_GB2312"/>
          <w:sz w:val="32"/>
          <w:szCs w:val="32"/>
        </w:rPr>
        <w:t>万元，与上年相比，</w:t>
      </w:r>
      <w:r>
        <w:rPr>
          <w:rFonts w:ascii="仿宋_GB2312" w:eastAsia="仿宋_GB2312"/>
          <w:sz w:val="32"/>
          <w:szCs w:val="32"/>
        </w:rPr>
        <w:t>增加26.97</w:t>
      </w:r>
      <w:r>
        <w:rPr>
          <w:rFonts w:hint="eastAsia" w:ascii="仿宋_GB2312" w:eastAsia="仿宋_GB2312"/>
          <w:sz w:val="32"/>
          <w:szCs w:val="32"/>
        </w:rPr>
        <w:t>万元，</w:t>
      </w:r>
      <w:r>
        <w:rPr>
          <w:rFonts w:ascii="仿宋_GB2312" w:eastAsia="仿宋_GB2312"/>
          <w:sz w:val="32"/>
          <w:szCs w:val="32"/>
        </w:rPr>
        <w:t>增长0.94</w:t>
      </w:r>
      <w:r>
        <w:rPr>
          <w:rFonts w:hint="eastAsia" w:ascii="仿宋_GB2312" w:eastAsia="仿宋_GB2312"/>
          <w:sz w:val="32"/>
          <w:szCs w:val="32"/>
        </w:rPr>
        <w:t>%，主要原因是：2021年符合条件的自聘教师、特岗教师编制转为在编人员，2021年教师工资普调，人员工资、社保、养老、住房公积金相应增加。</w:t>
      </w:r>
    </w:p>
    <w:p>
      <w:pPr>
        <w:ind w:firstLine="640" w:firstLineChars="200"/>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2,886.99</w:t>
      </w:r>
      <w:r>
        <w:rPr>
          <w:rFonts w:hint="eastAsia" w:ascii="仿宋_GB2312" w:eastAsia="仿宋_GB2312"/>
          <w:sz w:val="32"/>
          <w:szCs w:val="32"/>
        </w:rPr>
        <w:t>万元，其中：财政拨款收入</w:t>
      </w:r>
      <w:r>
        <w:rPr>
          <w:rFonts w:ascii="仿宋_GB2312" w:eastAsia="仿宋_GB2312"/>
          <w:sz w:val="32"/>
          <w:szCs w:val="32"/>
        </w:rPr>
        <w:t>2,886.99</w:t>
      </w:r>
      <w:r>
        <w:rPr>
          <w:rFonts w:hint="eastAsia" w:ascii="仿宋_GB2312" w:eastAsia="仿宋_GB2312"/>
          <w:sz w:val="32"/>
          <w:szCs w:val="32"/>
        </w:rPr>
        <w:t>万元，占100.00%；上级补助收入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0.00</w:t>
      </w:r>
      <w:r>
        <w:rPr>
          <w:rFonts w:hint="eastAsia" w:ascii="仿宋_GB2312" w:eastAsia="仿宋_GB2312"/>
          <w:sz w:val="32"/>
          <w:szCs w:val="32"/>
        </w:rPr>
        <w:t>万元，占0.00%；经营收入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0.00</w:t>
      </w:r>
      <w:r>
        <w:rPr>
          <w:rFonts w:hint="eastAsia" w:ascii="仿宋_GB2312" w:eastAsia="仿宋_GB2312"/>
          <w:sz w:val="32"/>
          <w:szCs w:val="32"/>
        </w:rPr>
        <w:t>万元，占0.00%。</w:t>
      </w:r>
    </w:p>
    <w:p>
      <w:pPr>
        <w:ind w:firstLine="640" w:firstLineChars="200"/>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年度本年支出2,886.99万元，其中：基本支出</w:t>
      </w:r>
      <w:r>
        <w:rPr>
          <w:rFonts w:ascii="仿宋_GB2312" w:eastAsia="仿宋_GB2312"/>
          <w:sz w:val="32"/>
          <w:szCs w:val="32"/>
        </w:rPr>
        <w:t>2,540.26</w:t>
      </w:r>
      <w:r>
        <w:rPr>
          <w:rFonts w:hint="eastAsia" w:ascii="仿宋_GB2312" w:eastAsia="仿宋_GB2312"/>
          <w:sz w:val="32"/>
          <w:szCs w:val="32"/>
        </w:rPr>
        <w:t>万元，占87.99%；项目支出</w:t>
      </w:r>
      <w:r>
        <w:rPr>
          <w:rFonts w:ascii="仿宋_GB2312" w:eastAsia="仿宋_GB2312"/>
          <w:sz w:val="32"/>
          <w:szCs w:val="32"/>
        </w:rPr>
        <w:t>346.74</w:t>
      </w:r>
      <w:r>
        <w:rPr>
          <w:rFonts w:hint="eastAsia" w:ascii="仿宋_GB2312" w:eastAsia="仿宋_GB2312"/>
          <w:sz w:val="32"/>
          <w:szCs w:val="32"/>
        </w:rPr>
        <w:t>万元，占12.01%；上缴上级支出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bookmarkEnd w:id="9"/>
    <w:p>
      <w:pPr>
        <w:ind w:firstLine="640" w:firstLineChars="200"/>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财政拨款收入2,886.99万元，与上年相比，增加47.85万元，增长1.69%，主要原因是：2021年符合条件的自聘教师、特岗教师编制转为在编人员，2021年教师工资普调，人员工资、社保、养老、住房公积金相应增加。财政拨款支出2,886.99万元，与上年相比，增加47.85万元，增长1.69%，主要原因是：2021年符合条件的自聘教师、特岗教师编制转为在编人员，2021年教师工资普调，人员工资、社保、养老、住房公积金相应增加。</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2,377.97</w:t>
      </w:r>
      <w:r>
        <w:rPr>
          <w:rFonts w:hint="eastAsia" w:ascii="仿宋_GB2312" w:eastAsia="仿宋_GB2312"/>
          <w:sz w:val="32"/>
          <w:szCs w:val="32"/>
        </w:rPr>
        <w:t>万元，决算数</w:t>
      </w:r>
      <w:r>
        <w:rPr>
          <w:rFonts w:ascii="仿宋_GB2312" w:eastAsia="仿宋_GB2312"/>
          <w:sz w:val="32"/>
          <w:szCs w:val="32"/>
        </w:rPr>
        <w:t>2,886.99</w:t>
      </w:r>
      <w:r>
        <w:rPr>
          <w:rFonts w:hint="eastAsia" w:ascii="仿宋_GB2312" w:eastAsia="仿宋_GB2312"/>
          <w:sz w:val="32"/>
          <w:szCs w:val="32"/>
        </w:rPr>
        <w:t>万元，预决算差异率</w:t>
      </w:r>
      <w:r>
        <w:rPr>
          <w:rFonts w:ascii="仿宋_GB2312" w:eastAsia="仿宋_GB2312"/>
          <w:sz w:val="32"/>
          <w:szCs w:val="32"/>
        </w:rPr>
        <w:t>21.41</w:t>
      </w:r>
      <w:r>
        <w:rPr>
          <w:rFonts w:hint="eastAsia" w:ascii="仿宋_GB2312" w:eastAsia="仿宋_GB2312"/>
          <w:sz w:val="32"/>
          <w:szCs w:val="32"/>
        </w:rPr>
        <w:t>%，主要原因是：2021年符合条件的自聘教师、特岗教师编制转为在编人员，2021年教师工资普调；发放教师2020年的绩效奖金，以上经费均为年中追加，因此预决算差异率较大。财政拨款支出年初预算数</w:t>
      </w:r>
      <w:r>
        <w:rPr>
          <w:rFonts w:ascii="仿宋_GB2312" w:eastAsia="仿宋_GB2312"/>
          <w:sz w:val="32"/>
          <w:szCs w:val="32"/>
        </w:rPr>
        <w:t>2,377.97</w:t>
      </w:r>
      <w:r>
        <w:rPr>
          <w:rFonts w:hint="eastAsia" w:ascii="仿宋_GB2312" w:eastAsia="仿宋_GB2312"/>
          <w:sz w:val="32"/>
          <w:szCs w:val="32"/>
        </w:rPr>
        <w:t>万元，决算数</w:t>
      </w:r>
      <w:r>
        <w:rPr>
          <w:rFonts w:ascii="仿宋_GB2312" w:eastAsia="仿宋_GB2312"/>
          <w:sz w:val="32"/>
          <w:szCs w:val="32"/>
        </w:rPr>
        <w:t>2,886.99</w:t>
      </w:r>
      <w:r>
        <w:rPr>
          <w:rFonts w:hint="eastAsia" w:ascii="仿宋_GB2312" w:eastAsia="仿宋_GB2312"/>
          <w:sz w:val="32"/>
          <w:szCs w:val="32"/>
        </w:rPr>
        <w:t>万元，预决算差异率21.41%，主要原因是：2021年符合条件的自聘教师、特岗教师编制转为在编人员，2021年教师工资普调；发放教师2020年的绩效奖金，以上经费均为年中追加，因此预决算差异率较大。</w:t>
      </w:r>
    </w:p>
    <w:p>
      <w:pPr>
        <w:ind w:firstLine="640" w:firstLineChars="200"/>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年度一般公共预算财政拨款支出2,886.99万元。按功能分类科目项级科目公开，其中：</w:t>
      </w:r>
    </w:p>
    <w:p>
      <w:pPr>
        <w:jc w:val="left"/>
        <w:rPr>
          <w:rFonts w:ascii="仿宋_GB2312" w:eastAsia="仿宋_GB2312"/>
          <w:sz w:val="32"/>
          <w:szCs w:val="32"/>
        </w:rPr>
      </w:pPr>
      <w:bookmarkStart w:id="18" w:name="_Toc30870"/>
      <w:bookmarkStart w:id="19" w:name="_Toc11146"/>
      <w:r>
        <w:rPr>
          <w:rFonts w:ascii="仿宋_GB2312" w:eastAsia="仿宋_GB2312"/>
          <w:sz w:val="32"/>
          <w:szCs w:val="32"/>
        </w:rPr>
        <w:tab/>
      </w:r>
      <w:r>
        <w:rPr>
          <w:rFonts w:ascii="仿宋_GB2312" w:eastAsia="仿宋_GB2312"/>
          <w:sz w:val="32"/>
          <w:szCs w:val="32"/>
        </w:rPr>
        <w:t xml:space="preserve"> 2050202小学教育2,668.28万元；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2080505机关事业单位基本养老保险缴费支出198.40万元；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2080506机关事业单位职业年金缴费支出10.32万元；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2299999其他支出10.00万元。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w:t>
      </w:r>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年度一般公共预算财政拨款基本支出</w:t>
      </w:r>
      <w:r>
        <w:rPr>
          <w:rFonts w:ascii="仿宋_GB2312" w:eastAsia="仿宋_GB2312"/>
          <w:sz w:val="32"/>
          <w:szCs w:val="32"/>
        </w:rPr>
        <w:t>2,540.26</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2,540.26</w:t>
      </w:r>
      <w:r>
        <w:rPr>
          <w:rFonts w:hint="eastAsia" w:ascii="仿宋_GB2312" w:eastAsia="仿宋_GB2312"/>
          <w:sz w:val="32"/>
          <w:szCs w:val="32"/>
        </w:rPr>
        <w:t>万元，包括：基本工资、津贴补贴、奖金、绩效工资、机关事业单位基本养老保险缴费、职业年金缴费、职工基本医疗保险缴费、其他社会保障缴费、住房公积金、其他工资福利支出、退休费、抚恤金、生活补助、奖励金</w:t>
      </w:r>
      <w:r>
        <w:rPr>
          <w:rFonts w:hint="eastAsia" w:ascii="仿宋_GB2312" w:hAnsi="宋体" w:eastAsia="仿宋_GB2312" w:cs="宋体"/>
          <w:kern w:val="0"/>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公用经费0.00万元，包括：无</w:t>
      </w:r>
      <w:r>
        <w:rPr>
          <w:rFonts w:hint="eastAsia" w:ascii="仿宋_GB2312" w:hAnsi="宋体" w:eastAsia="仿宋_GB2312" w:cs="宋体"/>
          <w:kern w:val="0"/>
          <w:sz w:val="32"/>
          <w:szCs w:val="32"/>
        </w:rPr>
        <w:t>。</w:t>
      </w:r>
    </w:p>
    <w:p>
      <w:pPr>
        <w:ind w:firstLine="640" w:firstLineChars="200"/>
        <w:outlineLvl w:val="1"/>
        <w:rPr>
          <w:rFonts w:ascii="黑体" w:hAnsi="黑体" w:eastAsia="黑体" w:cs="宋体"/>
          <w:bCs/>
          <w:kern w:val="0"/>
          <w:sz w:val="32"/>
          <w:szCs w:val="32"/>
        </w:rPr>
      </w:pPr>
      <w:bookmarkStart w:id="20" w:name="_Toc21518"/>
      <w:bookmarkStart w:id="21" w:name="_Toc7190"/>
      <w:r>
        <w:rPr>
          <w:rFonts w:hint="eastAsia" w:ascii="黑体" w:hAnsi="黑体" w:eastAsia="黑体" w:cs="宋体"/>
          <w:bCs/>
          <w:kern w:val="0"/>
          <w:sz w:val="32"/>
          <w:szCs w:val="32"/>
        </w:rPr>
        <w:t>七、一般公共预算财政拨款“三公”经费支出决算情况说明</w:t>
      </w:r>
      <w:bookmarkEnd w:id="20"/>
      <w:bookmarkEnd w:id="2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2021年度一般公共预算“三公”经费支出决算0.00万元，比上年增加0.00万元，增长0.00%，主要原因是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我单位无一般公共预算“三公”经费支出。其中</w:t>
      </w:r>
      <w:r>
        <w:rPr>
          <w:rFonts w:hint="eastAsia" w:ascii="仿宋_GB2312" w:eastAsia="仿宋_GB2312"/>
          <w:sz w:val="32"/>
          <w:szCs w:val="32"/>
          <w:lang w:eastAsia="zh-CN"/>
        </w:rPr>
        <w:t>：</w:t>
      </w:r>
      <w:r>
        <w:rPr>
          <w:rFonts w:ascii="仿宋_GB2312" w:eastAsia="仿宋_GB2312"/>
          <w:sz w:val="32"/>
          <w:szCs w:val="32"/>
        </w:rPr>
        <w:t>因公出国（境）费支出0.00万元，占0.00%，比上年增加0.00万元，增长0.00%，主要原因是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因公出国（境）费；公务用车购置及运行维护费支出0.00万元，占0.00%，比上年增加0.00万元，增长0.00%，主要原因是：我单位无公务用车购置及运行维护费；公务接待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我单位无公务接待费。具体情况如下：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w:t>
      </w:r>
      <w:r>
        <w:rPr>
          <w:rFonts w:hint="eastAsia" w:ascii="仿宋_GB2312" w:eastAsia="仿宋_GB2312"/>
          <w:sz w:val="32"/>
          <w:szCs w:val="32"/>
          <w:lang w:eastAsia="zh-CN"/>
        </w:rPr>
        <w:t>：</w:t>
      </w:r>
      <w:r>
        <w:rPr>
          <w:rFonts w:hint="eastAsia" w:ascii="仿宋_GB2312" w:eastAsia="仿宋_GB2312"/>
          <w:sz w:val="32"/>
          <w:szCs w:val="32"/>
        </w:rPr>
        <w:t>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与年初预算数相比情况：一般公共预算“三公”经费支出年初预算数0.00万元，决算数</w:t>
      </w:r>
      <w:r>
        <w:rPr>
          <w:rFonts w:ascii="仿宋_GB2312" w:eastAsia="仿宋_GB2312"/>
          <w:sz w:val="32"/>
          <w:szCs w:val="32"/>
        </w:rPr>
        <w:t>0.00</w:t>
      </w:r>
      <w:r>
        <w:rPr>
          <w:rFonts w:hint="eastAsia" w:ascii="仿宋_GB2312" w:eastAsia="仿宋_GB2312"/>
          <w:sz w:val="32"/>
          <w:szCs w:val="32"/>
        </w:rPr>
        <w:t>万元，预决算差异率0.00%，主要原因是：我单位无一般公共预算“三公”经费支出。</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费预算数0.00万元，决算数0.00万元，预决算差异率0.00%，主要原因是：我单位无公务用车购置费；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预算数0.00万元，决算数0.00万元，预决算差异率0.00%，主要原因是：我单位无公务用车运行维护费；</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ind w:firstLine="640" w:firstLineChars="200"/>
        <w:outlineLvl w:val="1"/>
        <w:rPr>
          <w:rFonts w:ascii="黑体" w:hAnsi="黑体" w:eastAsia="黑体" w:cs="宋体"/>
          <w:bCs/>
          <w:kern w:val="0"/>
          <w:sz w:val="32"/>
          <w:szCs w:val="32"/>
        </w:rPr>
      </w:pPr>
      <w:bookmarkStart w:id="22" w:name="_Toc5810"/>
      <w:bookmarkStart w:id="23" w:name="_Toc7927"/>
      <w:r>
        <w:rPr>
          <w:rFonts w:hint="eastAsia" w:ascii="黑体" w:hAnsi="黑体" w:eastAsia="黑体" w:cs="宋体"/>
          <w:bCs/>
          <w:kern w:val="0"/>
          <w:sz w:val="32"/>
          <w:szCs w:val="32"/>
        </w:rPr>
        <w:t>八、政府性基金预算财政拨款收入支出决算情况说明</w:t>
      </w:r>
      <w:bookmarkEnd w:id="22"/>
      <w:bookmarkEnd w:id="23"/>
    </w:p>
    <w:p>
      <w:pPr>
        <w:ind w:firstLine="640" w:firstLineChars="200"/>
        <w:rPr>
          <w:rFonts w:hint="eastAsia" w:ascii="仿宋_GB2312" w:hAnsi="宋体" w:eastAsia="仿宋_GB2312"/>
          <w:kern w:val="0"/>
          <w:sz w:val="32"/>
          <w:szCs w:val="32"/>
          <w:lang w:eastAsia="zh-CN"/>
        </w:rPr>
      </w:pPr>
      <w:r>
        <w:rPr>
          <w:rFonts w:hint="eastAsia" w:ascii="仿宋_GB2312" w:hAnsi="宋体" w:eastAsia="仿宋_GB2312"/>
          <w:kern w:val="0"/>
          <w:sz w:val="32"/>
          <w:szCs w:val="32"/>
        </w:rPr>
        <w:t>我单位本年度无政府性基金预算财政拨款收入支出，政府性基金预算财政拨款收入支出决算表为空表</w:t>
      </w:r>
      <w:r>
        <w:rPr>
          <w:rFonts w:hint="eastAsia" w:ascii="仿宋_GB2312" w:hAnsi="宋体" w:eastAsia="仿宋_GB2312"/>
          <w:kern w:val="0"/>
          <w:sz w:val="32"/>
          <w:szCs w:val="32"/>
          <w:lang w:eastAsia="zh-CN"/>
        </w:rPr>
        <w:t>。</w:t>
      </w:r>
    </w:p>
    <w:p>
      <w:pPr>
        <w:ind w:firstLine="640" w:firstLineChars="200"/>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Arial" w:hAnsi="Arial" w:cs="Arial"/>
          <w:color w:val="4D4D4D"/>
          <w:shd w:val="clear" w:color="auto" w:fill="FFFFFF"/>
        </w:rPr>
      </w:pPr>
      <w:r>
        <w:rPr>
          <w:rFonts w:hint="eastAsia" w:ascii="仿宋_GB2312" w:eastAsia="仿宋_GB2312"/>
          <w:sz w:val="32"/>
          <w:szCs w:val="32"/>
        </w:rPr>
        <w:t>我单位本年度无国有资本经营预算财政拨款收入支出，国有资本经营预算财政拨款收入支出决算表为空表。</w:t>
      </w:r>
    </w:p>
    <w:p>
      <w:pPr>
        <w:ind w:firstLine="640" w:firstLineChars="200"/>
        <w:outlineLvl w:val="1"/>
        <w:rPr>
          <w:rFonts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十、其他重要事项的情况说明</w:t>
      </w:r>
      <w:bookmarkEnd w:id="24"/>
      <w:bookmarkEnd w:id="25"/>
    </w:p>
    <w:p>
      <w:pPr>
        <w:ind w:firstLine="640" w:firstLineChars="200"/>
        <w:outlineLvl w:val="2"/>
        <w:rPr>
          <w:rFonts w:hint="eastAsia" w:ascii="黑体" w:hAnsi="黑体" w:eastAsia="黑体"/>
          <w:sz w:val="32"/>
          <w:szCs w:val="32"/>
        </w:rPr>
      </w:pPr>
      <w:bookmarkStart w:id="26" w:name="_Toc14519"/>
      <w:bookmarkStart w:id="27" w:name="_Toc13105"/>
      <w:r>
        <w:rPr>
          <w:rFonts w:hint="eastAsia" w:ascii="黑体" w:hAnsi="黑体" w:eastAsia="黑体"/>
          <w:sz w:val="32"/>
          <w:szCs w:val="32"/>
        </w:rPr>
        <w:t>（一）机关运行经费支出情况</w:t>
      </w:r>
      <w:bookmarkEnd w:id="26"/>
      <w:bookmarkEnd w:id="27"/>
    </w:p>
    <w:p>
      <w:pPr>
        <w:ind w:firstLine="640" w:firstLineChars="200"/>
        <w:outlineLvl w:val="2"/>
        <w:rPr>
          <w:rFonts w:ascii="黑体" w:hAnsi="黑体" w:eastAsia="黑体"/>
          <w:sz w:val="32"/>
          <w:szCs w:val="32"/>
        </w:rPr>
      </w:pPr>
      <w:r>
        <w:rPr>
          <w:rFonts w:hint="eastAsia" w:ascii="仿宋_GB2312" w:eastAsia="仿宋_GB2312"/>
          <w:sz w:val="32"/>
          <w:szCs w:val="32"/>
        </w:rPr>
        <w:t>2021年度新疆喀什地区疏勒县第二小学（事业单位）公用经费0.00万元，比</w:t>
      </w:r>
      <w:r>
        <w:rPr>
          <w:rFonts w:hint="eastAsia" w:ascii="仿宋_GB2312" w:eastAsia="仿宋_GB2312"/>
          <w:sz w:val="32"/>
          <w:szCs w:val="32"/>
          <w:lang w:val="en-US" w:eastAsia="zh-CN"/>
        </w:rPr>
        <w:t>上年</w:t>
      </w:r>
      <w:r>
        <w:rPr>
          <w:rFonts w:hint="eastAsia" w:ascii="仿宋_GB2312" w:eastAsia="仿宋_GB2312"/>
          <w:sz w:val="32"/>
          <w:szCs w:val="32"/>
        </w:rPr>
        <w:t>增加0.00</w:t>
      </w:r>
      <w:r>
        <w:rPr>
          <w:rFonts w:hint="eastAsia" w:ascii="仿宋_GB2312" w:eastAsia="仿宋_GB2312"/>
          <w:sz w:val="32"/>
          <w:szCs w:val="32"/>
          <w:lang w:val="en-US" w:eastAsia="zh-CN"/>
        </w:rPr>
        <w:t>万</w:t>
      </w:r>
      <w:r>
        <w:rPr>
          <w:rFonts w:hint="eastAsia" w:ascii="仿宋_GB2312" w:eastAsia="仿宋_GB2312"/>
          <w:sz w:val="32"/>
          <w:szCs w:val="32"/>
        </w:rPr>
        <w:t>元，增长0.00%，主要原因是：财政年初未安排日常公用经费，日常公用经费均在项目中列支。</w:t>
      </w:r>
    </w:p>
    <w:p>
      <w:pPr>
        <w:ind w:firstLine="640" w:firstLineChars="200"/>
        <w:outlineLvl w:val="2"/>
        <w:rPr>
          <w:rFonts w:hint="eastAsia" w:ascii="黑体" w:hAnsi="黑体" w:eastAsia="黑体"/>
          <w:sz w:val="32"/>
          <w:szCs w:val="32"/>
        </w:rPr>
      </w:pPr>
      <w:bookmarkStart w:id="28" w:name="_Toc227"/>
      <w:bookmarkStart w:id="29" w:name="_Toc26704"/>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2021年度政府采购支出总额</w:t>
      </w:r>
      <w:r>
        <w:rPr>
          <w:rFonts w:ascii="仿宋_GB2312" w:eastAsia="仿宋_GB2312"/>
          <w:sz w:val="32"/>
          <w:szCs w:val="32"/>
        </w:rPr>
        <w:t>72.13</w:t>
      </w:r>
      <w:r>
        <w:rPr>
          <w:rFonts w:hint="eastAsia" w:ascii="仿宋_GB2312" w:eastAsia="仿宋_GB2312"/>
          <w:sz w:val="32"/>
          <w:szCs w:val="32"/>
        </w:rPr>
        <w:t>万元，其中：政府采购货物支出</w:t>
      </w:r>
      <w:r>
        <w:rPr>
          <w:rFonts w:ascii="仿宋_GB2312" w:eastAsia="仿宋_GB2312"/>
          <w:sz w:val="32"/>
          <w:szCs w:val="32"/>
        </w:rPr>
        <w:t>71.93</w:t>
      </w:r>
      <w:r>
        <w:rPr>
          <w:rFonts w:hint="eastAsia" w:ascii="仿宋_GB2312" w:eastAsia="仿宋_GB2312"/>
          <w:sz w:val="32"/>
          <w:szCs w:val="32"/>
        </w:rPr>
        <w:t>万元、政府采购工程支出</w:t>
      </w:r>
      <w:r>
        <w:rPr>
          <w:rFonts w:ascii="仿宋_GB2312" w:eastAsia="仿宋_GB2312"/>
          <w:sz w:val="32"/>
          <w:szCs w:val="32"/>
        </w:rPr>
        <w:t>0.00</w:t>
      </w:r>
      <w:r>
        <w:rPr>
          <w:rFonts w:hint="eastAsia" w:ascii="仿宋_GB2312" w:eastAsia="仿宋_GB2312"/>
          <w:sz w:val="32"/>
          <w:szCs w:val="32"/>
        </w:rPr>
        <w:t>万元、政府采购服务支出</w:t>
      </w:r>
      <w:r>
        <w:rPr>
          <w:rFonts w:ascii="仿宋_GB2312" w:eastAsia="仿宋_GB2312"/>
          <w:sz w:val="32"/>
          <w:szCs w:val="32"/>
        </w:rPr>
        <w:t>0.20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72.13</w:t>
      </w:r>
      <w:r>
        <w:rPr>
          <w:rFonts w:hint="eastAsia" w:ascii="仿宋_GB2312" w:eastAsia="仿宋_GB2312"/>
          <w:sz w:val="32"/>
          <w:szCs w:val="32"/>
        </w:rPr>
        <w:t>万元，占政府采购支出总额的</w:t>
      </w:r>
      <w:r>
        <w:rPr>
          <w:rFonts w:ascii="仿宋_GB2312" w:eastAsia="仿宋_GB2312"/>
          <w:sz w:val="32"/>
          <w:szCs w:val="32"/>
        </w:rPr>
        <w:t>100.00</w:t>
      </w:r>
      <w:r>
        <w:rPr>
          <w:rFonts w:hint="eastAsia" w:ascii="仿宋_GB2312" w:eastAsia="仿宋_GB2312"/>
          <w:sz w:val="32"/>
          <w:szCs w:val="32"/>
        </w:rPr>
        <w:t>%，其中：授予小微企业合同金额</w:t>
      </w:r>
      <w:r>
        <w:rPr>
          <w:rFonts w:ascii="仿宋_GB2312" w:eastAsia="仿宋_GB2312"/>
          <w:sz w:val="32"/>
          <w:szCs w:val="32"/>
        </w:rPr>
        <w:t>72.13</w:t>
      </w:r>
      <w:r>
        <w:rPr>
          <w:rFonts w:hint="eastAsia" w:ascii="仿宋_GB2312" w:eastAsia="仿宋_GB2312"/>
          <w:sz w:val="32"/>
          <w:szCs w:val="32"/>
        </w:rPr>
        <w:t>万元，占政府采购支出总额的</w:t>
      </w:r>
      <w:r>
        <w:rPr>
          <w:rFonts w:ascii="仿宋_GB2312" w:eastAsia="仿宋_GB2312"/>
          <w:sz w:val="32"/>
          <w:szCs w:val="32"/>
        </w:rPr>
        <w:t>100.00</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30" w:name="_Toc4591"/>
      <w:bookmarkStart w:id="31" w:name="_Toc83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hint="eastAsia" w:ascii="仿宋_GB2312" w:eastAsia="仿宋_GB2312"/>
          <w:sz w:val="32"/>
          <w:szCs w:val="32"/>
        </w:rPr>
        <w:t>截止2021年12月31日，单位共有房屋</w:t>
      </w:r>
      <w:r>
        <w:rPr>
          <w:rFonts w:ascii="仿宋_GB2312" w:eastAsia="仿宋_GB2312"/>
          <w:sz w:val="32"/>
          <w:szCs w:val="32"/>
        </w:rPr>
        <w:t>65,788.52</w:t>
      </w:r>
      <w:r>
        <w:rPr>
          <w:rFonts w:hint="eastAsia" w:ascii="仿宋_GB2312" w:eastAsia="仿宋_GB2312"/>
          <w:sz w:val="32"/>
          <w:szCs w:val="32"/>
        </w:rPr>
        <w:t>（平方米），价值</w:t>
      </w:r>
      <w:r>
        <w:rPr>
          <w:rFonts w:ascii="仿宋_GB2312" w:eastAsia="仿宋_GB2312"/>
          <w:sz w:val="32"/>
          <w:szCs w:val="32"/>
        </w:rPr>
        <w:t>3,748.43</w:t>
      </w:r>
      <w:r>
        <w:rPr>
          <w:rFonts w:hint="eastAsia" w:ascii="仿宋_GB2312" w:eastAsia="仿宋_GB2312"/>
          <w:sz w:val="32"/>
          <w:szCs w:val="32"/>
        </w:rPr>
        <w:t>万元。车辆</w:t>
      </w:r>
      <w:r>
        <w:rPr>
          <w:rFonts w:ascii="仿宋_GB2312" w:eastAsia="仿宋_GB2312"/>
          <w:sz w:val="32"/>
          <w:szCs w:val="32"/>
        </w:rPr>
        <w:t>1</w:t>
      </w:r>
      <w:r>
        <w:rPr>
          <w:rFonts w:hint="eastAsia" w:ascii="仿宋_GB2312" w:eastAsia="仿宋_GB2312"/>
          <w:sz w:val="32"/>
          <w:szCs w:val="32"/>
        </w:rPr>
        <w:t>辆，价值</w:t>
      </w:r>
      <w:r>
        <w:rPr>
          <w:rFonts w:ascii="仿宋_GB2312" w:eastAsia="仿宋_GB2312"/>
          <w:sz w:val="32"/>
          <w:szCs w:val="32"/>
        </w:rPr>
        <w:t>16.35</w:t>
      </w:r>
      <w:r>
        <w:rPr>
          <w:rFonts w:hint="eastAsia" w:ascii="仿宋_GB2312" w:eastAsia="仿宋_GB2312"/>
          <w:sz w:val="32"/>
          <w:szCs w:val="32"/>
        </w:rPr>
        <w:t>万元，其中：副部（省）级及以上领导用车0辆、主要领导干部用车0辆、机要通信用车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1</w:t>
      </w:r>
      <w:r>
        <w:rPr>
          <w:rFonts w:hint="eastAsia" w:ascii="仿宋_GB2312" w:eastAsia="仿宋_GB2312"/>
          <w:sz w:val="32"/>
          <w:szCs w:val="32"/>
        </w:rPr>
        <w:t>辆，其他用车主要是：</w:t>
      </w:r>
      <w:r>
        <w:rPr>
          <w:rFonts w:hint="eastAsia" w:ascii="仿宋_GB2312" w:eastAsia="仿宋_GB2312"/>
          <w:sz w:val="32"/>
          <w:szCs w:val="32"/>
          <w:lang w:eastAsia="zh-CN"/>
        </w:rPr>
        <w:t>业务</w:t>
      </w:r>
      <w:r>
        <w:rPr>
          <w:rFonts w:hint="eastAsia" w:ascii="仿宋_GB2312" w:eastAsia="仿宋_GB2312"/>
          <w:sz w:val="32"/>
          <w:szCs w:val="32"/>
        </w:rPr>
        <w:t>用车；单位价值50万元以上通用设备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bookmarkStart w:id="54" w:name="_GoBack"/>
      <w:bookmarkEnd w:id="54"/>
    </w:p>
    <w:p>
      <w:pPr>
        <w:ind w:firstLine="640" w:firstLineChars="200"/>
        <w:outlineLvl w:val="1"/>
        <w:rPr>
          <w:rFonts w:ascii="黑体" w:hAnsi="黑体" w:eastAsia="黑体" w:cs="宋体"/>
          <w:bCs/>
          <w:kern w:val="0"/>
          <w:sz w:val="32"/>
          <w:szCs w:val="32"/>
        </w:rPr>
      </w:pPr>
      <w:bookmarkStart w:id="32" w:name="_Toc11283"/>
      <w:bookmarkStart w:id="33" w:name="_Toc435"/>
      <w:r>
        <w:rPr>
          <w:rFonts w:hint="eastAsia" w:ascii="黑体" w:hAnsi="黑体" w:eastAsia="黑体" w:cs="宋体"/>
          <w:bCs/>
          <w:kern w:val="0"/>
          <w:sz w:val="32"/>
          <w:szCs w:val="32"/>
        </w:rPr>
        <w:t>十一、预算绩效的情况说明</w:t>
      </w:r>
      <w:bookmarkEnd w:id="32"/>
      <w:bookmarkEnd w:id="33"/>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根据预算绩效管理要求，我单位2021年度开展预算绩效评价项目0个，共涉及资金0万元。预算绩效管理取得的成效：我单位无预算项目绩效。发现的问题及原因：我单位无预算项目绩效。下一步改进措施：我单位无预算项目绩效。具体项目自评情况附项目支出绩效自评表。</w:t>
      </w:r>
    </w:p>
    <w:p>
      <w:pPr>
        <w:rPr>
          <w:rFonts w:ascii="仿宋_GB2312" w:eastAsia="仿宋_GB2312"/>
          <w:sz w:val="32"/>
          <w:szCs w:val="32"/>
        </w:rPr>
      </w:pPr>
      <w:r>
        <w:rPr>
          <w:rFonts w:ascii="仿宋_GB2312" w:eastAsia="仿宋_GB2312"/>
          <w:sz w:val="32"/>
          <w:szCs w:val="32"/>
        </w:rPr>
        <w:br w:type="page"/>
      </w:r>
    </w:p>
    <w:p>
      <w:pPr>
        <w:ind w:firstLine="640" w:firstLineChars="200"/>
        <w:jc w:val="center"/>
        <w:outlineLvl w:val="0"/>
        <w:rPr>
          <w:rFonts w:ascii="黑体" w:hAnsi="黑体" w:eastAsia="黑体"/>
          <w:sz w:val="32"/>
          <w:szCs w:val="32"/>
        </w:rPr>
      </w:pPr>
      <w:bookmarkStart w:id="34" w:name="_Toc3250"/>
      <w:bookmarkStart w:id="35" w:name="_Toc24143"/>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ascii="黑体" w:hAnsi="黑体" w:eastAsia="黑体"/>
          <w:sz w:val="32"/>
          <w:szCs w:val="32"/>
        </w:rPr>
      </w:pPr>
      <w:bookmarkStart w:id="36" w:name="_Toc28903"/>
      <w:bookmarkStart w:id="37" w:name="_Toc22784"/>
      <w:r>
        <w:rPr>
          <w:rFonts w:hint="eastAsia" w:ascii="黑体" w:hAnsi="黑体" w:eastAsia="黑体"/>
          <w:sz w:val="32"/>
          <w:szCs w:val="32"/>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6062"/>
      <w:bookmarkStart w:id="39" w:name="_Toc2183"/>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30364"/>
      <w:bookmarkStart w:id="41" w:name="_Toc24532"/>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21304"/>
      <w:bookmarkStart w:id="43" w:name="_Toc3243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4869"/>
      <w:bookmarkStart w:id="47" w:name="_Toc10347"/>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8884"/>
      <w:bookmarkStart w:id="49" w:name="_Toc5626"/>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7643"/>
      <w:bookmarkStart w:id="53" w:name="_Toc5453"/>
      <w:r>
        <w:rPr>
          <w:rFonts w:hint="eastAsia" w:ascii="黑体" w:hAnsi="黑体" w:eastAsia="黑体" w:cs="宋体"/>
          <w:bCs/>
          <w:kern w:val="0"/>
          <w:sz w:val="32"/>
          <w:szCs w:val="32"/>
        </w:rPr>
        <w:t>八、《政府性基金预算财政拨款收入支出决算表》</w:t>
      </w:r>
      <w:bookmarkEnd w:id="52"/>
      <w:bookmarkEnd w:id="53"/>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bookmarkEnd w:id="0"/>
    <w:p>
      <w:pPr>
        <w:ind w:firstLine="640" w:firstLineChars="200"/>
        <w:outlineLvl w:val="1"/>
        <w:rPr>
          <w:rFonts w:ascii="黑体" w:hAnsi="黑体" w:eastAsia="黑体" w:cs="宋体"/>
          <w:bCs/>
          <w:kern w:val="0"/>
          <w:sz w:val="32"/>
          <w:szCs w:val="32"/>
        </w:rPr>
      </w:pPr>
    </w:p>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POpCYwwEAAG0DAAAOAAAAAAAAAAEAIAAAAB4BAABkcnMvZTJvRG9jLnhtbFBL&#10;BQYAAAAABgAGAFkBAABTBQ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iYzk0YzA4ZjRjODNlZDgwMmQzYTBhNGFhMjA2OTkifQ=="/>
  </w:docVars>
  <w:rsids>
    <w:rsidRoot w:val="006B7B8C"/>
    <w:rsid w:val="00014AAB"/>
    <w:rsid w:val="00015801"/>
    <w:rsid w:val="0002486D"/>
    <w:rsid w:val="00062388"/>
    <w:rsid w:val="000731DE"/>
    <w:rsid w:val="00082B96"/>
    <w:rsid w:val="000874C6"/>
    <w:rsid w:val="00091D32"/>
    <w:rsid w:val="000B3F65"/>
    <w:rsid w:val="000B4DF4"/>
    <w:rsid w:val="000B597A"/>
    <w:rsid w:val="000C0611"/>
    <w:rsid w:val="000C72B8"/>
    <w:rsid w:val="000F13FC"/>
    <w:rsid w:val="000F1BC6"/>
    <w:rsid w:val="000F7D1A"/>
    <w:rsid w:val="00100F46"/>
    <w:rsid w:val="001114DC"/>
    <w:rsid w:val="001221DB"/>
    <w:rsid w:val="001224FB"/>
    <w:rsid w:val="001433D9"/>
    <w:rsid w:val="00147345"/>
    <w:rsid w:val="00157386"/>
    <w:rsid w:val="00176B00"/>
    <w:rsid w:val="001A140F"/>
    <w:rsid w:val="001A52AF"/>
    <w:rsid w:val="001C2440"/>
    <w:rsid w:val="001C44B0"/>
    <w:rsid w:val="00207BE8"/>
    <w:rsid w:val="002120BB"/>
    <w:rsid w:val="002548C8"/>
    <w:rsid w:val="00272419"/>
    <w:rsid w:val="003028E1"/>
    <w:rsid w:val="00302A04"/>
    <w:rsid w:val="00312652"/>
    <w:rsid w:val="00345A42"/>
    <w:rsid w:val="0035250E"/>
    <w:rsid w:val="00353DD9"/>
    <w:rsid w:val="00362C48"/>
    <w:rsid w:val="0036666F"/>
    <w:rsid w:val="00370F5B"/>
    <w:rsid w:val="003824A3"/>
    <w:rsid w:val="00392A24"/>
    <w:rsid w:val="0039326B"/>
    <w:rsid w:val="00395F5C"/>
    <w:rsid w:val="003A65AE"/>
    <w:rsid w:val="003C4475"/>
    <w:rsid w:val="003C4518"/>
    <w:rsid w:val="003C5962"/>
    <w:rsid w:val="003D230A"/>
    <w:rsid w:val="003D381A"/>
    <w:rsid w:val="003D4CE8"/>
    <w:rsid w:val="004078AA"/>
    <w:rsid w:val="00420161"/>
    <w:rsid w:val="00464FAC"/>
    <w:rsid w:val="00480271"/>
    <w:rsid w:val="00487954"/>
    <w:rsid w:val="00495F92"/>
    <w:rsid w:val="004971F0"/>
    <w:rsid w:val="004B241A"/>
    <w:rsid w:val="004B2827"/>
    <w:rsid w:val="004B4550"/>
    <w:rsid w:val="004C036C"/>
    <w:rsid w:val="004C7698"/>
    <w:rsid w:val="004D5A4F"/>
    <w:rsid w:val="004E5240"/>
    <w:rsid w:val="004E7075"/>
    <w:rsid w:val="00511EF6"/>
    <w:rsid w:val="005266C7"/>
    <w:rsid w:val="00536589"/>
    <w:rsid w:val="005609AE"/>
    <w:rsid w:val="00565E92"/>
    <w:rsid w:val="00573DA1"/>
    <w:rsid w:val="00577003"/>
    <w:rsid w:val="00581BC9"/>
    <w:rsid w:val="0058594B"/>
    <w:rsid w:val="00597053"/>
    <w:rsid w:val="005B4B49"/>
    <w:rsid w:val="005D0449"/>
    <w:rsid w:val="005D2934"/>
    <w:rsid w:val="005D3D72"/>
    <w:rsid w:val="005D54E8"/>
    <w:rsid w:val="005D6482"/>
    <w:rsid w:val="005F26BE"/>
    <w:rsid w:val="00610E0F"/>
    <w:rsid w:val="006113E2"/>
    <w:rsid w:val="00624982"/>
    <w:rsid w:val="00625F2E"/>
    <w:rsid w:val="006505E8"/>
    <w:rsid w:val="00656A89"/>
    <w:rsid w:val="006612DA"/>
    <w:rsid w:val="00677EE6"/>
    <w:rsid w:val="006B25BA"/>
    <w:rsid w:val="006B5D26"/>
    <w:rsid w:val="006B7089"/>
    <w:rsid w:val="006B7147"/>
    <w:rsid w:val="006B7779"/>
    <w:rsid w:val="006B7B8C"/>
    <w:rsid w:val="006C09CD"/>
    <w:rsid w:val="006C6123"/>
    <w:rsid w:val="007002F4"/>
    <w:rsid w:val="0072647E"/>
    <w:rsid w:val="00730D0A"/>
    <w:rsid w:val="00753BF6"/>
    <w:rsid w:val="007718CB"/>
    <w:rsid w:val="0077373D"/>
    <w:rsid w:val="00773C57"/>
    <w:rsid w:val="00793611"/>
    <w:rsid w:val="007B5171"/>
    <w:rsid w:val="007E51A8"/>
    <w:rsid w:val="007F1677"/>
    <w:rsid w:val="008060FF"/>
    <w:rsid w:val="00817497"/>
    <w:rsid w:val="00820F01"/>
    <w:rsid w:val="00833A8D"/>
    <w:rsid w:val="00844A1B"/>
    <w:rsid w:val="00862C15"/>
    <w:rsid w:val="00866D2C"/>
    <w:rsid w:val="008936FD"/>
    <w:rsid w:val="008B0283"/>
    <w:rsid w:val="008B08E2"/>
    <w:rsid w:val="008C5CF1"/>
    <w:rsid w:val="008E1BC7"/>
    <w:rsid w:val="008E3821"/>
    <w:rsid w:val="008E6109"/>
    <w:rsid w:val="008E6A5A"/>
    <w:rsid w:val="00914AAA"/>
    <w:rsid w:val="00920BB9"/>
    <w:rsid w:val="00937335"/>
    <w:rsid w:val="00972E47"/>
    <w:rsid w:val="00984899"/>
    <w:rsid w:val="009848D4"/>
    <w:rsid w:val="009B30F0"/>
    <w:rsid w:val="009B32AE"/>
    <w:rsid w:val="009C6ACE"/>
    <w:rsid w:val="009E66FE"/>
    <w:rsid w:val="00A01F1F"/>
    <w:rsid w:val="00A04806"/>
    <w:rsid w:val="00A07771"/>
    <w:rsid w:val="00A337C0"/>
    <w:rsid w:val="00A45B04"/>
    <w:rsid w:val="00A830BA"/>
    <w:rsid w:val="00A851E1"/>
    <w:rsid w:val="00AD0C57"/>
    <w:rsid w:val="00AD0ECD"/>
    <w:rsid w:val="00AD3E2A"/>
    <w:rsid w:val="00AD75AE"/>
    <w:rsid w:val="00AE710B"/>
    <w:rsid w:val="00B14642"/>
    <w:rsid w:val="00B223C7"/>
    <w:rsid w:val="00B3137B"/>
    <w:rsid w:val="00B323EA"/>
    <w:rsid w:val="00B32435"/>
    <w:rsid w:val="00B55170"/>
    <w:rsid w:val="00B81749"/>
    <w:rsid w:val="00B82BD1"/>
    <w:rsid w:val="00B82F2C"/>
    <w:rsid w:val="00BC404C"/>
    <w:rsid w:val="00BD11BA"/>
    <w:rsid w:val="00BD1A9F"/>
    <w:rsid w:val="00BF043E"/>
    <w:rsid w:val="00BF382F"/>
    <w:rsid w:val="00BF59D3"/>
    <w:rsid w:val="00C0134C"/>
    <w:rsid w:val="00C0510A"/>
    <w:rsid w:val="00C14826"/>
    <w:rsid w:val="00C274DD"/>
    <w:rsid w:val="00C312EC"/>
    <w:rsid w:val="00C4109C"/>
    <w:rsid w:val="00C65082"/>
    <w:rsid w:val="00C67079"/>
    <w:rsid w:val="00CA4926"/>
    <w:rsid w:val="00CB467D"/>
    <w:rsid w:val="00CC4A46"/>
    <w:rsid w:val="00CD75DB"/>
    <w:rsid w:val="00CF2197"/>
    <w:rsid w:val="00D00715"/>
    <w:rsid w:val="00D060F1"/>
    <w:rsid w:val="00D13254"/>
    <w:rsid w:val="00D20143"/>
    <w:rsid w:val="00D218B2"/>
    <w:rsid w:val="00D26864"/>
    <w:rsid w:val="00D26E58"/>
    <w:rsid w:val="00D27269"/>
    <w:rsid w:val="00D44942"/>
    <w:rsid w:val="00D548CB"/>
    <w:rsid w:val="00D65A9C"/>
    <w:rsid w:val="00D706DB"/>
    <w:rsid w:val="00D8490F"/>
    <w:rsid w:val="00D97950"/>
    <w:rsid w:val="00DC09B1"/>
    <w:rsid w:val="00E00036"/>
    <w:rsid w:val="00E14CA4"/>
    <w:rsid w:val="00E23560"/>
    <w:rsid w:val="00E40C0B"/>
    <w:rsid w:val="00E429F1"/>
    <w:rsid w:val="00E434E9"/>
    <w:rsid w:val="00E8482F"/>
    <w:rsid w:val="00EC7E67"/>
    <w:rsid w:val="00F074B1"/>
    <w:rsid w:val="00F647BE"/>
    <w:rsid w:val="00F85377"/>
    <w:rsid w:val="00FA62CF"/>
    <w:rsid w:val="01D35DA3"/>
    <w:rsid w:val="02E743B6"/>
    <w:rsid w:val="02F1741B"/>
    <w:rsid w:val="04911B11"/>
    <w:rsid w:val="052035FD"/>
    <w:rsid w:val="05AF70DB"/>
    <w:rsid w:val="06792773"/>
    <w:rsid w:val="0742534E"/>
    <w:rsid w:val="08B509AF"/>
    <w:rsid w:val="08E75997"/>
    <w:rsid w:val="09E12A64"/>
    <w:rsid w:val="0AF87F94"/>
    <w:rsid w:val="0B835865"/>
    <w:rsid w:val="0BF6540F"/>
    <w:rsid w:val="0C7227A7"/>
    <w:rsid w:val="0C801B16"/>
    <w:rsid w:val="0D1E33E4"/>
    <w:rsid w:val="0DAA21EE"/>
    <w:rsid w:val="0FA7589A"/>
    <w:rsid w:val="102C6852"/>
    <w:rsid w:val="1081433D"/>
    <w:rsid w:val="12D3520E"/>
    <w:rsid w:val="1396784F"/>
    <w:rsid w:val="13EC0B8A"/>
    <w:rsid w:val="14EB6229"/>
    <w:rsid w:val="155C65A7"/>
    <w:rsid w:val="15E95753"/>
    <w:rsid w:val="16F045F9"/>
    <w:rsid w:val="176E6CF3"/>
    <w:rsid w:val="17C618A3"/>
    <w:rsid w:val="185F4F4D"/>
    <w:rsid w:val="193D4B9E"/>
    <w:rsid w:val="1B4E62E5"/>
    <w:rsid w:val="1C666C77"/>
    <w:rsid w:val="1C8B4975"/>
    <w:rsid w:val="1C98798D"/>
    <w:rsid w:val="1D2D783E"/>
    <w:rsid w:val="1D9D4C68"/>
    <w:rsid w:val="1DAF458D"/>
    <w:rsid w:val="1E150A80"/>
    <w:rsid w:val="1EAA00AC"/>
    <w:rsid w:val="1FA73C1B"/>
    <w:rsid w:val="258917FB"/>
    <w:rsid w:val="27AF63CE"/>
    <w:rsid w:val="27CF2642"/>
    <w:rsid w:val="28605A33"/>
    <w:rsid w:val="294E4805"/>
    <w:rsid w:val="29E96D83"/>
    <w:rsid w:val="29EC087F"/>
    <w:rsid w:val="2A053397"/>
    <w:rsid w:val="2ABE0B21"/>
    <w:rsid w:val="2B3569EC"/>
    <w:rsid w:val="2B3A3AD8"/>
    <w:rsid w:val="2D1136DF"/>
    <w:rsid w:val="2DE716FC"/>
    <w:rsid w:val="2E59285E"/>
    <w:rsid w:val="2FD27414"/>
    <w:rsid w:val="31857BAC"/>
    <w:rsid w:val="31B5304E"/>
    <w:rsid w:val="31C63837"/>
    <w:rsid w:val="33206C0F"/>
    <w:rsid w:val="33BC32B4"/>
    <w:rsid w:val="3429669A"/>
    <w:rsid w:val="34965581"/>
    <w:rsid w:val="35C5793C"/>
    <w:rsid w:val="36325697"/>
    <w:rsid w:val="36E958BB"/>
    <w:rsid w:val="370D7281"/>
    <w:rsid w:val="38CB046A"/>
    <w:rsid w:val="3A643253"/>
    <w:rsid w:val="3B5D1933"/>
    <w:rsid w:val="3D1D5019"/>
    <w:rsid w:val="3D5275AC"/>
    <w:rsid w:val="3E1A76DD"/>
    <w:rsid w:val="3E2B7A03"/>
    <w:rsid w:val="3E9A7BA4"/>
    <w:rsid w:val="3F076061"/>
    <w:rsid w:val="3F6A08C0"/>
    <w:rsid w:val="455E1F7C"/>
    <w:rsid w:val="45897ADA"/>
    <w:rsid w:val="46901EEE"/>
    <w:rsid w:val="469C74D2"/>
    <w:rsid w:val="48A52360"/>
    <w:rsid w:val="4902047E"/>
    <w:rsid w:val="4A7D4485"/>
    <w:rsid w:val="4C2E1A9B"/>
    <w:rsid w:val="4DE45AD9"/>
    <w:rsid w:val="4E11500F"/>
    <w:rsid w:val="4EEF1380"/>
    <w:rsid w:val="4F9D7B44"/>
    <w:rsid w:val="50DB5F45"/>
    <w:rsid w:val="512709C0"/>
    <w:rsid w:val="51DB4252"/>
    <w:rsid w:val="52314E57"/>
    <w:rsid w:val="523358A5"/>
    <w:rsid w:val="53350823"/>
    <w:rsid w:val="54054866"/>
    <w:rsid w:val="54F22EA5"/>
    <w:rsid w:val="55516A31"/>
    <w:rsid w:val="59444B98"/>
    <w:rsid w:val="59996596"/>
    <w:rsid w:val="5A8B468F"/>
    <w:rsid w:val="5C386C32"/>
    <w:rsid w:val="5D286D33"/>
    <w:rsid w:val="5D630BDE"/>
    <w:rsid w:val="5E8A0BA7"/>
    <w:rsid w:val="5FFF1C5A"/>
    <w:rsid w:val="61A46A97"/>
    <w:rsid w:val="64275BB0"/>
    <w:rsid w:val="64925820"/>
    <w:rsid w:val="6627325F"/>
    <w:rsid w:val="66F72012"/>
    <w:rsid w:val="67623B14"/>
    <w:rsid w:val="68706FD2"/>
    <w:rsid w:val="69AD798C"/>
    <w:rsid w:val="69F01279"/>
    <w:rsid w:val="6B311CD9"/>
    <w:rsid w:val="6B68175F"/>
    <w:rsid w:val="6B8500AE"/>
    <w:rsid w:val="6C81696B"/>
    <w:rsid w:val="6D587ECB"/>
    <w:rsid w:val="6DE375B7"/>
    <w:rsid w:val="6F516C58"/>
    <w:rsid w:val="6FDFD92C"/>
    <w:rsid w:val="6FFF530B"/>
    <w:rsid w:val="70A609BC"/>
    <w:rsid w:val="73FB6630"/>
    <w:rsid w:val="74060C43"/>
    <w:rsid w:val="74947C20"/>
    <w:rsid w:val="761262E7"/>
    <w:rsid w:val="76416A32"/>
    <w:rsid w:val="77022DD9"/>
    <w:rsid w:val="77ED6F44"/>
    <w:rsid w:val="7DF42720"/>
    <w:rsid w:val="7E6C6E77"/>
    <w:rsid w:val="7F726A00"/>
    <w:rsid w:val="7FB31F36"/>
    <w:rsid w:val="7FC0756C"/>
    <w:rsid w:val="7FC85347"/>
    <w:rsid w:val="BF5DD8AA"/>
    <w:rsid w:val="D3CF2FDB"/>
    <w:rsid w:val="FDFEE3F3"/>
    <w:rsid w:val="FFBF01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2">
    <w:name w:val="annotation reference"/>
    <w:basedOn w:val="11"/>
    <w:qFormat/>
    <w:uiPriority w:val="0"/>
    <w:rPr>
      <w:sz w:val="21"/>
      <w:szCs w:val="21"/>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ug-CN"/>
    </w:rPr>
  </w:style>
  <w:style w:type="character" w:customStyle="1" w:styleId="16">
    <w:name w:val="批注框文本 字符"/>
    <w:basedOn w:val="11"/>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EECE7-2313-41ED-AECA-605B6CADA37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15</Pages>
  <Words>3940</Words>
  <Characters>7353</Characters>
  <Lines>59</Lines>
  <Paragraphs>16</Paragraphs>
  <TotalTime>20</TotalTime>
  <ScaleCrop>false</ScaleCrop>
  <LinksUpToDate>false</LinksUpToDate>
  <CharactersWithSpaces>7480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2014-10-31T04:08:00Z</dcterms:created>
  <dc:creator>GXR</dc:creator>
  <cp:lastModifiedBy>lenovo</cp:lastModifiedBy>
  <dcterms:modified xsi:type="dcterms:W3CDTF">2023-08-15T12:32:02Z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59D8F543E4BF4B5F9BA261246CAB409B</vt:lpwstr>
  </property>
</Properties>
</file>