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新疆喀什地区疏勒县军粮供应站2021年度部门决算公开说明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1.严格执行国家军粮供应政策和规定,军粮差价补贴款专款专用。</w:t>
      </w:r>
      <w:r>
        <w:rPr>
          <w:rFonts w:ascii="仿宋_GB2312" w:eastAsia="仿宋_GB2312"/>
          <w:sz w:val="32"/>
          <w:szCs w:val="32"/>
        </w:rPr>
        <w:br w:type="textWrapping"/>
      </w:r>
      <w:r>
        <w:rPr>
          <w:rFonts w:ascii="仿宋_GB2312" w:eastAsia="仿宋_GB2312"/>
          <w:sz w:val="32"/>
          <w:szCs w:val="32"/>
        </w:rPr>
        <w:t>　　2.负责保障县城区范围内军队粮食供应，负责军粮调运、储存和供应工作，保证按时、按质、按量、按品种供应军粮。</w:t>
      </w:r>
      <w:r>
        <w:rPr>
          <w:rFonts w:ascii="仿宋_GB2312" w:eastAsia="仿宋_GB2312"/>
          <w:sz w:val="32"/>
          <w:szCs w:val="32"/>
        </w:rPr>
        <w:br w:type="textWrapping"/>
      </w:r>
      <w:r>
        <w:rPr>
          <w:rFonts w:ascii="仿宋_GB2312" w:eastAsia="仿宋_GB2312"/>
          <w:sz w:val="32"/>
          <w:szCs w:val="32"/>
        </w:rPr>
        <w:t>　　3.承办县委、政府及上级主管部门交办的其他任务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新疆喀什地区疏勒县军粮供应站</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11</w:t>
      </w:r>
      <w:r>
        <w:rPr>
          <w:rFonts w:hint="eastAsia" w:ascii="仿宋_GB2312" w:eastAsia="仿宋_GB2312"/>
          <w:sz w:val="32"/>
          <w:szCs w:val="32"/>
        </w:rPr>
        <w:t>人，其中：在职人员</w:t>
      </w:r>
      <w:r>
        <w:rPr>
          <w:rFonts w:ascii="仿宋_GB2312" w:eastAsia="仿宋_GB2312"/>
          <w:sz w:val="32"/>
          <w:szCs w:val="32"/>
        </w:rPr>
        <w:t>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7</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从部门决算单位构成看，新疆喀什地区疏勒县军粮供应站部门决算包括：新疆喀什地区疏勒县军粮供应站决算。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88.70</w:t>
      </w:r>
      <w:r>
        <w:rPr>
          <w:rFonts w:hint="eastAsia" w:ascii="仿宋_GB2312" w:eastAsia="仿宋_GB2312"/>
          <w:sz w:val="32"/>
          <w:szCs w:val="32"/>
        </w:rPr>
        <w:t>万元，与上年相比，减少3.82万元，</w:t>
      </w:r>
      <w:r>
        <w:rPr>
          <w:rFonts w:ascii="仿宋_GB2312" w:eastAsia="仿宋_GB2312"/>
          <w:sz w:val="32"/>
          <w:szCs w:val="32"/>
        </w:rPr>
        <w:t>降低4.13</w:t>
      </w:r>
      <w:r>
        <w:rPr>
          <w:rFonts w:hint="eastAsia" w:ascii="仿宋_GB2312" w:eastAsia="仿宋_GB2312"/>
          <w:sz w:val="32"/>
          <w:szCs w:val="32"/>
        </w:rPr>
        <w:t>%，主要原因是：与上年度相比，本年度1人调出、1人辞职、1人退休，工资、社保、公积金经费减少，故本年收入减少。本年支出</w:t>
      </w:r>
      <w:r>
        <w:rPr>
          <w:rFonts w:ascii="仿宋_GB2312" w:eastAsia="仿宋_GB2312"/>
          <w:sz w:val="32"/>
          <w:szCs w:val="32"/>
        </w:rPr>
        <w:t>88.70</w:t>
      </w:r>
      <w:r>
        <w:rPr>
          <w:rFonts w:hint="eastAsia" w:ascii="仿宋_GB2312" w:eastAsia="仿宋_GB2312"/>
          <w:sz w:val="32"/>
          <w:szCs w:val="32"/>
        </w:rPr>
        <w:t>万元，与上年相比，</w:t>
      </w:r>
      <w:r>
        <w:rPr>
          <w:rFonts w:ascii="仿宋_GB2312" w:eastAsia="仿宋_GB2312"/>
          <w:sz w:val="32"/>
          <w:szCs w:val="32"/>
        </w:rPr>
        <w:t>减少3.82</w:t>
      </w:r>
      <w:r>
        <w:rPr>
          <w:rFonts w:hint="eastAsia" w:ascii="仿宋_GB2312" w:eastAsia="仿宋_GB2312"/>
          <w:sz w:val="32"/>
          <w:szCs w:val="32"/>
        </w:rPr>
        <w:t>万元，</w:t>
      </w:r>
      <w:r>
        <w:rPr>
          <w:rFonts w:ascii="仿宋_GB2312" w:eastAsia="仿宋_GB2312"/>
          <w:sz w:val="32"/>
          <w:szCs w:val="32"/>
        </w:rPr>
        <w:t>降低4.13</w:t>
      </w:r>
      <w:r>
        <w:rPr>
          <w:rFonts w:hint="eastAsia" w:ascii="仿宋_GB2312" w:eastAsia="仿宋_GB2312"/>
          <w:sz w:val="32"/>
          <w:szCs w:val="32"/>
        </w:rPr>
        <w:t>%，主要原因是：与上年度相比，本年度1人调出、1人辞职、1人退休，工资、社保、公积金经费减少，故本年支出减少。</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88.70</w:t>
      </w:r>
      <w:r>
        <w:rPr>
          <w:rFonts w:hint="eastAsia" w:ascii="仿宋_GB2312" w:eastAsia="仿宋_GB2312"/>
          <w:sz w:val="32"/>
          <w:szCs w:val="32"/>
        </w:rPr>
        <w:t>万元，其中：财政拨款收入</w:t>
      </w:r>
      <w:r>
        <w:rPr>
          <w:rFonts w:ascii="仿宋_GB2312" w:eastAsia="仿宋_GB2312"/>
          <w:sz w:val="32"/>
          <w:szCs w:val="32"/>
        </w:rPr>
        <w:t>88.70</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年度本年支出88.70万元，其中：基本支出</w:t>
      </w:r>
      <w:r>
        <w:rPr>
          <w:rFonts w:ascii="仿宋_GB2312" w:eastAsia="仿宋_GB2312"/>
          <w:sz w:val="32"/>
          <w:szCs w:val="32"/>
        </w:rPr>
        <w:t>88.70</w:t>
      </w:r>
      <w:r>
        <w:rPr>
          <w:rFonts w:hint="eastAsia" w:ascii="仿宋_GB2312" w:eastAsia="仿宋_GB2312"/>
          <w:sz w:val="32"/>
          <w:szCs w:val="32"/>
        </w:rPr>
        <w:t>万元，占100.00%；项目支出</w:t>
      </w:r>
      <w:r>
        <w:rPr>
          <w:rFonts w:ascii="仿宋_GB2312" w:eastAsia="仿宋_GB2312"/>
          <w:sz w:val="32"/>
          <w:szCs w:val="32"/>
        </w:rPr>
        <w:t>0.00</w:t>
      </w:r>
      <w:r>
        <w:rPr>
          <w:rFonts w:hint="eastAsia" w:ascii="仿宋_GB2312" w:eastAsia="仿宋_GB2312"/>
          <w:sz w:val="32"/>
          <w:szCs w:val="32"/>
        </w:rPr>
        <w:t>万元，占0.00%；上缴上级支出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88.70万元，与上年相比，减少3.82万元，降低4.13%，主要原因是：与上年度相比，本年度1人调出、1人辞职、1人退休，工资、社保、公积金经费减少，故财政拨款收入减少。财政拨款支出88.70万元，与上年相比，减少3.82万元，降低4.13%，主要原因是：与上年度相比，本年度1人调出、1人辞职、1人退休，工资、社保、公积金经费减少，故财政拨款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104.13</w:t>
      </w:r>
      <w:r>
        <w:rPr>
          <w:rFonts w:hint="eastAsia" w:ascii="仿宋_GB2312" w:eastAsia="仿宋_GB2312"/>
          <w:sz w:val="32"/>
          <w:szCs w:val="32"/>
        </w:rPr>
        <w:t>万元，决算数</w:t>
      </w:r>
      <w:r>
        <w:rPr>
          <w:rFonts w:ascii="仿宋_GB2312" w:eastAsia="仿宋_GB2312"/>
          <w:sz w:val="32"/>
          <w:szCs w:val="32"/>
        </w:rPr>
        <w:t>88.70</w:t>
      </w:r>
      <w:r>
        <w:rPr>
          <w:rFonts w:hint="eastAsia" w:ascii="仿宋_GB2312" w:eastAsia="仿宋_GB2312"/>
          <w:sz w:val="32"/>
          <w:szCs w:val="32"/>
        </w:rPr>
        <w:t>万元，预决算差异率</w:t>
      </w:r>
      <w:r>
        <w:rPr>
          <w:rFonts w:ascii="仿宋_GB2312" w:eastAsia="仿宋_GB2312"/>
          <w:sz w:val="32"/>
          <w:szCs w:val="32"/>
        </w:rPr>
        <w:t>-14.82</w:t>
      </w:r>
      <w:r>
        <w:rPr>
          <w:rFonts w:hint="eastAsia" w:ascii="仿宋_GB2312" w:eastAsia="仿宋_GB2312"/>
          <w:sz w:val="32"/>
          <w:szCs w:val="32"/>
        </w:rPr>
        <w:t>%，主要原因是：与上年度相比，本年度1人调出、1人辞职、1人退休，工资、社保、公积金经费减少，年中调减人员经费，故预决算存在差异。财政拨款支出年初预算数</w:t>
      </w:r>
      <w:r>
        <w:rPr>
          <w:rFonts w:ascii="仿宋_GB2312" w:eastAsia="仿宋_GB2312"/>
          <w:sz w:val="32"/>
          <w:szCs w:val="32"/>
        </w:rPr>
        <w:t>104.13</w:t>
      </w:r>
      <w:r>
        <w:rPr>
          <w:rFonts w:hint="eastAsia" w:ascii="仿宋_GB2312" w:eastAsia="仿宋_GB2312"/>
          <w:sz w:val="32"/>
          <w:szCs w:val="32"/>
        </w:rPr>
        <w:t>万元，决算数</w:t>
      </w:r>
      <w:r>
        <w:rPr>
          <w:rFonts w:ascii="仿宋_GB2312" w:eastAsia="仿宋_GB2312"/>
          <w:sz w:val="32"/>
          <w:szCs w:val="32"/>
        </w:rPr>
        <w:t>88.70</w:t>
      </w:r>
      <w:r>
        <w:rPr>
          <w:rFonts w:hint="eastAsia" w:ascii="仿宋_GB2312" w:eastAsia="仿宋_GB2312"/>
          <w:sz w:val="32"/>
          <w:szCs w:val="32"/>
        </w:rPr>
        <w:t>万元，预决算差异率-14.82%，主要原因是：与上年度相比，本年度1人调出、1人辞职、1人退休，工资、社保、公积金经费减少，年中调减人员经费，故预决算存在差异。</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年度一般公共预算财政拨款支出88.70万元。按功能分类科目项级科目公开，其中：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2080505机关事业单位基本养老保险缴费支出6.87万元；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2080506机关事业单位职业年金缴费支出5.27万元；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2210201住房公积金4.77万元；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2220101行政运行71.79万元。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88.70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85.40</w:t>
      </w:r>
      <w:r>
        <w:rPr>
          <w:rFonts w:hint="eastAsia" w:ascii="仿宋_GB2312" w:eastAsia="仿宋_GB2312"/>
          <w:sz w:val="32"/>
          <w:szCs w:val="32"/>
        </w:rPr>
        <w:t>万元，包括：基本工资、津贴补贴、奖金、机关事业单位基本养老保险缴费、职业年金缴费、职工基本医疗保险缴费、公务员医疗补助缴费、其他社会保障缴费、住房公积金、其他工资福利支出、退休费、奖励金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公用经费3.30万元，包括：办公费、水费、电费、邮电费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2021年度新疆喀什地区疏勒县军粮供应站（行政单位和参照公务员法管理事业单位）机关运行经费支出</w:t>
      </w:r>
      <w:r>
        <w:rPr>
          <w:rFonts w:ascii="仿宋_GB2312" w:eastAsia="仿宋_GB2312"/>
          <w:sz w:val="32"/>
          <w:szCs w:val="32"/>
        </w:rPr>
        <w:t>3.30</w:t>
      </w:r>
      <w:r>
        <w:rPr>
          <w:rFonts w:hint="eastAsia" w:ascii="仿宋_GB2312" w:eastAsia="仿宋_GB2312"/>
          <w:sz w:val="32"/>
          <w:szCs w:val="32"/>
        </w:rPr>
        <w:t>万元，比上年减少0.30万元，降低8.33%，主要原因是：严格执行八项规定，厉行节约，压减经费支出。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8391"/>
      <w:bookmarkStart w:id="29" w:name="_Toc45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17.97</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w:t>
      </w:r>
      <w:r>
        <w:rPr>
          <w:rFonts w:hint="eastAsia" w:ascii="仿宋_GB2312" w:eastAsia="仿宋_GB2312"/>
          <w:sz w:val="32"/>
          <w:szCs w:val="32"/>
          <w:lang w:eastAsia="zh-CN"/>
        </w:rPr>
        <w:t>业务用车</w:t>
      </w:r>
      <w:r>
        <w:rPr>
          <w:rFonts w:hint="eastAsia" w:ascii="仿宋_GB2312" w:eastAsia="仿宋_GB2312"/>
          <w:sz w:val="32"/>
          <w:szCs w:val="32"/>
        </w:rPr>
        <w:t>，用于军粮运输；单位价值50万元以上通用设备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bookmarkStart w:id="52" w:name="_GoBack"/>
      <w:bookmarkEnd w:id="52"/>
    </w:p>
    <w:p>
      <w:pPr>
        <w:ind w:firstLine="640" w:firstLineChars="200"/>
        <w:outlineLvl w:val="1"/>
        <w:rPr>
          <w:rFonts w:ascii="黑体" w:hAnsi="黑体" w:eastAsia="黑体" w:cs="宋体"/>
          <w:bCs/>
          <w:kern w:val="0"/>
          <w:sz w:val="32"/>
          <w:szCs w:val="32"/>
        </w:rPr>
      </w:pPr>
      <w:bookmarkStart w:id="30" w:name="_Toc11283"/>
      <w:bookmarkStart w:id="31" w:name="_Toc435"/>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本年度我单位无项目绩效。发现的问题及原因：本年度我单位无项目绩效。下一步改进措施：本年度我单位无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3250"/>
      <w:bookmarkStart w:id="33" w:name="_Toc24143"/>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2784"/>
      <w:bookmarkStart w:id="35"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2183"/>
      <w:bookmarkStart w:id="37" w:name="_Toc6062"/>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24532"/>
      <w:bookmarkStart w:id="39" w:name="_Toc30364"/>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32434"/>
      <w:bookmarkStart w:id="41" w:name="_Toc2130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0347"/>
      <w:bookmarkStart w:id="45" w:name="_Toc14869"/>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5626"/>
      <w:bookmarkStart w:id="47" w:name="_Toc8884"/>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29106"/>
      <w:bookmarkStart w:id="49" w:name="_Toc32663"/>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7643"/>
      <w:bookmarkStart w:id="51" w:name="_Toc545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382E66"/>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20</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2023-08-15T12:21:05Z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