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宋体" w:eastAsia="方正小标宋_GBK"/>
          <w:sz w:val="44"/>
          <w:szCs w:val="44"/>
        </w:rPr>
      </w:pPr>
      <w:bookmarkStart w:id="0" w:name="_Hlk97806973"/>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新疆喀什地区疏勒县人民医院2021年度部门决算公开说明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第一部分部门单位概况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1" w:name="_Toc32314"/>
      <w:bookmarkStart w:id="2" w:name="_Toc24028"/>
      <w:r>
        <w:rPr>
          <w:rFonts w:hint="eastAsia" w:ascii="黑体" w:hAnsi="黑体" w:eastAsia="黑体"/>
          <w:sz w:val="32"/>
          <w:szCs w:val="32"/>
        </w:rPr>
        <w:t>第一部分 部门单位概况</w:t>
      </w:r>
      <w:bookmarkEnd w:id="1"/>
      <w:bookmarkEnd w:id="2"/>
    </w:p>
    <w:p>
      <w:pPr>
        <w:ind w:firstLine="640" w:firstLineChars="200"/>
        <w:outlineLvl w:val="1"/>
        <w:rPr>
          <w:rFonts w:ascii="黑体" w:hAnsi="黑体" w:eastAsia="黑体" w:cs="宋体"/>
          <w:bCs/>
          <w:kern w:val="0"/>
          <w:sz w:val="32"/>
          <w:szCs w:val="32"/>
        </w:rPr>
      </w:pPr>
      <w:bookmarkStart w:id="3" w:name="_Toc30567"/>
      <w:bookmarkStart w:id="4" w:name="_Toc30738"/>
      <w:r>
        <w:rPr>
          <w:rFonts w:hint="eastAsia" w:ascii="黑体" w:hAnsi="黑体" w:eastAsia="黑体" w:cs="宋体"/>
          <w:bCs/>
          <w:kern w:val="0"/>
          <w:sz w:val="32"/>
          <w:szCs w:val="32"/>
        </w:rPr>
        <w:t>一、主要职能</w:t>
      </w:r>
      <w:bookmarkEnd w:id="3"/>
      <w:bookmarkEnd w:id="4"/>
    </w:p>
    <w:p>
      <w:pPr>
        <w:rPr>
          <w:rFonts w:ascii="仿宋_GB2312" w:eastAsia="仿宋_GB2312"/>
          <w:sz w:val="32"/>
          <w:szCs w:val="32"/>
        </w:rPr>
      </w:pPr>
      <w:r>
        <w:rPr>
          <w:rFonts w:ascii="仿宋_GB2312" w:eastAsia="仿宋_GB2312"/>
          <w:sz w:val="32"/>
          <w:szCs w:val="32"/>
        </w:rPr>
        <w:t>　　1、医疗服务：为全县人们身体健康提高医疗与护理保健服务，提供高水平的专科专家服务，承担危机重症和疑难病症诊治任务，开展双向转诊；</w:t>
      </w:r>
      <w:r>
        <w:rPr>
          <w:rFonts w:ascii="仿宋_GB2312" w:eastAsia="仿宋_GB2312"/>
          <w:sz w:val="32"/>
          <w:szCs w:val="32"/>
        </w:rPr>
        <w:br w:type="textWrapping"/>
      </w:r>
      <w:r>
        <w:rPr>
          <w:rFonts w:ascii="仿宋_GB2312" w:eastAsia="仿宋_GB2312"/>
          <w:sz w:val="32"/>
          <w:szCs w:val="32"/>
        </w:rPr>
        <w:t>　　2、业务技术指导，履行对基层医疗机构业务技术指导，并建立经常性的技术指导与合作关系，帮助开展新技术新项目，解决疑难问题，培养卫生技术和管理人才，完成卫生行政部门规定的工作；</w:t>
      </w:r>
      <w:r>
        <w:rPr>
          <w:rFonts w:ascii="仿宋_GB2312" w:eastAsia="仿宋_GB2312"/>
          <w:sz w:val="32"/>
          <w:szCs w:val="32"/>
        </w:rPr>
        <w:br w:type="textWrapping"/>
      </w:r>
      <w:r>
        <w:rPr>
          <w:rFonts w:ascii="仿宋_GB2312" w:eastAsia="仿宋_GB2312"/>
          <w:sz w:val="32"/>
          <w:szCs w:val="32"/>
        </w:rPr>
        <w:t>　　3、预防保健，开展健康教育，承担预防保健、主要慢性非传染性疾病的临床流行病学调查和防治工作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bookmarkStart w:id="5" w:name="_Toc31238"/>
      <w:bookmarkStart w:id="6" w:name="_Toc2151"/>
      <w:r>
        <w:rPr>
          <w:rFonts w:hint="eastAsia" w:ascii="黑体" w:hAnsi="黑体" w:eastAsia="黑体" w:cs="宋体"/>
          <w:bCs/>
          <w:kern w:val="0"/>
          <w:sz w:val="32"/>
          <w:szCs w:val="32"/>
        </w:rPr>
        <w:t>二、机构设置及</w:t>
      </w:r>
      <w:bookmarkEnd w:id="5"/>
      <w:r>
        <w:rPr>
          <w:rFonts w:hint="eastAsia" w:ascii="黑体" w:hAnsi="黑体" w:eastAsia="黑体" w:cs="宋体"/>
          <w:bCs/>
          <w:kern w:val="0"/>
          <w:sz w:val="32"/>
          <w:szCs w:val="32"/>
        </w:rPr>
        <w:t>人员情况</w:t>
      </w:r>
      <w:bookmarkEnd w:id="6"/>
    </w:p>
    <w:p>
      <w:pPr>
        <w:ind w:firstLine="640" w:firstLineChars="200"/>
        <w:rPr>
          <w:rFonts w:ascii="仿宋_GB2312" w:eastAsia="仿宋_GB2312"/>
          <w:sz w:val="32"/>
          <w:szCs w:val="32"/>
        </w:rPr>
      </w:pPr>
      <w:r>
        <w:rPr>
          <w:rFonts w:hint="eastAsia" w:ascii="仿宋_GB2312" w:eastAsia="仿宋_GB2312"/>
          <w:sz w:val="32"/>
          <w:szCs w:val="32"/>
        </w:rPr>
        <w:t>新疆喀什地区疏勒县人民医院</w:t>
      </w:r>
      <w:r>
        <w:rPr>
          <w:rFonts w:ascii="仿宋_GB2312" w:eastAsia="仿宋_GB2312"/>
          <w:sz w:val="32"/>
          <w:szCs w:val="32"/>
        </w:rPr>
        <w:t>2021</w:t>
      </w:r>
      <w:r>
        <w:rPr>
          <w:rFonts w:hint="eastAsia" w:ascii="仿宋_GB2312" w:eastAsia="仿宋_GB2312"/>
          <w:sz w:val="32"/>
          <w:szCs w:val="32"/>
        </w:rPr>
        <w:t>年度，实有人数</w:t>
      </w:r>
      <w:r>
        <w:rPr>
          <w:rFonts w:ascii="仿宋_GB2312" w:eastAsia="仿宋_GB2312"/>
          <w:sz w:val="32"/>
          <w:szCs w:val="32"/>
        </w:rPr>
        <w:t>366</w:t>
      </w:r>
      <w:r>
        <w:rPr>
          <w:rFonts w:hint="eastAsia" w:ascii="仿宋_GB2312" w:eastAsia="仿宋_GB2312"/>
          <w:sz w:val="32"/>
          <w:szCs w:val="32"/>
        </w:rPr>
        <w:t>人，其中：在职人员</w:t>
      </w:r>
      <w:r>
        <w:rPr>
          <w:rFonts w:ascii="仿宋_GB2312" w:eastAsia="仿宋_GB2312"/>
          <w:sz w:val="32"/>
          <w:szCs w:val="32"/>
        </w:rPr>
        <w:t>259</w:t>
      </w:r>
      <w:r>
        <w:rPr>
          <w:rFonts w:hint="eastAsia" w:ascii="仿宋_GB2312" w:eastAsia="仿宋_GB2312"/>
          <w:sz w:val="32"/>
          <w:szCs w:val="32"/>
        </w:rPr>
        <w:t>人，离休人员</w:t>
      </w:r>
      <w:r>
        <w:rPr>
          <w:rFonts w:ascii="仿宋_GB2312" w:eastAsia="仿宋_GB2312"/>
          <w:sz w:val="32"/>
          <w:szCs w:val="32"/>
        </w:rPr>
        <w:t>1</w:t>
      </w:r>
      <w:r>
        <w:rPr>
          <w:rFonts w:hint="eastAsia" w:ascii="仿宋_GB2312" w:eastAsia="仿宋_GB2312"/>
          <w:sz w:val="32"/>
          <w:szCs w:val="32"/>
        </w:rPr>
        <w:t>人，退休人员</w:t>
      </w:r>
      <w:r>
        <w:rPr>
          <w:rFonts w:ascii="仿宋_GB2312" w:eastAsia="仿宋_GB2312"/>
          <w:sz w:val="32"/>
          <w:szCs w:val="32"/>
        </w:rPr>
        <w:t>106</w:t>
      </w:r>
      <w:r>
        <w:rPr>
          <w:rFonts w:hint="eastAsia" w:ascii="仿宋_GB2312" w:eastAsia="仿宋_GB2312"/>
          <w:sz w:val="32"/>
          <w:szCs w:val="32"/>
        </w:rPr>
        <w:t>人。</w:t>
      </w:r>
    </w:p>
    <w:p>
      <w:pPr>
        <w:ind w:firstLine="640" w:firstLineChars="200"/>
        <w:rPr>
          <w:rFonts w:ascii="仿宋_GB2312" w:eastAsia="仿宋_GB2312"/>
          <w:sz w:val="32"/>
          <w:szCs w:val="32"/>
        </w:rPr>
      </w:pPr>
      <w:r>
        <w:rPr>
          <w:rFonts w:hint="eastAsia" w:ascii="仿宋_GB2312" w:eastAsia="仿宋_GB2312"/>
          <w:sz w:val="32"/>
          <w:szCs w:val="32"/>
        </w:rPr>
        <w:t>从部门决算单位构成看，新疆喀什地区疏勒县人民医院部门决算包括：新疆喀什地区疏勒县人民医院决算。</w:t>
      </w: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23</w:t>
      </w:r>
      <w:r>
        <w:rPr>
          <w:rFonts w:hint="eastAsia" w:ascii="仿宋_GB2312" w:hAnsi="黑体" w:eastAsia="仿宋_GB2312" w:cs="宋体"/>
          <w:bCs/>
          <w:kern w:val="0"/>
          <w:sz w:val="32"/>
          <w:szCs w:val="32"/>
        </w:rPr>
        <w:t>个处室，分别是：党务办公室、院行政办公室、医务办、护理部、财务科、感染控制办公室、总务科、门诊、基本医疗保险科、中医科、麻醉手术科、急诊科、妇产科、内一科、内二科、传染科、检验科、放射科、特检科、供应室、药剂科、住院处、信息科</w:t>
      </w:r>
      <w:r>
        <w:rPr>
          <w:rFonts w:hint="eastAsia" w:ascii="仿宋_GB2312" w:hAnsi="宋体" w:eastAsia="仿宋_GB2312" w:cs="宋体"/>
          <w:kern w:val="0"/>
          <w:sz w:val="32"/>
          <w:szCs w:val="32"/>
        </w:rPr>
        <w:t>。</w:t>
      </w:r>
    </w:p>
    <w:p>
      <w:pPr>
        <w:rPr>
          <w:rFonts w:ascii="Arial" w:hAnsi="Arial" w:cs="Arial"/>
          <w:color w:val="4D4D4D"/>
          <w:shd w:val="clear" w:color="auto" w:fill="FFFFFF"/>
        </w:rPr>
      </w:pPr>
      <w:r>
        <w:rPr>
          <w:rFonts w:ascii="Arial" w:hAnsi="Arial" w:cs="Arial"/>
          <w:color w:val="4D4D4D"/>
          <w:shd w:val="clear" w:color="auto" w:fill="FFFFFF"/>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第二部分 部门决算情况说明</w:t>
      </w:r>
    </w:p>
    <w:p>
      <w:pPr>
        <w:ind w:firstLine="640" w:firstLineChars="200"/>
        <w:outlineLvl w:val="1"/>
        <w:rPr>
          <w:rFonts w:ascii="黑体" w:hAnsi="黑体" w:eastAsia="黑体" w:cs="宋体"/>
          <w:bCs/>
          <w:kern w:val="0"/>
          <w:sz w:val="32"/>
          <w:szCs w:val="32"/>
        </w:rPr>
      </w:pPr>
      <w:bookmarkStart w:id="7" w:name="_Toc25314"/>
      <w:bookmarkStart w:id="8" w:name="_Toc12566"/>
      <w:bookmarkStart w:id="9" w:name="_Hlk97807141"/>
      <w:r>
        <w:rPr>
          <w:rFonts w:hint="eastAsia" w:ascii="黑体" w:hAnsi="黑体" w:eastAsia="黑体" w:cs="宋体"/>
          <w:bCs/>
          <w:kern w:val="0"/>
          <w:sz w:val="32"/>
          <w:szCs w:val="32"/>
        </w:rPr>
        <w:t>一、收入支出决算总体情况说明</w:t>
      </w:r>
      <w:bookmarkEnd w:id="7"/>
      <w:bookmarkEnd w:id="8"/>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28,214.70</w:t>
      </w:r>
      <w:r>
        <w:rPr>
          <w:rFonts w:hint="eastAsia" w:ascii="仿宋_GB2312" w:eastAsia="仿宋_GB2312"/>
          <w:sz w:val="32"/>
          <w:szCs w:val="32"/>
        </w:rPr>
        <w:t>万元，与上年相比，增加4,092.35万元，</w:t>
      </w:r>
      <w:r>
        <w:rPr>
          <w:rFonts w:ascii="仿宋_GB2312" w:eastAsia="仿宋_GB2312"/>
          <w:sz w:val="32"/>
          <w:szCs w:val="32"/>
        </w:rPr>
        <w:t>增长16.96</w:t>
      </w:r>
      <w:r>
        <w:rPr>
          <w:rFonts w:hint="eastAsia" w:ascii="仿宋_GB2312" w:eastAsia="仿宋_GB2312"/>
          <w:sz w:val="32"/>
          <w:szCs w:val="32"/>
        </w:rPr>
        <w:t>%，主要原因是：新建留观安置综合楼以及医院新科室新项目的开展带来的事业收入。本年支出</w:t>
      </w:r>
      <w:r>
        <w:rPr>
          <w:rFonts w:ascii="仿宋_GB2312" w:eastAsia="仿宋_GB2312"/>
          <w:sz w:val="32"/>
          <w:szCs w:val="32"/>
        </w:rPr>
        <w:t>28,214.70</w:t>
      </w:r>
      <w:r>
        <w:rPr>
          <w:rFonts w:hint="eastAsia" w:ascii="仿宋_GB2312" w:eastAsia="仿宋_GB2312"/>
          <w:sz w:val="32"/>
          <w:szCs w:val="32"/>
        </w:rPr>
        <w:t>万元，与上年相比，</w:t>
      </w:r>
      <w:r>
        <w:rPr>
          <w:rFonts w:ascii="仿宋_GB2312" w:eastAsia="仿宋_GB2312"/>
          <w:sz w:val="32"/>
          <w:szCs w:val="32"/>
        </w:rPr>
        <w:t>增加4,092.35</w:t>
      </w:r>
      <w:r>
        <w:rPr>
          <w:rFonts w:hint="eastAsia" w:ascii="仿宋_GB2312" w:eastAsia="仿宋_GB2312"/>
          <w:sz w:val="32"/>
          <w:szCs w:val="32"/>
        </w:rPr>
        <w:t>万元，</w:t>
      </w:r>
      <w:r>
        <w:rPr>
          <w:rFonts w:ascii="仿宋_GB2312" w:eastAsia="仿宋_GB2312"/>
          <w:sz w:val="32"/>
          <w:szCs w:val="32"/>
        </w:rPr>
        <w:t>增长16.96</w:t>
      </w:r>
      <w:r>
        <w:rPr>
          <w:rFonts w:hint="eastAsia" w:ascii="仿宋_GB2312" w:eastAsia="仿宋_GB2312"/>
          <w:sz w:val="32"/>
          <w:szCs w:val="32"/>
        </w:rPr>
        <w:t>%，主要原因是：医院实行同工同筹，对聘用员工的福利待遇有所提升，导致人员经费增加；医院各种配套设施建设，设备更新换代，高精尖人才引进，开展新科室新项目导致费用增加。</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年度本年收入</w:t>
      </w:r>
      <w:r>
        <w:rPr>
          <w:rFonts w:ascii="仿宋_GB2312" w:eastAsia="仿宋_GB2312"/>
          <w:sz w:val="32"/>
          <w:szCs w:val="32"/>
        </w:rPr>
        <w:t>28,214.70</w:t>
      </w:r>
      <w:r>
        <w:rPr>
          <w:rFonts w:hint="eastAsia" w:ascii="仿宋_GB2312" w:eastAsia="仿宋_GB2312"/>
          <w:sz w:val="32"/>
          <w:szCs w:val="32"/>
        </w:rPr>
        <w:t>万元，其中：财政拨款收入</w:t>
      </w:r>
      <w:r>
        <w:rPr>
          <w:rFonts w:ascii="仿宋_GB2312" w:eastAsia="仿宋_GB2312"/>
          <w:sz w:val="32"/>
          <w:szCs w:val="32"/>
        </w:rPr>
        <w:t>8,999.06</w:t>
      </w:r>
      <w:r>
        <w:rPr>
          <w:rFonts w:hint="eastAsia" w:ascii="仿宋_GB2312" w:eastAsia="仿宋_GB2312"/>
          <w:sz w:val="32"/>
          <w:szCs w:val="32"/>
        </w:rPr>
        <w:t>万元，占31.89%；上级补助收入</w:t>
      </w:r>
      <w:r>
        <w:rPr>
          <w:rFonts w:ascii="仿宋_GB2312" w:eastAsia="仿宋_GB2312"/>
          <w:sz w:val="32"/>
          <w:szCs w:val="32"/>
        </w:rPr>
        <w:t>0.00</w:t>
      </w:r>
      <w:r>
        <w:rPr>
          <w:rFonts w:hint="eastAsia" w:ascii="仿宋_GB2312" w:eastAsia="仿宋_GB2312"/>
          <w:sz w:val="32"/>
          <w:szCs w:val="32"/>
        </w:rPr>
        <w:t>万元，占0.00%；事业收入</w:t>
      </w:r>
      <w:r>
        <w:rPr>
          <w:rFonts w:ascii="仿宋_GB2312" w:eastAsia="仿宋_GB2312"/>
          <w:sz w:val="32"/>
          <w:szCs w:val="32"/>
        </w:rPr>
        <w:t>16,472.76</w:t>
      </w:r>
      <w:r>
        <w:rPr>
          <w:rFonts w:hint="eastAsia" w:ascii="仿宋_GB2312" w:eastAsia="仿宋_GB2312"/>
          <w:sz w:val="32"/>
          <w:szCs w:val="32"/>
        </w:rPr>
        <w:t>万元，占58.38%；经营收入</w:t>
      </w:r>
      <w:r>
        <w:rPr>
          <w:rFonts w:ascii="仿宋_GB2312" w:eastAsia="仿宋_GB2312"/>
          <w:sz w:val="32"/>
          <w:szCs w:val="32"/>
        </w:rPr>
        <w:t>0.00</w:t>
      </w:r>
      <w:r>
        <w:rPr>
          <w:rFonts w:hint="eastAsia" w:ascii="仿宋_GB2312" w:eastAsia="仿宋_GB2312"/>
          <w:sz w:val="32"/>
          <w:szCs w:val="32"/>
        </w:rPr>
        <w:t>万元，占0.00%；附属单位上缴收入</w:t>
      </w:r>
      <w:r>
        <w:rPr>
          <w:rFonts w:ascii="仿宋_GB2312" w:eastAsia="仿宋_GB2312"/>
          <w:sz w:val="32"/>
          <w:szCs w:val="32"/>
        </w:rPr>
        <w:t>0.00</w:t>
      </w:r>
      <w:r>
        <w:rPr>
          <w:rFonts w:hint="eastAsia" w:ascii="仿宋_GB2312" w:eastAsia="仿宋_GB2312"/>
          <w:sz w:val="32"/>
          <w:szCs w:val="32"/>
        </w:rPr>
        <w:t>万元，占0.00%；其他收入</w:t>
      </w:r>
      <w:r>
        <w:rPr>
          <w:rFonts w:ascii="仿宋_GB2312" w:eastAsia="仿宋_GB2312"/>
          <w:sz w:val="32"/>
          <w:szCs w:val="32"/>
        </w:rPr>
        <w:t>2,742.88</w:t>
      </w:r>
      <w:r>
        <w:rPr>
          <w:rFonts w:hint="eastAsia" w:ascii="仿宋_GB2312" w:eastAsia="仿宋_GB2312"/>
          <w:sz w:val="32"/>
          <w:szCs w:val="32"/>
        </w:rPr>
        <w:t>万元，占9.72%。</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年度本年支出28,214.70万元，其中：基本支出</w:t>
      </w:r>
      <w:r>
        <w:rPr>
          <w:rFonts w:ascii="仿宋_GB2312" w:eastAsia="仿宋_GB2312"/>
          <w:sz w:val="32"/>
          <w:szCs w:val="32"/>
        </w:rPr>
        <w:t>19,080.96</w:t>
      </w:r>
      <w:r>
        <w:rPr>
          <w:rFonts w:hint="eastAsia" w:ascii="仿宋_GB2312" w:eastAsia="仿宋_GB2312"/>
          <w:sz w:val="32"/>
          <w:szCs w:val="32"/>
        </w:rPr>
        <w:t>万元，占67.63%；项目支出</w:t>
      </w:r>
      <w:r>
        <w:rPr>
          <w:rFonts w:ascii="仿宋_GB2312" w:eastAsia="仿宋_GB2312"/>
          <w:sz w:val="32"/>
          <w:szCs w:val="32"/>
        </w:rPr>
        <w:t>9,133.75</w:t>
      </w:r>
      <w:r>
        <w:rPr>
          <w:rFonts w:hint="eastAsia" w:ascii="仿宋_GB2312" w:eastAsia="仿宋_GB2312"/>
          <w:sz w:val="32"/>
          <w:szCs w:val="32"/>
        </w:rPr>
        <w:t>万元，占32.37%；上缴上级支出</w:t>
      </w:r>
      <w:r>
        <w:rPr>
          <w:rFonts w:ascii="仿宋_GB2312" w:eastAsia="仿宋_GB2312"/>
          <w:sz w:val="32"/>
          <w:szCs w:val="32"/>
        </w:rPr>
        <w:t>0.00</w:t>
      </w:r>
      <w:r>
        <w:rPr>
          <w:rFonts w:hint="eastAsia" w:ascii="仿宋_GB2312" w:eastAsia="仿宋_GB2312"/>
          <w:sz w:val="32"/>
          <w:szCs w:val="32"/>
        </w:rPr>
        <w:t>万元，占0.00%；经营支出</w:t>
      </w:r>
      <w:r>
        <w:rPr>
          <w:rFonts w:ascii="仿宋_GB2312" w:eastAsia="仿宋_GB2312"/>
          <w:sz w:val="32"/>
          <w:szCs w:val="32"/>
        </w:rPr>
        <w:t>0.00</w:t>
      </w:r>
      <w:r>
        <w:rPr>
          <w:rFonts w:hint="eastAsia" w:ascii="仿宋_GB2312" w:eastAsia="仿宋_GB2312"/>
          <w:sz w:val="32"/>
          <w:szCs w:val="32"/>
        </w:rPr>
        <w:t>万元，占</w:t>
      </w:r>
      <w:r>
        <w:rPr>
          <w:rFonts w:ascii="仿宋_GB2312" w:eastAsia="仿宋_GB2312"/>
          <w:sz w:val="32"/>
          <w:szCs w:val="32"/>
        </w:rPr>
        <w:t>0.00</w:t>
      </w:r>
      <w:r>
        <w:rPr>
          <w:rFonts w:hint="eastAsia" w:ascii="仿宋_GB2312" w:eastAsia="仿宋_GB2312"/>
          <w:sz w:val="32"/>
          <w:szCs w:val="32"/>
        </w:rPr>
        <w:t>%；对附属单位补助支出0.00万元，占0.00%。</w:t>
      </w:r>
    </w:p>
    <w:bookmarkEnd w:id="9"/>
    <w:p>
      <w:pPr>
        <w:ind w:firstLine="640" w:firstLineChars="200"/>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财政拨款收入8,999.06万元，与上年相比，增加3,477.47万元，增长62.98%，主要原因是：本年新增留观安置综合楼项目。财政拨款支出8,999.06万元，与上年相比，增加3,477.47万元，增长62.98%，主要原因是：本年新增留观安置综合楼项目。</w:t>
      </w:r>
    </w:p>
    <w:p>
      <w:pPr>
        <w:ind w:firstLine="640" w:firstLineChars="200"/>
        <w:rPr>
          <w:rFonts w:ascii="仿宋_GB2312" w:eastAsia="仿宋_GB2312"/>
          <w:sz w:val="32"/>
          <w:szCs w:val="32"/>
        </w:rPr>
      </w:pPr>
      <w:r>
        <w:rPr>
          <w:rFonts w:hint="eastAsia" w:ascii="仿宋_GB2312" w:eastAsia="仿宋_GB2312"/>
          <w:sz w:val="32"/>
          <w:szCs w:val="32"/>
        </w:rPr>
        <w:t>与年初预算数相比情况：财政拨款收入年初预算数</w:t>
      </w:r>
      <w:r>
        <w:rPr>
          <w:rFonts w:ascii="仿宋_GB2312" w:eastAsia="仿宋_GB2312"/>
          <w:sz w:val="32"/>
          <w:szCs w:val="32"/>
        </w:rPr>
        <w:t>2,670.48</w:t>
      </w:r>
      <w:r>
        <w:rPr>
          <w:rFonts w:hint="eastAsia" w:ascii="仿宋_GB2312" w:eastAsia="仿宋_GB2312"/>
          <w:sz w:val="32"/>
          <w:szCs w:val="32"/>
        </w:rPr>
        <w:t>万元，决算数</w:t>
      </w:r>
      <w:r>
        <w:rPr>
          <w:rFonts w:ascii="仿宋_GB2312" w:eastAsia="仿宋_GB2312"/>
          <w:sz w:val="32"/>
          <w:szCs w:val="32"/>
        </w:rPr>
        <w:t>8,999.06</w:t>
      </w:r>
      <w:r>
        <w:rPr>
          <w:rFonts w:hint="eastAsia" w:ascii="仿宋_GB2312" w:eastAsia="仿宋_GB2312"/>
          <w:sz w:val="32"/>
          <w:szCs w:val="32"/>
        </w:rPr>
        <w:t>万元，预决算差异率</w:t>
      </w:r>
      <w:r>
        <w:rPr>
          <w:rFonts w:ascii="仿宋_GB2312" w:eastAsia="仿宋_GB2312"/>
          <w:sz w:val="32"/>
          <w:szCs w:val="32"/>
        </w:rPr>
        <w:t>236.98</w:t>
      </w:r>
      <w:r>
        <w:rPr>
          <w:rFonts w:hint="eastAsia" w:ascii="仿宋_GB2312" w:eastAsia="仿宋_GB2312"/>
          <w:sz w:val="32"/>
          <w:szCs w:val="32"/>
        </w:rPr>
        <w:t>%，主要原因是：年初只安排人员经费预算，未做项目预算，年中追加项目经费，导致预决算存在差异。财政拨款支出年初预算数</w:t>
      </w:r>
      <w:r>
        <w:rPr>
          <w:rFonts w:ascii="仿宋_GB2312" w:eastAsia="仿宋_GB2312"/>
          <w:sz w:val="32"/>
          <w:szCs w:val="32"/>
        </w:rPr>
        <w:t>2,670.48</w:t>
      </w:r>
      <w:r>
        <w:rPr>
          <w:rFonts w:hint="eastAsia" w:ascii="仿宋_GB2312" w:eastAsia="仿宋_GB2312"/>
          <w:sz w:val="32"/>
          <w:szCs w:val="32"/>
        </w:rPr>
        <w:t>万元，决算数</w:t>
      </w:r>
      <w:r>
        <w:rPr>
          <w:rFonts w:ascii="仿宋_GB2312" w:eastAsia="仿宋_GB2312"/>
          <w:sz w:val="32"/>
          <w:szCs w:val="32"/>
        </w:rPr>
        <w:t>8,999.06</w:t>
      </w:r>
      <w:r>
        <w:rPr>
          <w:rFonts w:hint="eastAsia" w:ascii="仿宋_GB2312" w:eastAsia="仿宋_GB2312"/>
          <w:sz w:val="32"/>
          <w:szCs w:val="32"/>
        </w:rPr>
        <w:t>万元，预决算差异率236.98%，主要原因是：年初只安排人员经费预算，未做项目预算，年中追加项目经费，导致预决算存在差异。</w:t>
      </w:r>
    </w:p>
    <w:p>
      <w:pPr>
        <w:ind w:firstLine="640" w:firstLineChars="200"/>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年度一般公共预算财政拨款支出8,999.06万元。按功能分类科目项级科目公开，其中：</w:t>
      </w:r>
    </w:p>
    <w:p>
      <w:pPr>
        <w:jc w:val="left"/>
        <w:rPr>
          <w:rFonts w:ascii="仿宋_GB2312" w:eastAsia="仿宋_GB2312"/>
          <w:sz w:val="32"/>
          <w:szCs w:val="32"/>
        </w:rPr>
      </w:pPr>
      <w:bookmarkStart w:id="18" w:name="_Toc30870"/>
      <w:bookmarkStart w:id="19" w:name="_Toc11146"/>
      <w:r>
        <w:rPr>
          <w:rFonts w:ascii="仿宋_GB2312" w:eastAsia="仿宋_GB2312"/>
          <w:sz w:val="32"/>
          <w:szCs w:val="32"/>
        </w:rPr>
        <w:tab/>
      </w:r>
      <w:r>
        <w:rPr>
          <w:rFonts w:ascii="仿宋_GB2312" w:eastAsia="仿宋_GB2312"/>
          <w:sz w:val="32"/>
          <w:szCs w:val="32"/>
        </w:rPr>
        <w:t xml:space="preserve"> 2080505机关事业单位基本养老保险缴费支出253.61万元；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2080506机关事业单位职业年金缴费支出127.29万元；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2100201综合医院2,227.30万元；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2100299其他公立医院支出410.00万元；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2100409重大公共卫生服务7.00万元；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2100499其他公共卫生支出5,014.20万元；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2109999其他卫生健康支出936.37万元；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2299999其他支出23.29万元。</w:t>
      </w:r>
    </w:p>
    <w:p>
      <w:pPr>
        <w:rPr>
          <w:rFonts w:ascii="仿宋_GB2312" w:eastAsia="仿宋_GB2312"/>
          <w:sz w:val="32"/>
          <w:szCs w:val="32"/>
        </w:rPr>
      </w:pPr>
      <w:r>
        <w:rPr>
          <w:rFonts w:ascii="仿宋_GB2312" w:eastAsia="仿宋_GB2312"/>
          <w:sz w:val="32"/>
          <w:szCs w:val="32"/>
        </w:rPr>
        <w:tab/>
      </w:r>
      <w:r>
        <w:rPr>
          <w:rFonts w:ascii="仿宋_GB2312" w:eastAsia="仿宋_GB2312"/>
          <w:sz w:val="32"/>
          <w:szCs w:val="32"/>
        </w:rPr>
        <w:t xml:space="preserve"> </w:t>
      </w:r>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eastAsia="仿宋_GB2312"/>
          <w:sz w:val="32"/>
          <w:szCs w:val="32"/>
        </w:rPr>
        <w:t>2021</w:t>
      </w:r>
      <w:r>
        <w:rPr>
          <w:rFonts w:hint="eastAsia" w:ascii="仿宋_GB2312" w:eastAsia="仿宋_GB2312"/>
          <w:sz w:val="32"/>
          <w:szCs w:val="32"/>
        </w:rPr>
        <w:t>年度一般公共预算财政拨款基本支出</w:t>
      </w:r>
      <w:r>
        <w:rPr>
          <w:rFonts w:ascii="仿宋_GB2312" w:eastAsia="仿宋_GB2312"/>
          <w:sz w:val="32"/>
          <w:szCs w:val="32"/>
        </w:rPr>
        <w:t>2,608.20</w:t>
      </w:r>
      <w:r>
        <w:rPr>
          <w:rFonts w:hint="eastAsia" w:ascii="仿宋_GB2312" w:eastAsia="仿宋_GB2312"/>
          <w:sz w:val="32"/>
          <w:szCs w:val="32"/>
        </w:rPr>
        <w:t>万元，其中：</w:t>
      </w:r>
    </w:p>
    <w:p>
      <w:pPr>
        <w:ind w:firstLine="640" w:firstLineChars="200"/>
        <w:rPr>
          <w:rFonts w:ascii="仿宋_GB2312" w:eastAsia="仿宋_GB2312"/>
          <w:sz w:val="32"/>
          <w:szCs w:val="32"/>
        </w:rPr>
      </w:pPr>
      <w:r>
        <w:rPr>
          <w:rFonts w:hint="eastAsia" w:ascii="仿宋_GB2312" w:eastAsia="仿宋_GB2312"/>
          <w:sz w:val="32"/>
          <w:szCs w:val="32"/>
        </w:rPr>
        <w:t>人员经费</w:t>
      </w:r>
      <w:r>
        <w:rPr>
          <w:rFonts w:ascii="仿宋_GB2312" w:eastAsia="仿宋_GB2312"/>
          <w:sz w:val="32"/>
          <w:szCs w:val="32"/>
        </w:rPr>
        <w:t>2,608.20</w:t>
      </w:r>
      <w:r>
        <w:rPr>
          <w:rFonts w:hint="eastAsia" w:ascii="仿宋_GB2312" w:eastAsia="仿宋_GB2312"/>
          <w:sz w:val="32"/>
          <w:szCs w:val="32"/>
        </w:rPr>
        <w:t>万元，包括：基本工资、津贴补贴、绩效工资、机关事业单位基本养老保险缴费、职业年金缴费、离休费</w:t>
      </w:r>
      <w:r>
        <w:rPr>
          <w:rFonts w:hint="eastAsia" w:ascii="仿宋_GB2312" w:hAnsi="宋体" w:eastAsia="仿宋_GB2312" w:cs="宋体"/>
          <w:kern w:val="0"/>
          <w:sz w:val="32"/>
          <w:szCs w:val="32"/>
        </w:rPr>
        <w:t>。</w:t>
      </w:r>
    </w:p>
    <w:p>
      <w:pPr>
        <w:ind w:firstLine="640" w:firstLineChars="200"/>
        <w:rPr>
          <w:rFonts w:ascii="仿宋_GB2312" w:eastAsia="仿宋_GB2312"/>
          <w:sz w:val="32"/>
          <w:szCs w:val="32"/>
        </w:rPr>
      </w:pPr>
      <w:r>
        <w:rPr>
          <w:rFonts w:hint="eastAsia" w:ascii="仿宋_GB2312" w:eastAsia="仿宋_GB2312"/>
          <w:sz w:val="32"/>
          <w:szCs w:val="32"/>
        </w:rPr>
        <w:t>公用经费0.00万元，包括：无</w:t>
      </w:r>
      <w:r>
        <w:rPr>
          <w:rFonts w:hint="eastAsia" w:ascii="仿宋_GB2312" w:hAnsi="宋体" w:eastAsia="仿宋_GB2312" w:cs="宋体"/>
          <w:kern w:val="0"/>
          <w:sz w:val="32"/>
          <w:szCs w:val="32"/>
        </w:rPr>
        <w:t>。</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2021年度一般公共预算“三公”经费支出决算0.00万元，比上年增加0.00万元，增长0.00%，主要原因是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我单位无一般公共预算“三公”经费支出。其中</w:t>
      </w:r>
      <w:r>
        <w:rPr>
          <w:rFonts w:hint="eastAsia" w:ascii="仿宋_GB2312" w:eastAsia="仿宋_GB2312"/>
          <w:sz w:val="32"/>
          <w:szCs w:val="32"/>
          <w:lang w:eastAsia="zh-CN"/>
        </w:rPr>
        <w:t>：</w:t>
      </w:r>
      <w:r>
        <w:rPr>
          <w:rFonts w:ascii="仿宋_GB2312" w:eastAsia="仿宋_GB2312"/>
          <w:sz w:val="32"/>
          <w:szCs w:val="32"/>
        </w:rPr>
        <w:t>因公出国（境）费支出0.00万元，占0.00%，比上年增加0.00万元，增长0.00%，主要原因是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因公出国（境）费；公务用车购置及运行维护费支出0.00万元，占0.00%，比上年增加0.00万元，增长0.00%，主要原因是：我单位无公务用车购置及运行维护费；公务接待费支出0.00万元，占0.00%，比上年增加0.00万元，增长0.00%，主要原因是</w:t>
      </w:r>
      <w:r>
        <w:rPr>
          <w:rFonts w:hint="eastAsia" w:ascii="仿宋_GB2312" w:eastAsia="仿宋_GB2312"/>
          <w:sz w:val="32"/>
          <w:szCs w:val="32"/>
          <w:lang w:eastAsia="zh-CN"/>
        </w:rPr>
        <w:t>：</w:t>
      </w:r>
      <w:r>
        <w:rPr>
          <w:rFonts w:ascii="仿宋_GB2312" w:eastAsia="仿宋_GB2312"/>
          <w:sz w:val="32"/>
          <w:szCs w:val="32"/>
        </w:rPr>
        <w:t>我单位无公务接待费。具体情况如下：</w:t>
      </w:r>
    </w:p>
    <w:p>
      <w:pPr>
        <w:ind w:firstLine="640" w:firstLineChars="200"/>
        <w:rPr>
          <w:rFonts w:ascii="仿宋_GB2312" w:eastAsia="仿宋_GB2312"/>
          <w:sz w:val="32"/>
          <w:szCs w:val="32"/>
        </w:rPr>
      </w:pPr>
      <w:r>
        <w:rPr>
          <w:rFonts w:hint="eastAsia" w:ascii="仿宋_GB2312" w:eastAsia="仿宋_GB2312"/>
          <w:sz w:val="32"/>
          <w:szCs w:val="32"/>
        </w:rPr>
        <w:t>因公出国（境）费支出</w:t>
      </w:r>
      <w:r>
        <w:rPr>
          <w:rFonts w:ascii="仿宋_GB2312" w:eastAsia="仿宋_GB2312"/>
          <w:sz w:val="32"/>
          <w:szCs w:val="32"/>
        </w:rPr>
        <w:t>0.00</w:t>
      </w:r>
      <w:r>
        <w:rPr>
          <w:rFonts w:hint="eastAsia" w:ascii="仿宋_GB2312" w:eastAsia="仿宋_GB2312"/>
          <w:sz w:val="32"/>
          <w:szCs w:val="32"/>
        </w:rPr>
        <w:t>万元，开支内容包括我单位无因公出国（境）费。单位全年安排的因公出国（境）团组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ind w:firstLine="640" w:firstLineChars="200"/>
        <w:rPr>
          <w:rFonts w:ascii="仿宋_GB2312" w:eastAsia="仿宋_GB2312"/>
          <w:sz w:val="32"/>
          <w:szCs w:val="32"/>
        </w:rPr>
      </w:pPr>
      <w:r>
        <w:rPr>
          <w:rFonts w:hint="eastAsia" w:ascii="仿宋_GB2312" w:eastAsia="仿宋_GB2312"/>
          <w:sz w:val="32"/>
          <w:szCs w:val="32"/>
        </w:rPr>
        <w:t>公务用车购置及运行维护费</w:t>
      </w:r>
      <w:r>
        <w:rPr>
          <w:rFonts w:ascii="仿宋_GB2312" w:eastAsia="仿宋_GB2312"/>
          <w:sz w:val="32"/>
          <w:szCs w:val="32"/>
        </w:rPr>
        <w:t>0.00</w:t>
      </w:r>
      <w:r>
        <w:rPr>
          <w:rFonts w:hint="eastAsia" w:ascii="仿宋_GB2312" w:eastAsia="仿宋_GB2312"/>
          <w:sz w:val="32"/>
          <w:szCs w:val="32"/>
        </w:rPr>
        <w:t>万元，其中</w:t>
      </w:r>
      <w:r>
        <w:rPr>
          <w:rFonts w:hint="eastAsia" w:ascii="仿宋_GB2312" w:eastAsia="仿宋_GB2312"/>
          <w:sz w:val="32"/>
          <w:szCs w:val="32"/>
          <w:lang w:eastAsia="zh-CN"/>
        </w:rPr>
        <w:t>：</w:t>
      </w:r>
      <w:r>
        <w:rPr>
          <w:rFonts w:hint="eastAsia" w:ascii="仿宋_GB2312" w:eastAsia="仿宋_GB2312"/>
          <w:sz w:val="32"/>
          <w:szCs w:val="32"/>
        </w:rPr>
        <w:t>公务用车购置费</w:t>
      </w:r>
      <w:r>
        <w:rPr>
          <w:rFonts w:ascii="仿宋_GB2312" w:eastAsia="仿宋_GB2312"/>
          <w:sz w:val="32"/>
          <w:szCs w:val="32"/>
        </w:rPr>
        <w:t>0.00</w:t>
      </w:r>
      <w:r>
        <w:rPr>
          <w:rFonts w:hint="eastAsia" w:ascii="仿宋_GB2312" w:eastAsia="仿宋_GB2312"/>
          <w:sz w:val="32"/>
          <w:szCs w:val="32"/>
        </w:rPr>
        <w:t>万元，公务用车运行维护费</w:t>
      </w:r>
      <w:r>
        <w:rPr>
          <w:rFonts w:ascii="仿宋_GB2312" w:eastAsia="仿宋_GB2312"/>
          <w:sz w:val="32"/>
          <w:szCs w:val="32"/>
        </w:rPr>
        <w:t>0.00</w:t>
      </w:r>
      <w:r>
        <w:rPr>
          <w:rFonts w:hint="eastAsia" w:ascii="仿宋_GB2312" w:eastAsia="仿宋_GB2312"/>
          <w:sz w:val="32"/>
          <w:szCs w:val="32"/>
        </w:rPr>
        <w:t>万元。公务用车运行维护费开支内容包括：我单位无公务用车运行维护费。公务用车购置数</w:t>
      </w:r>
      <w:r>
        <w:rPr>
          <w:rFonts w:ascii="仿宋_GB2312" w:eastAsia="仿宋_GB2312"/>
          <w:sz w:val="32"/>
          <w:szCs w:val="32"/>
        </w:rPr>
        <w:t>0</w:t>
      </w:r>
      <w:r>
        <w:rPr>
          <w:rFonts w:hint="eastAsia" w:ascii="仿宋_GB2312" w:eastAsia="仿宋_GB2312"/>
          <w:sz w:val="32"/>
          <w:szCs w:val="32"/>
        </w:rPr>
        <w:t>辆，公务用车保有量0辆。</w:t>
      </w:r>
    </w:p>
    <w:p>
      <w:pPr>
        <w:ind w:firstLine="640" w:firstLineChars="200"/>
        <w:rPr>
          <w:rFonts w:ascii="仿宋_GB2312" w:eastAsia="仿宋_GB2312"/>
          <w:sz w:val="32"/>
          <w:szCs w:val="32"/>
        </w:rPr>
      </w:pPr>
      <w:r>
        <w:rPr>
          <w:rFonts w:hint="eastAsia" w:ascii="仿宋_GB2312" w:eastAsia="仿宋_GB2312"/>
          <w:sz w:val="32"/>
          <w:szCs w:val="32"/>
        </w:rPr>
        <w:t>公务接待费</w:t>
      </w:r>
      <w:r>
        <w:rPr>
          <w:rFonts w:ascii="仿宋_GB2312" w:eastAsia="仿宋_GB2312"/>
          <w:sz w:val="32"/>
          <w:szCs w:val="32"/>
        </w:rPr>
        <w:t>0.00</w:t>
      </w:r>
      <w:r>
        <w:rPr>
          <w:rFonts w:hint="eastAsia" w:ascii="仿宋_GB2312" w:eastAsia="仿宋_GB2312"/>
          <w:sz w:val="32"/>
          <w:szCs w:val="32"/>
        </w:rPr>
        <w:t>万元，开支内容包括我单位无公务接待费。单位全年安排的国内公务接待</w:t>
      </w:r>
      <w:r>
        <w:rPr>
          <w:rFonts w:ascii="仿宋_GB2312" w:eastAsia="仿宋_GB2312"/>
          <w:sz w:val="32"/>
          <w:szCs w:val="32"/>
        </w:rPr>
        <w:t>0</w:t>
      </w:r>
      <w:r>
        <w:rPr>
          <w:rFonts w:hint="eastAsia" w:ascii="仿宋_GB2312" w:eastAsia="仿宋_GB2312"/>
          <w:sz w:val="32"/>
          <w:szCs w:val="32"/>
        </w:rPr>
        <w:t>批次，</w:t>
      </w:r>
      <w:r>
        <w:rPr>
          <w:rFonts w:ascii="仿宋_GB2312" w:eastAsia="仿宋_GB2312"/>
          <w:sz w:val="32"/>
          <w:szCs w:val="32"/>
        </w:rPr>
        <w:t>0</w:t>
      </w:r>
      <w:r>
        <w:rPr>
          <w:rFonts w:hint="eastAsia" w:ascii="仿宋_GB2312" w:eastAsia="仿宋_GB2312"/>
          <w:sz w:val="32"/>
          <w:szCs w:val="32"/>
        </w:rPr>
        <w:t>人次。</w:t>
      </w:r>
    </w:p>
    <w:p>
      <w:pPr>
        <w:ind w:firstLine="640" w:firstLineChars="200"/>
        <w:rPr>
          <w:rFonts w:ascii="仿宋_GB2312" w:eastAsia="仿宋_GB2312"/>
          <w:sz w:val="32"/>
          <w:szCs w:val="32"/>
        </w:rPr>
      </w:pPr>
      <w:r>
        <w:rPr>
          <w:rFonts w:hint="eastAsia" w:ascii="仿宋_GB2312" w:eastAsia="仿宋_GB2312"/>
          <w:sz w:val="32"/>
          <w:szCs w:val="32"/>
        </w:rPr>
        <w:t>与年初预算数相比情况：一般公共预算“三公”经费支出年初预算数0.00万元，决算数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万元，预决算差异率0.00%，主要原因是：我单位无一般公共预算“三公”经费支出。</w:t>
      </w:r>
      <w:r>
        <w:rPr>
          <w:rFonts w:hint="eastAsia" w:ascii="仿宋_GB2312" w:hAnsi="宋体" w:eastAsia="仿宋_GB2312" w:cs="宋体"/>
          <w:kern w:val="0"/>
          <w:sz w:val="32"/>
          <w:szCs w:val="32"/>
        </w:rPr>
        <w:t>其中：因公出国（境）费</w:t>
      </w:r>
      <w:r>
        <w:rPr>
          <w:rFonts w:hint="eastAsia" w:ascii="仿宋_GB2312" w:eastAsia="仿宋_GB2312"/>
          <w:sz w:val="32"/>
          <w:szCs w:val="32"/>
        </w:rPr>
        <w:t>预算数0.00万元，决算数0.00万元，预决算差异率0.00%，主要原因是：我单位无因公出国（境）费；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费预算数0.00万元，决算数0.00万元，预决算差异率0.00%，主要原因是：我单位无公务用车购置费；</w:t>
      </w:r>
      <w:r>
        <w:rPr>
          <w:rFonts w:hint="eastAsia" w:ascii="仿宋_GB2312" w:hAnsi="宋体" w:eastAsia="仿宋_GB2312" w:cs="宋体"/>
          <w:kern w:val="0"/>
          <w:sz w:val="32"/>
          <w:szCs w:val="32"/>
        </w:rPr>
        <w:t>公务用车运行费</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八、政府性基金预算财政拨款收入支出决算情况说明</w:t>
      </w:r>
      <w:bookmarkEnd w:id="22"/>
      <w:bookmarkEnd w:id="23"/>
    </w:p>
    <w:p>
      <w:pPr>
        <w:ind w:firstLine="640" w:firstLineChars="200"/>
        <w:rPr>
          <w:rFonts w:hint="eastAsia" w:ascii="仿宋_GB2312" w:hAnsi="宋体" w:eastAsia="仿宋_GB2312"/>
          <w:kern w:val="0"/>
          <w:sz w:val="32"/>
          <w:szCs w:val="32"/>
          <w:lang w:eastAsia="zh-CN"/>
        </w:rPr>
      </w:pPr>
      <w:r>
        <w:rPr>
          <w:rFonts w:hint="eastAsia" w:ascii="仿宋_GB2312" w:hAnsi="宋体" w:eastAsia="仿宋_GB2312"/>
          <w:kern w:val="0"/>
          <w:sz w:val="32"/>
          <w:szCs w:val="32"/>
        </w:rPr>
        <w:t>我单位本年度无政府性基金预算财政拨款收入支出，政府性基金预算财政拨款收入支出决算表为空表</w:t>
      </w:r>
      <w:r>
        <w:rPr>
          <w:rFonts w:hint="eastAsia" w:ascii="仿宋_GB2312" w:hAnsi="宋体" w:eastAsia="仿宋_GB2312"/>
          <w:kern w:val="0"/>
          <w:sz w:val="32"/>
          <w:szCs w:val="32"/>
          <w:lang w:eastAsia="zh-CN"/>
        </w:rPr>
        <w:t>。</w:t>
      </w:r>
    </w:p>
    <w:p>
      <w:pPr>
        <w:ind w:firstLine="640" w:firstLineChars="200"/>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Arial" w:hAnsi="Arial" w:cs="Arial"/>
          <w:color w:val="4D4D4D"/>
          <w:shd w:val="clear" w:color="auto" w:fill="FFFFFF"/>
        </w:rPr>
      </w:pPr>
      <w:r>
        <w:rPr>
          <w:rFonts w:hint="eastAsia" w:ascii="仿宋_GB2312" w:eastAsia="仿宋_GB2312"/>
          <w:sz w:val="32"/>
          <w:szCs w:val="32"/>
        </w:rPr>
        <w:t>我单位本年度无国有资本经营预算财政拨款收入支出，国有资本经营预算财政拨款收入支出决算表为空表。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十、其他重要事项的情况说明</w:t>
      </w:r>
      <w:bookmarkEnd w:id="24"/>
      <w:bookmarkEnd w:id="25"/>
    </w:p>
    <w:p>
      <w:pPr>
        <w:ind w:firstLine="640" w:firstLineChars="200"/>
        <w:outlineLvl w:val="2"/>
        <w:rPr>
          <w:rFonts w:hint="eastAsia" w:ascii="黑体" w:hAnsi="黑体" w:eastAsia="黑体"/>
          <w:sz w:val="32"/>
          <w:szCs w:val="32"/>
        </w:rPr>
      </w:pPr>
      <w:bookmarkStart w:id="26" w:name="_Toc14519"/>
      <w:bookmarkStart w:id="27" w:name="_Toc13105"/>
      <w:r>
        <w:rPr>
          <w:rFonts w:hint="eastAsia" w:ascii="黑体" w:hAnsi="黑体" w:eastAsia="黑体"/>
          <w:sz w:val="32"/>
          <w:szCs w:val="32"/>
        </w:rPr>
        <w:t>（一）机关运行经费支出情况</w:t>
      </w:r>
      <w:bookmarkEnd w:id="26"/>
      <w:bookmarkEnd w:id="27"/>
    </w:p>
    <w:p>
      <w:pPr>
        <w:ind w:firstLine="640" w:firstLineChars="200"/>
        <w:outlineLvl w:val="2"/>
        <w:rPr>
          <w:rFonts w:ascii="黑体" w:hAnsi="黑体" w:eastAsia="黑体"/>
          <w:sz w:val="32"/>
          <w:szCs w:val="32"/>
        </w:rPr>
      </w:pPr>
      <w:r>
        <w:rPr>
          <w:rFonts w:hint="eastAsia" w:ascii="仿宋_GB2312" w:eastAsia="仿宋_GB2312"/>
          <w:sz w:val="32"/>
          <w:szCs w:val="32"/>
        </w:rPr>
        <w:t>2021年度新疆喀什地区疏勒县人民医院（事业单位）公用经费0.00万元，比</w:t>
      </w:r>
      <w:r>
        <w:rPr>
          <w:rFonts w:hint="eastAsia" w:ascii="仿宋_GB2312" w:eastAsia="仿宋_GB2312"/>
          <w:sz w:val="32"/>
          <w:szCs w:val="32"/>
          <w:lang w:val="en-US" w:eastAsia="zh-CN"/>
        </w:rPr>
        <w:t>上年</w:t>
      </w:r>
      <w:r>
        <w:rPr>
          <w:rFonts w:hint="eastAsia" w:ascii="仿宋_GB2312" w:eastAsia="仿宋_GB2312"/>
          <w:sz w:val="32"/>
          <w:szCs w:val="32"/>
        </w:rPr>
        <w:t>增加0.00</w:t>
      </w:r>
      <w:r>
        <w:rPr>
          <w:rFonts w:hint="eastAsia" w:ascii="仿宋_GB2312" w:eastAsia="仿宋_GB2312"/>
          <w:sz w:val="32"/>
          <w:szCs w:val="32"/>
          <w:lang w:val="en-US" w:eastAsia="zh-CN"/>
        </w:rPr>
        <w:t>万</w:t>
      </w:r>
      <w:r>
        <w:rPr>
          <w:rFonts w:hint="eastAsia" w:ascii="仿宋_GB2312" w:eastAsia="仿宋_GB2312"/>
          <w:sz w:val="32"/>
          <w:szCs w:val="32"/>
        </w:rPr>
        <w:t>元，增长0.00%，主要原因是：本单位无公用经费支出。</w:t>
      </w:r>
    </w:p>
    <w:p>
      <w:pPr>
        <w:ind w:firstLine="640" w:firstLineChars="200"/>
        <w:outlineLvl w:val="2"/>
        <w:rPr>
          <w:rFonts w:hint="eastAsia"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2021年度政府采购支出总额</w:t>
      </w:r>
      <w:r>
        <w:rPr>
          <w:rFonts w:ascii="仿宋_GB2312" w:eastAsia="仿宋_GB2312"/>
          <w:sz w:val="32"/>
          <w:szCs w:val="32"/>
        </w:rPr>
        <w:t>1,454.2</w:t>
      </w:r>
      <w:r>
        <w:rPr>
          <w:rFonts w:hint="eastAsia" w:ascii="仿宋_GB2312" w:eastAsia="仿宋_GB2312"/>
          <w:sz w:val="32"/>
          <w:szCs w:val="32"/>
          <w:lang w:val="en-US" w:eastAsia="zh-CN"/>
        </w:rPr>
        <w:t>1</w:t>
      </w:r>
      <w:r>
        <w:rPr>
          <w:rFonts w:hint="eastAsia" w:ascii="仿宋_GB2312" w:eastAsia="仿宋_GB2312"/>
          <w:sz w:val="32"/>
          <w:szCs w:val="32"/>
        </w:rPr>
        <w:t>万元，其中：政府采购货物支出</w:t>
      </w:r>
      <w:r>
        <w:rPr>
          <w:rFonts w:ascii="仿宋_GB2312" w:eastAsia="仿宋_GB2312"/>
          <w:sz w:val="32"/>
          <w:szCs w:val="32"/>
        </w:rPr>
        <w:t>1,339.53</w:t>
      </w:r>
      <w:r>
        <w:rPr>
          <w:rFonts w:hint="eastAsia" w:ascii="仿宋_GB2312" w:eastAsia="仿宋_GB2312"/>
          <w:sz w:val="32"/>
          <w:szCs w:val="32"/>
        </w:rPr>
        <w:t>万元、政府采购工程支出</w:t>
      </w:r>
      <w:r>
        <w:rPr>
          <w:rFonts w:ascii="仿宋_GB2312" w:eastAsia="仿宋_GB2312"/>
          <w:sz w:val="32"/>
          <w:szCs w:val="32"/>
        </w:rPr>
        <w:t>0.00</w:t>
      </w:r>
      <w:r>
        <w:rPr>
          <w:rFonts w:hint="eastAsia" w:ascii="仿宋_GB2312" w:eastAsia="仿宋_GB2312"/>
          <w:sz w:val="32"/>
          <w:szCs w:val="32"/>
        </w:rPr>
        <w:t>万元、政府采购服务支出</w:t>
      </w:r>
      <w:r>
        <w:rPr>
          <w:rFonts w:ascii="仿宋_GB2312" w:eastAsia="仿宋_GB2312"/>
          <w:sz w:val="32"/>
          <w:szCs w:val="32"/>
        </w:rPr>
        <w:t>114.68</w:t>
      </w:r>
      <w:r>
        <w:rPr>
          <w:rFonts w:hint="eastAsia" w:ascii="仿宋_GB2312" w:eastAsia="仿宋_GB2312"/>
          <w:sz w:val="32"/>
          <w:szCs w:val="32"/>
        </w:rPr>
        <w:t>万元。</w:t>
      </w:r>
    </w:p>
    <w:p>
      <w:pPr>
        <w:ind w:firstLine="640" w:firstLineChars="200"/>
        <w:rPr>
          <w:rFonts w:ascii="仿宋_GB2312" w:eastAsia="仿宋_GB2312"/>
          <w:sz w:val="32"/>
          <w:szCs w:val="32"/>
        </w:rPr>
      </w:pPr>
      <w:r>
        <w:rPr>
          <w:rFonts w:hint="eastAsia" w:ascii="仿宋_GB2312" w:eastAsia="仿宋_GB2312"/>
          <w:sz w:val="32"/>
          <w:szCs w:val="32"/>
        </w:rPr>
        <w:t>授予中小企业合同金额</w:t>
      </w:r>
      <w:r>
        <w:rPr>
          <w:rFonts w:ascii="仿宋_GB2312" w:eastAsia="仿宋_GB2312"/>
          <w:sz w:val="32"/>
          <w:szCs w:val="32"/>
        </w:rPr>
        <w:t>232.91</w:t>
      </w:r>
      <w:r>
        <w:rPr>
          <w:rFonts w:hint="eastAsia" w:ascii="仿宋_GB2312" w:eastAsia="仿宋_GB2312"/>
          <w:sz w:val="32"/>
          <w:szCs w:val="32"/>
        </w:rPr>
        <w:t>万元，占政府采购支出总额的</w:t>
      </w:r>
      <w:r>
        <w:rPr>
          <w:rFonts w:ascii="仿宋_GB2312" w:eastAsia="仿宋_GB2312"/>
          <w:sz w:val="32"/>
          <w:szCs w:val="32"/>
        </w:rPr>
        <w:t>16.02</w:t>
      </w:r>
      <w:r>
        <w:rPr>
          <w:rFonts w:hint="eastAsia" w:ascii="仿宋_GB2312" w:eastAsia="仿宋_GB2312"/>
          <w:sz w:val="32"/>
          <w:szCs w:val="32"/>
        </w:rPr>
        <w:t>%，其中：授予小微企业合同金额</w:t>
      </w:r>
      <w:r>
        <w:rPr>
          <w:rFonts w:ascii="仿宋_GB2312" w:eastAsia="仿宋_GB2312"/>
          <w:sz w:val="32"/>
          <w:szCs w:val="32"/>
        </w:rPr>
        <w:t>232.91</w:t>
      </w:r>
      <w:r>
        <w:rPr>
          <w:rFonts w:hint="eastAsia" w:ascii="仿宋_GB2312" w:eastAsia="仿宋_GB2312"/>
          <w:sz w:val="32"/>
          <w:szCs w:val="32"/>
        </w:rPr>
        <w:t>万元，占政府采购支出总额的</w:t>
      </w:r>
      <w:r>
        <w:rPr>
          <w:rFonts w:ascii="仿宋_GB2312" w:eastAsia="仿宋_GB2312"/>
          <w:sz w:val="32"/>
          <w:szCs w:val="32"/>
        </w:rPr>
        <w:t>16.02</w:t>
      </w:r>
      <w:r>
        <w:rPr>
          <w:rFonts w:hint="eastAsia" w:ascii="仿宋_GB2312" w:eastAsia="仿宋_GB2312"/>
          <w:sz w:val="32"/>
          <w:szCs w:val="32"/>
        </w:rPr>
        <w:t>%。</w:t>
      </w:r>
    </w:p>
    <w:p>
      <w:pPr>
        <w:ind w:firstLine="640" w:firstLineChars="200"/>
        <w:outlineLvl w:val="2"/>
        <w:rPr>
          <w:rFonts w:ascii="黑体" w:hAnsi="黑体" w:eastAsia="黑体"/>
          <w:sz w:val="32"/>
          <w:szCs w:val="32"/>
        </w:rPr>
      </w:pPr>
      <w:bookmarkStart w:id="30" w:name="_Toc8391"/>
      <w:bookmarkStart w:id="31" w:name="_Toc45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hint="eastAsia" w:ascii="仿宋_GB2312" w:eastAsia="仿宋_GB2312"/>
          <w:sz w:val="32"/>
          <w:szCs w:val="32"/>
        </w:rPr>
        <w:t>截止2021年12月31日，单位共有房屋</w:t>
      </w:r>
      <w:r>
        <w:rPr>
          <w:rFonts w:ascii="仿宋_GB2312" w:eastAsia="仿宋_GB2312"/>
          <w:sz w:val="32"/>
          <w:szCs w:val="32"/>
        </w:rPr>
        <w:t>73,255.49</w:t>
      </w:r>
      <w:r>
        <w:rPr>
          <w:rFonts w:hint="eastAsia" w:ascii="仿宋_GB2312" w:eastAsia="仿宋_GB2312"/>
          <w:sz w:val="32"/>
          <w:szCs w:val="32"/>
        </w:rPr>
        <w:t>（平方米），价值</w:t>
      </w:r>
      <w:r>
        <w:rPr>
          <w:rFonts w:ascii="仿宋_GB2312" w:eastAsia="仿宋_GB2312"/>
          <w:sz w:val="32"/>
          <w:szCs w:val="32"/>
        </w:rPr>
        <w:t>10,455.60</w:t>
      </w:r>
      <w:r>
        <w:rPr>
          <w:rFonts w:hint="eastAsia" w:ascii="仿宋_GB2312" w:eastAsia="仿宋_GB2312"/>
          <w:sz w:val="32"/>
          <w:szCs w:val="32"/>
        </w:rPr>
        <w:t>万元。车辆</w:t>
      </w:r>
      <w:r>
        <w:rPr>
          <w:rFonts w:ascii="仿宋_GB2312" w:eastAsia="仿宋_GB2312"/>
          <w:sz w:val="32"/>
          <w:szCs w:val="32"/>
        </w:rPr>
        <w:t>13</w:t>
      </w:r>
      <w:r>
        <w:rPr>
          <w:rFonts w:hint="eastAsia" w:ascii="仿宋_GB2312" w:eastAsia="仿宋_GB2312"/>
          <w:sz w:val="32"/>
          <w:szCs w:val="32"/>
        </w:rPr>
        <w:t>辆，价值</w:t>
      </w:r>
      <w:r>
        <w:rPr>
          <w:rFonts w:ascii="仿宋_GB2312" w:eastAsia="仿宋_GB2312"/>
          <w:sz w:val="32"/>
          <w:szCs w:val="32"/>
        </w:rPr>
        <w:t>425.78</w:t>
      </w:r>
      <w:r>
        <w:rPr>
          <w:rFonts w:hint="eastAsia" w:ascii="仿宋_GB2312" w:eastAsia="仿宋_GB2312"/>
          <w:sz w:val="32"/>
          <w:szCs w:val="32"/>
        </w:rPr>
        <w:t>万元，其中：副部（省）级及以上领导用车0辆、主要领导干部用车0辆、机要通信用车</w:t>
      </w:r>
      <w:r>
        <w:rPr>
          <w:rFonts w:ascii="仿宋_GB2312" w:eastAsia="仿宋_GB2312"/>
          <w:sz w:val="32"/>
          <w:szCs w:val="32"/>
        </w:rPr>
        <w:t>0</w:t>
      </w:r>
      <w:r>
        <w:rPr>
          <w:rFonts w:hint="eastAsia" w:ascii="仿宋_GB2312" w:eastAsia="仿宋_GB2312"/>
          <w:sz w:val="32"/>
          <w:szCs w:val="32"/>
        </w:rPr>
        <w:t>辆、应急保障用车</w:t>
      </w:r>
      <w:r>
        <w:rPr>
          <w:rFonts w:ascii="仿宋_GB2312" w:eastAsia="仿宋_GB2312"/>
          <w:sz w:val="32"/>
          <w:szCs w:val="32"/>
        </w:rPr>
        <w:t>0</w:t>
      </w:r>
      <w:r>
        <w:rPr>
          <w:rFonts w:hint="eastAsia" w:ascii="仿宋_GB2312" w:eastAsia="仿宋_GB2312"/>
          <w:sz w:val="32"/>
          <w:szCs w:val="32"/>
        </w:rPr>
        <w:t>辆、执法执勤用车</w:t>
      </w:r>
      <w:r>
        <w:rPr>
          <w:rFonts w:ascii="仿宋_GB2312" w:eastAsia="仿宋_GB2312"/>
          <w:sz w:val="32"/>
          <w:szCs w:val="32"/>
        </w:rPr>
        <w:t>0</w:t>
      </w:r>
      <w:r>
        <w:rPr>
          <w:rFonts w:hint="eastAsia" w:ascii="仿宋_GB2312" w:eastAsia="仿宋_GB2312"/>
          <w:sz w:val="32"/>
          <w:szCs w:val="32"/>
        </w:rPr>
        <w:t>辆、特种专业技术用车</w:t>
      </w:r>
      <w:r>
        <w:rPr>
          <w:rFonts w:ascii="仿宋_GB2312" w:eastAsia="仿宋_GB2312"/>
          <w:sz w:val="32"/>
          <w:szCs w:val="32"/>
        </w:rPr>
        <w:t>0</w:t>
      </w:r>
      <w:r>
        <w:rPr>
          <w:rFonts w:hint="eastAsia" w:ascii="仿宋_GB2312" w:eastAsia="仿宋_GB2312"/>
          <w:sz w:val="32"/>
          <w:szCs w:val="32"/>
        </w:rPr>
        <w:t>辆、离退休干部用车</w:t>
      </w:r>
      <w:r>
        <w:rPr>
          <w:rFonts w:ascii="仿宋_GB2312" w:eastAsia="仿宋_GB2312"/>
          <w:sz w:val="32"/>
          <w:szCs w:val="32"/>
        </w:rPr>
        <w:t>0</w:t>
      </w:r>
      <w:r>
        <w:rPr>
          <w:rFonts w:hint="eastAsia" w:ascii="仿宋_GB2312" w:eastAsia="仿宋_GB2312"/>
          <w:sz w:val="32"/>
          <w:szCs w:val="32"/>
        </w:rPr>
        <w:t>辆、其他用车</w:t>
      </w:r>
      <w:r>
        <w:rPr>
          <w:rFonts w:ascii="仿宋_GB2312" w:eastAsia="仿宋_GB2312"/>
          <w:sz w:val="32"/>
          <w:szCs w:val="32"/>
        </w:rPr>
        <w:t>13</w:t>
      </w:r>
      <w:r>
        <w:rPr>
          <w:rFonts w:hint="eastAsia" w:ascii="仿宋_GB2312" w:eastAsia="仿宋_GB2312"/>
          <w:sz w:val="32"/>
          <w:szCs w:val="32"/>
        </w:rPr>
        <w:t>辆，其他用车主要是：救护车9辆、医疗垃圾转运车2辆、专家义诊车1辆、</w:t>
      </w:r>
      <w:r>
        <w:rPr>
          <w:rFonts w:hint="eastAsia" w:ascii="仿宋_GB2312" w:eastAsia="仿宋_GB2312"/>
          <w:sz w:val="32"/>
          <w:szCs w:val="32"/>
          <w:lang w:eastAsia="zh-CN"/>
        </w:rPr>
        <w:t>业务用车</w:t>
      </w:r>
      <w:r>
        <w:rPr>
          <w:rFonts w:hint="eastAsia" w:ascii="仿宋_GB2312" w:eastAsia="仿宋_GB2312"/>
          <w:sz w:val="32"/>
          <w:szCs w:val="32"/>
        </w:rPr>
        <w:t>1辆；单位价值50万元以上通用设备</w:t>
      </w:r>
      <w:r>
        <w:rPr>
          <w:rFonts w:ascii="仿宋_GB2312" w:eastAsia="仿宋_GB2312"/>
          <w:sz w:val="32"/>
          <w:szCs w:val="32"/>
        </w:rPr>
        <w:t>0</w:t>
      </w:r>
      <w:r>
        <w:rPr>
          <w:rFonts w:hint="eastAsia" w:ascii="仿宋_GB2312" w:eastAsia="仿宋_GB2312"/>
          <w:sz w:val="32"/>
          <w:szCs w:val="32"/>
        </w:rPr>
        <w:t>台（套）、单位价值100万元以上专用设备</w:t>
      </w:r>
      <w:r>
        <w:rPr>
          <w:rFonts w:ascii="仿宋_GB2312" w:eastAsia="仿宋_GB2312"/>
          <w:sz w:val="32"/>
          <w:szCs w:val="32"/>
        </w:rPr>
        <w:t>0</w:t>
      </w:r>
      <w:r>
        <w:rPr>
          <w:rFonts w:hint="eastAsia" w:ascii="仿宋_GB2312" w:eastAsia="仿宋_GB2312"/>
          <w:sz w:val="32"/>
          <w:szCs w:val="32"/>
        </w:rPr>
        <w:t>台（套）。</w:t>
      </w:r>
      <w:bookmarkStart w:id="54" w:name="_GoBack"/>
      <w:bookmarkEnd w:id="54"/>
    </w:p>
    <w:p>
      <w:pPr>
        <w:ind w:firstLine="640" w:firstLineChars="200"/>
        <w:outlineLvl w:val="1"/>
        <w:rPr>
          <w:rFonts w:ascii="黑体" w:hAnsi="黑体" w:eastAsia="黑体" w:cs="宋体"/>
          <w:bCs/>
          <w:kern w:val="0"/>
          <w:sz w:val="32"/>
          <w:szCs w:val="32"/>
        </w:rPr>
      </w:pPr>
      <w:bookmarkStart w:id="32" w:name="_Toc11283"/>
      <w:bookmarkStart w:id="33" w:name="_Toc435"/>
      <w:r>
        <w:rPr>
          <w:rFonts w:hint="eastAsia" w:ascii="黑体" w:hAnsi="黑体" w:eastAsia="黑体" w:cs="宋体"/>
          <w:bCs/>
          <w:kern w:val="0"/>
          <w:sz w:val="32"/>
          <w:szCs w:val="32"/>
        </w:rPr>
        <w:t>十一、预算绩效的情况说明</w:t>
      </w:r>
      <w:bookmarkEnd w:id="32"/>
      <w:bookmarkEnd w:id="33"/>
    </w:p>
    <w:p>
      <w:pPr>
        <w:pStyle w:val="9"/>
        <w:widowControl/>
        <w:shd w:val="clear" w:color="auto" w:fill="FFFFFF"/>
        <w:ind w:firstLine="640" w:firstLineChars="200"/>
        <w:rPr>
          <w:rFonts w:hint="default" w:ascii="仿宋_GB2312" w:eastAsia="仿宋_GB2312"/>
          <w:sz w:val="32"/>
          <w:szCs w:val="32"/>
        </w:rPr>
      </w:pPr>
      <w:r>
        <w:rPr>
          <w:rFonts w:ascii="仿宋_GB2312" w:eastAsia="仿宋_GB2312"/>
          <w:sz w:val="32"/>
          <w:szCs w:val="32"/>
        </w:rPr>
        <w:t>根据预算绩效管理要求，我单位2021年度开展预算绩效评价项目7个，共涉及资金6427.57万元。预算绩效管理取得的成效：一是细化预算编制工作，认真做好预算的编制。加强内部机构的预算管理意识，严格按照预算编制的相关制度和要求，本着“勤俭节约、保障运转”的原则进行预算的编制；编制范围尽可能的全面、不漏项，进一步提高预算编制的科学性、合理性、严谨性和可控性；二是在日常预算管理过程中，加强预算支出的审核、跟踪及预算执行情况分析。结合实际情况，完整、准确地披露相关财务信息，尽可能地做到决算与预算相衔接；三是加强预算绩效目标管理工作。明确预算项目绩效目标编制要求，分类别建立科学合理、细化量化、可比可测预算绩效指标体系，突出结果导向，重点考核实绩；四是加强了绩效业务学习及培训，提高了业务人员绩效管理意识，加强预算绩效管理工作，优化项目支出绩效指标体系，基本完善预算绩效管理制度，有效推动我单位下一年度预算绩效管理工作常态化、规范化。发现的问题及原因：一是对绩效目标管理的认识还有不足之处；二是绩效目标管理的宣传力度不够；三是各个部门之间缺乏强力的合作；四是绩效目标管理的体系建设不够完善。下一步改进措施：一是要将医院绩效目标管理工作落实到位。加强培训学习，让医院工作人员对绩效目标管理模式有一种新的认识；二是加大绩效工作宣传力度，强化绩效理念。完善绩效指标，提高整体绩效目标质量。提升预算精细化管理水平；三是加强医院内部沟通。明确各个岗位的职责，不同的部门之间应该加强合作，统一目标；四是完善绩效目标管理体系。认真学习绩效目标管理办法，学以致用，在实践中不断完善绩效目标管理体系。具体项目自评情况附项目支出绩效自评表。</w:t>
      </w:r>
    </w:p>
    <w:p>
      <w:pPr>
        <w:rPr>
          <w:rFonts w:ascii="仿宋_GB2312" w:eastAsia="仿宋_GB2312"/>
          <w:sz w:val="32"/>
          <w:szCs w:val="32"/>
        </w:rPr>
      </w:pPr>
      <w:r>
        <w:rPr>
          <w:rFonts w:ascii="仿宋_GB2312" w:eastAsia="仿宋_GB2312"/>
          <w:sz w:val="32"/>
          <w:szCs w:val="32"/>
        </w:rPr>
        <w:br w:type="page"/>
      </w:r>
    </w:p>
    <w:p>
      <w:pPr>
        <w:ind w:firstLine="640" w:firstLineChars="200"/>
        <w:jc w:val="center"/>
        <w:outlineLvl w:val="0"/>
        <w:rPr>
          <w:rFonts w:ascii="黑体" w:hAnsi="黑体" w:eastAsia="黑体"/>
          <w:sz w:val="32"/>
          <w:szCs w:val="32"/>
        </w:rPr>
      </w:pPr>
      <w:bookmarkStart w:id="34" w:name="_Toc3250"/>
      <w:bookmarkStart w:id="35" w:name="_Toc24143"/>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rPr>
          <w:rFonts w:ascii="黑体" w:hAnsi="黑体" w:eastAsia="黑体"/>
          <w:sz w:val="32"/>
          <w:szCs w:val="32"/>
        </w:rPr>
      </w:pPr>
      <w:bookmarkStart w:id="36" w:name="_Toc28903"/>
      <w:bookmarkStart w:id="37" w:name="_Toc22784"/>
      <w:r>
        <w:rPr>
          <w:rFonts w:hint="eastAsia" w:ascii="黑体" w:hAnsi="黑体" w:eastAsia="黑体"/>
          <w:sz w:val="32"/>
          <w:szCs w:val="32"/>
        </w:rPr>
        <w:br w:type="page"/>
      </w:r>
    </w:p>
    <w:p>
      <w:pPr>
        <w:ind w:firstLine="640" w:firstLineChars="200"/>
        <w:jc w:val="center"/>
        <w:outlineLvl w:val="0"/>
        <w:rPr>
          <w:rFonts w:ascii="黑体" w:hAnsi="黑体" w:eastAsia="黑体"/>
          <w:sz w:val="32"/>
          <w:szCs w:val="32"/>
        </w:rPr>
      </w:pPr>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2183"/>
      <w:bookmarkStart w:id="39" w:name="_Toc6062"/>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32434"/>
      <w:bookmarkStart w:id="43" w:name="_Toc2130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4869"/>
      <w:bookmarkStart w:id="47" w:name="_Toc10347"/>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8884"/>
      <w:bookmarkStart w:id="49" w:name="_Toc5626"/>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7643"/>
      <w:bookmarkStart w:id="53" w:name="_Toc5453"/>
      <w:r>
        <w:rPr>
          <w:rFonts w:hint="eastAsia" w:ascii="黑体" w:hAnsi="黑体" w:eastAsia="黑体" w:cs="宋体"/>
          <w:bCs/>
          <w:kern w:val="0"/>
          <w:sz w:val="32"/>
          <w:szCs w:val="32"/>
        </w:rPr>
        <w:t>八、《政府性基金预算财政拨款收入支出决算表》</w:t>
      </w:r>
      <w:bookmarkEnd w:id="52"/>
      <w:bookmarkEnd w:id="53"/>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九、《国有资本经营预算财政拨款收入支出决算表》</w:t>
      </w:r>
    </w:p>
    <w:bookmarkEnd w:id="0"/>
    <w:p>
      <w:pPr>
        <w:ind w:firstLine="640" w:firstLineChars="200"/>
        <w:outlineLvl w:val="1"/>
        <w:rPr>
          <w:rFonts w:ascii="黑体" w:hAnsi="黑体" w:eastAsia="黑体" w:cs="宋体"/>
          <w:bCs/>
          <w:kern w:val="0"/>
          <w:sz w:val="32"/>
          <w:szCs w:val="32"/>
        </w:rPr>
      </w:pPr>
    </w:p>
    <w:p/>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bidi="ug-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wps:txbx>
                    <wps:bodyPr vert="horz" wrap="none" lIns="0" tIns="0" rIns="0" bIns="0" anchor="t">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BPOpCYwwEAAG0DAAAOAAAAAAAAAAEAIAAAAB4BAABkcnMvZTJvRG9jLnhtbFBL&#10;BQYAAAAABgAGAFkBAABTBQ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iYzk0YzA4ZjRjODNlZDgwMmQzYTBhNGFhMjA2OTkifQ=="/>
  </w:docVars>
  <w:rsids>
    <w:rsidRoot w:val="006B7B8C"/>
    <w:rsid w:val="00014AAB"/>
    <w:rsid w:val="00015801"/>
    <w:rsid w:val="0002486D"/>
    <w:rsid w:val="00062388"/>
    <w:rsid w:val="000731DE"/>
    <w:rsid w:val="00082B96"/>
    <w:rsid w:val="000874C6"/>
    <w:rsid w:val="00091D32"/>
    <w:rsid w:val="000B3F65"/>
    <w:rsid w:val="000B4DF4"/>
    <w:rsid w:val="000B597A"/>
    <w:rsid w:val="000C0611"/>
    <w:rsid w:val="000C72B8"/>
    <w:rsid w:val="000F13FC"/>
    <w:rsid w:val="000F1BC6"/>
    <w:rsid w:val="000F7D1A"/>
    <w:rsid w:val="00100F46"/>
    <w:rsid w:val="001114DC"/>
    <w:rsid w:val="001221DB"/>
    <w:rsid w:val="001224FB"/>
    <w:rsid w:val="001433D9"/>
    <w:rsid w:val="00147345"/>
    <w:rsid w:val="00157386"/>
    <w:rsid w:val="00176B00"/>
    <w:rsid w:val="001A140F"/>
    <w:rsid w:val="001A52AF"/>
    <w:rsid w:val="001C2440"/>
    <w:rsid w:val="001C44B0"/>
    <w:rsid w:val="00207BE8"/>
    <w:rsid w:val="002120BB"/>
    <w:rsid w:val="002548C8"/>
    <w:rsid w:val="00272419"/>
    <w:rsid w:val="003028E1"/>
    <w:rsid w:val="00302A04"/>
    <w:rsid w:val="00312652"/>
    <w:rsid w:val="00345A42"/>
    <w:rsid w:val="0035250E"/>
    <w:rsid w:val="00353DD9"/>
    <w:rsid w:val="00362C48"/>
    <w:rsid w:val="0036666F"/>
    <w:rsid w:val="00370F5B"/>
    <w:rsid w:val="003824A3"/>
    <w:rsid w:val="00392A24"/>
    <w:rsid w:val="0039326B"/>
    <w:rsid w:val="00395F5C"/>
    <w:rsid w:val="003A65AE"/>
    <w:rsid w:val="003C4475"/>
    <w:rsid w:val="003C4518"/>
    <w:rsid w:val="003C5962"/>
    <w:rsid w:val="003D230A"/>
    <w:rsid w:val="003D381A"/>
    <w:rsid w:val="003D4CE8"/>
    <w:rsid w:val="004078AA"/>
    <w:rsid w:val="00420161"/>
    <w:rsid w:val="00464FAC"/>
    <w:rsid w:val="00480271"/>
    <w:rsid w:val="00487954"/>
    <w:rsid w:val="00495F92"/>
    <w:rsid w:val="004971F0"/>
    <w:rsid w:val="004B241A"/>
    <w:rsid w:val="004B2827"/>
    <w:rsid w:val="004B4550"/>
    <w:rsid w:val="004C036C"/>
    <w:rsid w:val="004C7698"/>
    <w:rsid w:val="004D5A4F"/>
    <w:rsid w:val="004E5240"/>
    <w:rsid w:val="004E7075"/>
    <w:rsid w:val="00511EF6"/>
    <w:rsid w:val="005266C7"/>
    <w:rsid w:val="00536589"/>
    <w:rsid w:val="005609AE"/>
    <w:rsid w:val="00565E92"/>
    <w:rsid w:val="00573DA1"/>
    <w:rsid w:val="00577003"/>
    <w:rsid w:val="00581BC9"/>
    <w:rsid w:val="0058594B"/>
    <w:rsid w:val="00597053"/>
    <w:rsid w:val="005B4B49"/>
    <w:rsid w:val="005D0449"/>
    <w:rsid w:val="005D2934"/>
    <w:rsid w:val="005D3D72"/>
    <w:rsid w:val="005D54E8"/>
    <w:rsid w:val="005D6482"/>
    <w:rsid w:val="005F26BE"/>
    <w:rsid w:val="00610E0F"/>
    <w:rsid w:val="006113E2"/>
    <w:rsid w:val="00624982"/>
    <w:rsid w:val="00625F2E"/>
    <w:rsid w:val="006505E8"/>
    <w:rsid w:val="00656A89"/>
    <w:rsid w:val="006612DA"/>
    <w:rsid w:val="00677EE6"/>
    <w:rsid w:val="006B25BA"/>
    <w:rsid w:val="006B5D26"/>
    <w:rsid w:val="006B7089"/>
    <w:rsid w:val="006B7147"/>
    <w:rsid w:val="006B7779"/>
    <w:rsid w:val="006B7B8C"/>
    <w:rsid w:val="006C09CD"/>
    <w:rsid w:val="006C6123"/>
    <w:rsid w:val="007002F4"/>
    <w:rsid w:val="0072647E"/>
    <w:rsid w:val="00730D0A"/>
    <w:rsid w:val="00753BF6"/>
    <w:rsid w:val="007718CB"/>
    <w:rsid w:val="0077373D"/>
    <w:rsid w:val="00773C57"/>
    <w:rsid w:val="00793611"/>
    <w:rsid w:val="007B5171"/>
    <w:rsid w:val="007E51A8"/>
    <w:rsid w:val="007F1677"/>
    <w:rsid w:val="008060FF"/>
    <w:rsid w:val="00817497"/>
    <w:rsid w:val="00820F01"/>
    <w:rsid w:val="00833A8D"/>
    <w:rsid w:val="00844A1B"/>
    <w:rsid w:val="00862C15"/>
    <w:rsid w:val="00866D2C"/>
    <w:rsid w:val="008936FD"/>
    <w:rsid w:val="008B0283"/>
    <w:rsid w:val="008B08E2"/>
    <w:rsid w:val="008C5CF1"/>
    <w:rsid w:val="008E1BC7"/>
    <w:rsid w:val="008E3821"/>
    <w:rsid w:val="008E6109"/>
    <w:rsid w:val="008E6A5A"/>
    <w:rsid w:val="00914AAA"/>
    <w:rsid w:val="00920BB9"/>
    <w:rsid w:val="00937335"/>
    <w:rsid w:val="00972E47"/>
    <w:rsid w:val="00984899"/>
    <w:rsid w:val="009848D4"/>
    <w:rsid w:val="009B30F0"/>
    <w:rsid w:val="009B32AE"/>
    <w:rsid w:val="009C6ACE"/>
    <w:rsid w:val="009E66FE"/>
    <w:rsid w:val="00A01F1F"/>
    <w:rsid w:val="00A04806"/>
    <w:rsid w:val="00A07771"/>
    <w:rsid w:val="00A337C0"/>
    <w:rsid w:val="00A45B04"/>
    <w:rsid w:val="00A830BA"/>
    <w:rsid w:val="00A851E1"/>
    <w:rsid w:val="00AD0C57"/>
    <w:rsid w:val="00AD0ECD"/>
    <w:rsid w:val="00AD3E2A"/>
    <w:rsid w:val="00AD75AE"/>
    <w:rsid w:val="00AE710B"/>
    <w:rsid w:val="00B14642"/>
    <w:rsid w:val="00B223C7"/>
    <w:rsid w:val="00B3137B"/>
    <w:rsid w:val="00B323EA"/>
    <w:rsid w:val="00B32435"/>
    <w:rsid w:val="00B55170"/>
    <w:rsid w:val="00B81749"/>
    <w:rsid w:val="00B82BD1"/>
    <w:rsid w:val="00B82F2C"/>
    <w:rsid w:val="00BC404C"/>
    <w:rsid w:val="00BD11BA"/>
    <w:rsid w:val="00BD1A9F"/>
    <w:rsid w:val="00BF043E"/>
    <w:rsid w:val="00BF382F"/>
    <w:rsid w:val="00BF59D3"/>
    <w:rsid w:val="00C0134C"/>
    <w:rsid w:val="00C0510A"/>
    <w:rsid w:val="00C14826"/>
    <w:rsid w:val="00C274DD"/>
    <w:rsid w:val="00C312EC"/>
    <w:rsid w:val="00C4109C"/>
    <w:rsid w:val="00C65082"/>
    <w:rsid w:val="00C67079"/>
    <w:rsid w:val="00CA4926"/>
    <w:rsid w:val="00CB467D"/>
    <w:rsid w:val="00CC4A46"/>
    <w:rsid w:val="00CD75DB"/>
    <w:rsid w:val="00CF2197"/>
    <w:rsid w:val="00D00715"/>
    <w:rsid w:val="00D060F1"/>
    <w:rsid w:val="00D13254"/>
    <w:rsid w:val="00D20143"/>
    <w:rsid w:val="00D218B2"/>
    <w:rsid w:val="00D26864"/>
    <w:rsid w:val="00D26E58"/>
    <w:rsid w:val="00D27269"/>
    <w:rsid w:val="00D44942"/>
    <w:rsid w:val="00D548CB"/>
    <w:rsid w:val="00D65A9C"/>
    <w:rsid w:val="00D706DB"/>
    <w:rsid w:val="00D8490F"/>
    <w:rsid w:val="00D97950"/>
    <w:rsid w:val="00DC09B1"/>
    <w:rsid w:val="00E00036"/>
    <w:rsid w:val="00E14CA4"/>
    <w:rsid w:val="00E23560"/>
    <w:rsid w:val="00E40C0B"/>
    <w:rsid w:val="00E429F1"/>
    <w:rsid w:val="00E434E9"/>
    <w:rsid w:val="00E8482F"/>
    <w:rsid w:val="00EC7E67"/>
    <w:rsid w:val="00F074B1"/>
    <w:rsid w:val="00F647BE"/>
    <w:rsid w:val="00F85377"/>
    <w:rsid w:val="00FA62CF"/>
    <w:rsid w:val="01D35DA3"/>
    <w:rsid w:val="02E743B6"/>
    <w:rsid w:val="02F1741B"/>
    <w:rsid w:val="04911B11"/>
    <w:rsid w:val="052035FD"/>
    <w:rsid w:val="05AF70DB"/>
    <w:rsid w:val="06792773"/>
    <w:rsid w:val="0742534E"/>
    <w:rsid w:val="08B509AF"/>
    <w:rsid w:val="08E75997"/>
    <w:rsid w:val="09E12A64"/>
    <w:rsid w:val="0AF87F94"/>
    <w:rsid w:val="0B835865"/>
    <w:rsid w:val="0BF6540F"/>
    <w:rsid w:val="0C7227A7"/>
    <w:rsid w:val="0C801B16"/>
    <w:rsid w:val="0D1E33E4"/>
    <w:rsid w:val="0DAA21EE"/>
    <w:rsid w:val="0FA7589A"/>
    <w:rsid w:val="102C6852"/>
    <w:rsid w:val="1081433D"/>
    <w:rsid w:val="12D3520E"/>
    <w:rsid w:val="1396784F"/>
    <w:rsid w:val="13EC0B8A"/>
    <w:rsid w:val="14EB6229"/>
    <w:rsid w:val="155C65A7"/>
    <w:rsid w:val="15E95753"/>
    <w:rsid w:val="16F045F9"/>
    <w:rsid w:val="176E6CF3"/>
    <w:rsid w:val="17C618A3"/>
    <w:rsid w:val="185F4F4D"/>
    <w:rsid w:val="193D4B9E"/>
    <w:rsid w:val="1B4E62E5"/>
    <w:rsid w:val="1C666C77"/>
    <w:rsid w:val="1C8B4975"/>
    <w:rsid w:val="1C98798D"/>
    <w:rsid w:val="1D2D783E"/>
    <w:rsid w:val="1D9D4C68"/>
    <w:rsid w:val="1DAF458D"/>
    <w:rsid w:val="1E150A80"/>
    <w:rsid w:val="1EAA00AC"/>
    <w:rsid w:val="1FA73C1B"/>
    <w:rsid w:val="258917FB"/>
    <w:rsid w:val="27AF63CE"/>
    <w:rsid w:val="27CF2642"/>
    <w:rsid w:val="28605A33"/>
    <w:rsid w:val="294E4805"/>
    <w:rsid w:val="29E96D83"/>
    <w:rsid w:val="29EC087F"/>
    <w:rsid w:val="2A053397"/>
    <w:rsid w:val="2ABE0B21"/>
    <w:rsid w:val="2B3A3AD8"/>
    <w:rsid w:val="2D1136DF"/>
    <w:rsid w:val="2DE716FC"/>
    <w:rsid w:val="2E59285E"/>
    <w:rsid w:val="2ECC52A7"/>
    <w:rsid w:val="2FD27414"/>
    <w:rsid w:val="31857BAC"/>
    <w:rsid w:val="31B5304E"/>
    <w:rsid w:val="31C63837"/>
    <w:rsid w:val="33206C0F"/>
    <w:rsid w:val="33BC32B4"/>
    <w:rsid w:val="3429669A"/>
    <w:rsid w:val="34965581"/>
    <w:rsid w:val="35C5793C"/>
    <w:rsid w:val="36325697"/>
    <w:rsid w:val="36E958BB"/>
    <w:rsid w:val="370D7281"/>
    <w:rsid w:val="38CB046A"/>
    <w:rsid w:val="3A643253"/>
    <w:rsid w:val="3B5D1933"/>
    <w:rsid w:val="3D1D5019"/>
    <w:rsid w:val="3D5275AC"/>
    <w:rsid w:val="3E1A76DD"/>
    <w:rsid w:val="3E2B7A03"/>
    <w:rsid w:val="3E9A7BA4"/>
    <w:rsid w:val="3F076061"/>
    <w:rsid w:val="3F6A08C0"/>
    <w:rsid w:val="455E1F7C"/>
    <w:rsid w:val="45897ADA"/>
    <w:rsid w:val="46403612"/>
    <w:rsid w:val="46901EEE"/>
    <w:rsid w:val="469C74D2"/>
    <w:rsid w:val="48A52360"/>
    <w:rsid w:val="4902047E"/>
    <w:rsid w:val="4A7D4485"/>
    <w:rsid w:val="4C2E1A9B"/>
    <w:rsid w:val="4DE45AD9"/>
    <w:rsid w:val="4E11500F"/>
    <w:rsid w:val="4EEF1380"/>
    <w:rsid w:val="4F9D7B44"/>
    <w:rsid w:val="50DB5F45"/>
    <w:rsid w:val="512709C0"/>
    <w:rsid w:val="51DB4252"/>
    <w:rsid w:val="52314E57"/>
    <w:rsid w:val="523358A5"/>
    <w:rsid w:val="53350823"/>
    <w:rsid w:val="54054866"/>
    <w:rsid w:val="54F22EA5"/>
    <w:rsid w:val="55516A31"/>
    <w:rsid w:val="59444B98"/>
    <w:rsid w:val="59996596"/>
    <w:rsid w:val="5A8B468F"/>
    <w:rsid w:val="5C386C32"/>
    <w:rsid w:val="5D286D33"/>
    <w:rsid w:val="5D630BDE"/>
    <w:rsid w:val="5E8A0BA7"/>
    <w:rsid w:val="5FFF1C5A"/>
    <w:rsid w:val="61A46A97"/>
    <w:rsid w:val="64275BB0"/>
    <w:rsid w:val="64925820"/>
    <w:rsid w:val="6627325F"/>
    <w:rsid w:val="66F72012"/>
    <w:rsid w:val="67623B14"/>
    <w:rsid w:val="68706FD2"/>
    <w:rsid w:val="69AD798C"/>
    <w:rsid w:val="69F01279"/>
    <w:rsid w:val="6B311CD9"/>
    <w:rsid w:val="6B68175F"/>
    <w:rsid w:val="6B8500AE"/>
    <w:rsid w:val="6C81696B"/>
    <w:rsid w:val="6D587ECB"/>
    <w:rsid w:val="6DE375B7"/>
    <w:rsid w:val="6F516C58"/>
    <w:rsid w:val="6FDFD92C"/>
    <w:rsid w:val="6FFF530B"/>
    <w:rsid w:val="70A609BC"/>
    <w:rsid w:val="73FB6630"/>
    <w:rsid w:val="74060C43"/>
    <w:rsid w:val="74947C20"/>
    <w:rsid w:val="761262E7"/>
    <w:rsid w:val="76416A32"/>
    <w:rsid w:val="77022DD9"/>
    <w:rsid w:val="77ED6F44"/>
    <w:rsid w:val="7DF42720"/>
    <w:rsid w:val="7E6C6E77"/>
    <w:rsid w:val="7F726A00"/>
    <w:rsid w:val="7FB31F36"/>
    <w:rsid w:val="7FC0756C"/>
    <w:rsid w:val="7FC85347"/>
    <w:rsid w:val="BF5DD8AA"/>
    <w:rsid w:val="D3CF2FDB"/>
    <w:rsid w:val="FDFEE3F3"/>
    <w:rsid w:val="FFBF01E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Balloon Text"/>
    <w:basedOn w:val="1"/>
    <w:link w:val="16"/>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2">
    <w:name w:val="annotation reference"/>
    <w:basedOn w:val="11"/>
    <w:qFormat/>
    <w:uiPriority w:val="0"/>
    <w:rPr>
      <w:sz w:val="21"/>
      <w:szCs w:val="21"/>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ug-CN"/>
    </w:rPr>
  </w:style>
  <w:style w:type="paragraph" w:customStyle="1" w:styleId="14">
    <w:name w:val="WPSOffice手动目录 1"/>
    <w:qFormat/>
    <w:uiPriority w:val="0"/>
    <w:rPr>
      <w:rFonts w:ascii="Times New Roman" w:hAnsi="Times New Roman" w:eastAsia="宋体" w:cs="Times New Roman"/>
      <w:lang w:val="en-US" w:eastAsia="zh-CN" w:bidi="ug-CN"/>
    </w:rPr>
  </w:style>
  <w:style w:type="paragraph" w:customStyle="1" w:styleId="15">
    <w:name w:val="WPSOffice手动目录 3"/>
    <w:qFormat/>
    <w:uiPriority w:val="0"/>
    <w:pPr>
      <w:ind w:left="400" w:leftChars="400"/>
    </w:pPr>
    <w:rPr>
      <w:rFonts w:ascii="Times New Roman" w:hAnsi="Times New Roman" w:eastAsia="宋体" w:cs="Times New Roman"/>
      <w:lang w:val="en-US" w:eastAsia="zh-CN" w:bidi="ug-CN"/>
    </w:rPr>
  </w:style>
  <w:style w:type="character" w:customStyle="1" w:styleId="16">
    <w:name w:val="批注框文本 字符"/>
    <w:basedOn w:val="11"/>
    <w:link w:val="4"/>
    <w:qFormat/>
    <w:uiPriority w:val="0"/>
    <w:rPr>
      <w:kern w:val="2"/>
      <w:sz w:val="18"/>
      <w:szCs w:val="18"/>
      <w:lang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BEECE7-2313-41ED-AECA-605B6CADA37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3940</Words>
  <Characters>7353</Characters>
  <Lines>59</Lines>
  <Paragraphs>16</Paragraphs>
  <TotalTime>20</TotalTime>
  <ScaleCrop>false</ScaleCrop>
  <LinksUpToDate>false</LinksUpToDate>
  <CharactersWithSpaces>7480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2014-10-31T04:08:00Z</dcterms:created>
  <dc:creator>GXR</dc:creator>
  <cp:lastModifiedBy>lenovo</cp:lastModifiedBy>
  <dcterms:modified xsi:type="dcterms:W3CDTF">2023-08-15T12:15:20Z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59D8F543E4BF4B5F9BA261246CAB409B</vt:lpwstr>
  </property>
</Properties>
</file>