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宋体" w:eastAsia="方正小标宋_GBK"/>
          <w:sz w:val="44"/>
          <w:szCs w:val="44"/>
        </w:rPr>
      </w:pPr>
      <w:bookmarkStart w:id="0" w:name="_Hlk97806973"/>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新疆喀什地区疏勒县罕南力克镇人民政府2021年度部门决算公开说明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1" w:name="_Toc32314"/>
      <w:bookmarkStart w:id="2" w:name="_Toc24028"/>
      <w:r>
        <w:rPr>
          <w:rFonts w:hint="eastAsia" w:ascii="黑体" w:hAnsi="黑体" w:eastAsia="黑体"/>
          <w:sz w:val="32"/>
          <w:szCs w:val="32"/>
        </w:rPr>
        <w:t>第一部分 部门单位概况</w:t>
      </w:r>
      <w:bookmarkEnd w:id="1"/>
      <w:bookmarkEnd w:id="2"/>
    </w:p>
    <w:p>
      <w:pPr>
        <w:ind w:firstLine="640" w:firstLineChars="200"/>
        <w:outlineLvl w:val="1"/>
        <w:rPr>
          <w:rFonts w:ascii="黑体" w:hAnsi="黑体" w:eastAsia="黑体" w:cs="宋体"/>
          <w:bCs/>
          <w:kern w:val="0"/>
          <w:sz w:val="32"/>
          <w:szCs w:val="32"/>
        </w:rPr>
      </w:pPr>
      <w:bookmarkStart w:id="3" w:name="_Toc30567"/>
      <w:bookmarkStart w:id="4" w:name="_Toc30738"/>
      <w:r>
        <w:rPr>
          <w:rFonts w:hint="eastAsia" w:ascii="黑体" w:hAnsi="黑体" w:eastAsia="黑体" w:cs="宋体"/>
          <w:bCs/>
          <w:kern w:val="0"/>
          <w:sz w:val="32"/>
          <w:szCs w:val="32"/>
        </w:rPr>
        <w:t>一、主要职能</w:t>
      </w:r>
      <w:bookmarkEnd w:id="3"/>
      <w:bookmarkEnd w:id="4"/>
    </w:p>
    <w:p>
      <w:pPr>
        <w:rPr>
          <w:rFonts w:ascii="仿宋_GB2312" w:eastAsia="仿宋_GB2312"/>
          <w:sz w:val="32"/>
          <w:szCs w:val="32"/>
        </w:rPr>
      </w:pPr>
      <w:r>
        <w:rPr>
          <w:rFonts w:ascii="仿宋_GB2312" w:eastAsia="仿宋_GB2312"/>
          <w:sz w:val="32"/>
          <w:szCs w:val="32"/>
        </w:rPr>
        <w:t>　　1、认真贯彻执行党的路线、方针、政策，进一步促进乡镇职能转变，巩固和加强基层政权建设，建立适应农村经济发展和社会和谐的体制机制。</w:t>
      </w:r>
      <w:r>
        <w:rPr>
          <w:rFonts w:ascii="仿宋_GB2312" w:eastAsia="仿宋_GB2312"/>
          <w:sz w:val="32"/>
          <w:szCs w:val="32"/>
        </w:rPr>
        <w:br w:type="textWrapping"/>
      </w:r>
      <w:r>
        <w:rPr>
          <w:rFonts w:ascii="仿宋_GB2312" w:eastAsia="仿宋_GB2312"/>
          <w:sz w:val="32"/>
          <w:szCs w:val="32"/>
        </w:rPr>
        <w:t>　　2、加快农村经济发展，解放思想，转变观念，不断增加农民收入，为壮大乡村经济发展创造有利条件。</w:t>
      </w:r>
      <w:r>
        <w:rPr>
          <w:rFonts w:ascii="仿宋_GB2312" w:eastAsia="仿宋_GB2312"/>
          <w:sz w:val="32"/>
          <w:szCs w:val="32"/>
        </w:rPr>
        <w:br w:type="textWrapping"/>
      </w:r>
      <w:r>
        <w:rPr>
          <w:rFonts w:ascii="仿宋_GB2312" w:eastAsia="仿宋_GB2312"/>
          <w:sz w:val="32"/>
          <w:szCs w:val="32"/>
        </w:rPr>
        <w:t>　　3、强化公共服务，着力改善民生。推进优生优育，稳固农村低生育水平。促进农村义务教育发展，推动农村公共卫生体系和基本医疗体系建设，丰富农民群众文化生活，发展农村体育事业，培养社会主义新型农民。</w:t>
      </w:r>
      <w:r>
        <w:rPr>
          <w:rFonts w:ascii="仿宋_GB2312" w:eastAsia="仿宋_GB2312"/>
          <w:sz w:val="32"/>
          <w:szCs w:val="32"/>
        </w:rPr>
        <w:br w:type="textWrapping"/>
      </w:r>
      <w:r>
        <w:rPr>
          <w:rFonts w:ascii="仿宋_GB2312" w:eastAsia="仿宋_GB2312"/>
          <w:sz w:val="32"/>
          <w:szCs w:val="32"/>
        </w:rPr>
        <w:t>　　4、加强社会管理，加强民主法制宣传教育，保障人民生命财产安全，做好农村信访工作，畅通诉求渠道，及时掌控社情民意，排查化解矛盾纠纷，妥善处理内部矛盾。协助县有关部门做好市场监管、劳动监察、环境保护等方面工作。保障社会公正。</w:t>
      </w:r>
      <w:r>
        <w:rPr>
          <w:rFonts w:ascii="仿宋_GB2312" w:eastAsia="仿宋_GB2312"/>
          <w:sz w:val="32"/>
          <w:szCs w:val="32"/>
        </w:rPr>
        <w:br w:type="textWrapping"/>
      </w:r>
      <w:r>
        <w:rPr>
          <w:rFonts w:ascii="仿宋_GB2312" w:eastAsia="仿宋_GB2312"/>
          <w:sz w:val="32"/>
          <w:szCs w:val="32"/>
        </w:rPr>
        <w:t xml:space="preserve">　　5、推动基层民主，促进农村和谐。加强农村党的基层组织建设、农村基层干部队伍建设、农村党员队伍建设。做好乡人大、群团、国防教育、兵役、民兵等工作。 </w:t>
      </w:r>
      <w:r>
        <w:rPr>
          <w:rFonts w:ascii="仿宋_GB2312" w:eastAsia="仿宋_GB2312"/>
          <w:sz w:val="32"/>
          <w:szCs w:val="32"/>
        </w:rPr>
        <w:br w:type="textWrapping"/>
      </w:r>
      <w:r>
        <w:rPr>
          <w:rFonts w:ascii="仿宋_GB2312" w:eastAsia="仿宋_GB2312"/>
          <w:sz w:val="32"/>
          <w:szCs w:val="32"/>
        </w:rPr>
        <w:t>　　6、加强对乡事业单位的管理，协同单位抓好其他事业站所的管理。</w:t>
      </w:r>
      <w:r>
        <w:rPr>
          <w:rFonts w:ascii="仿宋_GB2312" w:eastAsia="仿宋_GB2312"/>
          <w:sz w:val="32"/>
          <w:szCs w:val="32"/>
        </w:rPr>
        <w:br w:type="textWrapping"/>
      </w:r>
      <w:r>
        <w:rPr>
          <w:rFonts w:ascii="仿宋_GB2312" w:eastAsia="仿宋_GB2312"/>
          <w:sz w:val="32"/>
          <w:szCs w:val="32"/>
        </w:rPr>
        <w:t>　　7、承办县委、政府交办的其他工作</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bookmarkStart w:id="5" w:name="_Toc31238"/>
      <w:bookmarkStart w:id="6" w:name="_Toc2151"/>
      <w:r>
        <w:rPr>
          <w:rFonts w:hint="eastAsia" w:ascii="黑体" w:hAnsi="黑体" w:eastAsia="黑体" w:cs="宋体"/>
          <w:bCs/>
          <w:kern w:val="0"/>
          <w:sz w:val="32"/>
          <w:szCs w:val="32"/>
        </w:rPr>
        <w:t>二、机构设置及</w:t>
      </w:r>
      <w:bookmarkEnd w:id="5"/>
      <w:r>
        <w:rPr>
          <w:rFonts w:hint="eastAsia" w:ascii="黑体" w:hAnsi="黑体" w:eastAsia="黑体" w:cs="宋体"/>
          <w:bCs/>
          <w:kern w:val="0"/>
          <w:sz w:val="32"/>
          <w:szCs w:val="32"/>
        </w:rPr>
        <w:t>人员情况</w:t>
      </w:r>
      <w:bookmarkEnd w:id="6"/>
    </w:p>
    <w:p>
      <w:pPr>
        <w:ind w:firstLine="640" w:firstLineChars="200"/>
        <w:rPr>
          <w:rFonts w:ascii="仿宋_GB2312" w:eastAsia="仿宋_GB2312"/>
          <w:sz w:val="32"/>
          <w:szCs w:val="32"/>
        </w:rPr>
      </w:pPr>
      <w:r>
        <w:rPr>
          <w:rFonts w:hint="eastAsia" w:ascii="仿宋_GB2312" w:eastAsia="仿宋_GB2312"/>
          <w:sz w:val="32"/>
          <w:szCs w:val="32"/>
        </w:rPr>
        <w:t>新疆喀什地区疏勒县罕南力克镇人民政府</w:t>
      </w:r>
      <w:r>
        <w:rPr>
          <w:rFonts w:ascii="仿宋_GB2312" w:eastAsia="仿宋_GB2312"/>
          <w:sz w:val="32"/>
          <w:szCs w:val="32"/>
        </w:rPr>
        <w:t>2021</w:t>
      </w:r>
      <w:r>
        <w:rPr>
          <w:rFonts w:hint="eastAsia" w:ascii="仿宋_GB2312" w:eastAsia="仿宋_GB2312"/>
          <w:sz w:val="32"/>
          <w:szCs w:val="32"/>
        </w:rPr>
        <w:t>年度，实有人数</w:t>
      </w:r>
      <w:r>
        <w:rPr>
          <w:rFonts w:ascii="仿宋_GB2312" w:eastAsia="仿宋_GB2312"/>
          <w:sz w:val="32"/>
          <w:szCs w:val="32"/>
        </w:rPr>
        <w:t>138</w:t>
      </w:r>
      <w:r>
        <w:rPr>
          <w:rFonts w:hint="eastAsia" w:ascii="仿宋_GB2312" w:eastAsia="仿宋_GB2312"/>
          <w:sz w:val="32"/>
          <w:szCs w:val="32"/>
        </w:rPr>
        <w:t>人，其中：在职人员</w:t>
      </w:r>
      <w:r>
        <w:rPr>
          <w:rFonts w:ascii="仿宋_GB2312" w:eastAsia="仿宋_GB2312"/>
          <w:sz w:val="32"/>
          <w:szCs w:val="32"/>
        </w:rPr>
        <w:t>119</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19</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从部门决算单位构成看，新疆喀什地区疏勒县罕南力克镇人民政府部门决算包括：新疆喀什地区疏勒县罕南力克镇人民政府决算。</w:t>
      </w: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11</w:t>
      </w:r>
      <w:r>
        <w:rPr>
          <w:rFonts w:hint="eastAsia" w:ascii="仿宋_GB2312" w:hAnsi="黑体" w:eastAsia="仿宋_GB2312" w:cs="宋体"/>
          <w:bCs/>
          <w:kern w:val="0"/>
          <w:sz w:val="32"/>
          <w:szCs w:val="32"/>
        </w:rPr>
        <w:t>个处室，分别是：党政办公室、党建办公室、经济发展办公室、社会事务办公室、综合执法办公室、农业（畜牧业）发展服务中心、文体广电旅游服务中心、社会保障（民政）服务中心（退役军人服务站）、农村合作经济（统计）发展中心（财政所）、村镇规划建设发展中心（生态环境工作站）、综治中心</w:t>
      </w:r>
      <w:r>
        <w:rPr>
          <w:rFonts w:hint="eastAsia" w:ascii="仿宋_GB2312" w:hAnsi="宋体" w:eastAsia="仿宋_GB2312" w:cs="宋体"/>
          <w:kern w:val="0"/>
          <w:sz w:val="32"/>
          <w:szCs w:val="32"/>
        </w:rPr>
        <w:t>。</w:t>
      </w:r>
    </w:p>
    <w:p>
      <w:pPr>
        <w:rPr>
          <w:rFonts w:ascii="Arial" w:hAnsi="Arial" w:cs="Arial"/>
          <w:color w:val="4D4D4D"/>
          <w:shd w:val="clear" w:color="auto" w:fill="FFFFFF"/>
        </w:rPr>
      </w:pPr>
      <w:r>
        <w:rPr>
          <w:rFonts w:ascii="Arial" w:hAnsi="Arial" w:cs="Arial"/>
          <w:color w:val="4D4D4D"/>
          <w:shd w:val="clear" w:color="auto" w:fill="FFFFFF"/>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 部门决算情况说明</w:t>
      </w:r>
    </w:p>
    <w:p>
      <w:pPr>
        <w:ind w:firstLine="640" w:firstLineChars="200"/>
        <w:outlineLvl w:val="1"/>
        <w:rPr>
          <w:rFonts w:ascii="黑体" w:hAnsi="黑体" w:eastAsia="黑体" w:cs="宋体"/>
          <w:bCs/>
          <w:kern w:val="0"/>
          <w:sz w:val="32"/>
          <w:szCs w:val="32"/>
        </w:rPr>
      </w:pPr>
      <w:bookmarkStart w:id="7" w:name="_Toc12566"/>
      <w:bookmarkStart w:id="8" w:name="_Toc25314"/>
      <w:bookmarkStart w:id="9" w:name="_Hlk97807141"/>
      <w:r>
        <w:rPr>
          <w:rFonts w:hint="eastAsia" w:ascii="黑体" w:hAnsi="黑体" w:eastAsia="黑体" w:cs="宋体"/>
          <w:bCs/>
          <w:kern w:val="0"/>
          <w:sz w:val="32"/>
          <w:szCs w:val="32"/>
        </w:rPr>
        <w:t>一、收入支出决算总体情况说明</w:t>
      </w:r>
      <w:bookmarkEnd w:id="7"/>
      <w:bookmarkEnd w:id="8"/>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5,038.24</w:t>
      </w:r>
      <w:r>
        <w:rPr>
          <w:rFonts w:hint="eastAsia" w:ascii="仿宋_GB2312" w:eastAsia="仿宋_GB2312"/>
          <w:sz w:val="32"/>
          <w:szCs w:val="32"/>
        </w:rPr>
        <w:t>万元，与上年相比，减少7,934.00万元，</w:t>
      </w:r>
      <w:r>
        <w:rPr>
          <w:rFonts w:ascii="仿宋_GB2312" w:eastAsia="仿宋_GB2312"/>
          <w:sz w:val="32"/>
          <w:szCs w:val="32"/>
        </w:rPr>
        <w:t>降低61.16</w:t>
      </w:r>
      <w:r>
        <w:rPr>
          <w:rFonts w:hint="eastAsia" w:ascii="仿宋_GB2312" w:eastAsia="仿宋_GB2312"/>
          <w:sz w:val="32"/>
          <w:szCs w:val="32"/>
        </w:rPr>
        <w:t>%，主要原因是：2021年度惠民惠农补贴在各行业部门发放，如：耕地地理保护补贴项目资金、生态护林员补助资金、防疫员补助项目资金、草原生态保护补贴项目资金、农机购置补贴项目资金、草原管护员补助项目资金、贫困学生教育资助雨露计划项目资金等；脱贫攻坚战取得阶段性胜利，项目相对也减少了，如：蔬菜购销平台项目资金、十小工程建设及附属设施配套项目资金、日光温室蔬菜种植项目资金、蔬菜储藏窖项目资金、养殖小区维修改造及附属设施项目资金、劳务派遣合作社挖掘机项目资金、乡镇两级人居环境整治项目资金、村级一事一议项目资金、雨露计划困难学生补助资金、村级阵地建设项目资金-20村、23村项目资金等减少。本年支出</w:t>
      </w:r>
      <w:r>
        <w:rPr>
          <w:rFonts w:ascii="仿宋_GB2312" w:eastAsia="仿宋_GB2312"/>
          <w:sz w:val="32"/>
          <w:szCs w:val="32"/>
        </w:rPr>
        <w:t>5,038.24</w:t>
      </w:r>
      <w:r>
        <w:rPr>
          <w:rFonts w:hint="eastAsia" w:ascii="仿宋_GB2312" w:eastAsia="仿宋_GB2312"/>
          <w:sz w:val="32"/>
          <w:szCs w:val="32"/>
        </w:rPr>
        <w:t>万元，与上年相比，</w:t>
      </w:r>
      <w:r>
        <w:rPr>
          <w:rFonts w:ascii="仿宋_GB2312" w:eastAsia="仿宋_GB2312"/>
          <w:sz w:val="32"/>
          <w:szCs w:val="32"/>
        </w:rPr>
        <w:t>减少7,934.00</w:t>
      </w:r>
      <w:r>
        <w:rPr>
          <w:rFonts w:hint="eastAsia" w:ascii="仿宋_GB2312" w:eastAsia="仿宋_GB2312"/>
          <w:sz w:val="32"/>
          <w:szCs w:val="32"/>
        </w:rPr>
        <w:t>万元，</w:t>
      </w:r>
      <w:r>
        <w:rPr>
          <w:rFonts w:ascii="仿宋_GB2312" w:eastAsia="仿宋_GB2312"/>
          <w:sz w:val="32"/>
          <w:szCs w:val="32"/>
        </w:rPr>
        <w:t>降低61.16</w:t>
      </w:r>
      <w:r>
        <w:rPr>
          <w:rFonts w:hint="eastAsia" w:ascii="仿宋_GB2312" w:eastAsia="仿宋_GB2312"/>
          <w:sz w:val="32"/>
          <w:szCs w:val="32"/>
        </w:rPr>
        <w:t>%，主要原因是：2021年度惠民惠农补贴在各行业部门发放，如：耕地地理保护补贴项目资金、生态护林员补助资金、防疫员补助项目资金、草原生态保护补贴项目资金、农机购置补贴项目资金、草原管护员补助项目资金、贫困学生教育资助雨露计划项目资金等；脱贫攻坚战取得阶段性胜利，项目相对也减少了，如：蔬菜购销平台项目资金、十小工程建设及附属设施配套项目资金、日光温室蔬菜种植项目资金、蔬菜储藏窖项目资金、养殖小区维修改造及附属设施项目资金、劳务派遣合作社挖掘机项目资金、乡镇两级人居环境整治项目资金、村级一事一议项目资金、雨露计划困难学生补助资金、村级阵地建设项目资金-20村、23村项目资金等减少。</w:t>
      </w:r>
    </w:p>
    <w:p>
      <w:pPr>
        <w:ind w:firstLine="640" w:firstLineChars="200"/>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5,038.24</w:t>
      </w:r>
      <w:r>
        <w:rPr>
          <w:rFonts w:hint="eastAsia" w:ascii="仿宋_GB2312" w:eastAsia="仿宋_GB2312"/>
          <w:sz w:val="32"/>
          <w:szCs w:val="32"/>
        </w:rPr>
        <w:t>万元，其中：财政拨款收入</w:t>
      </w:r>
      <w:r>
        <w:rPr>
          <w:rFonts w:ascii="仿宋_GB2312" w:eastAsia="仿宋_GB2312"/>
          <w:sz w:val="32"/>
          <w:szCs w:val="32"/>
        </w:rPr>
        <w:t>4,599.78</w:t>
      </w:r>
      <w:r>
        <w:rPr>
          <w:rFonts w:hint="eastAsia" w:ascii="仿宋_GB2312" w:eastAsia="仿宋_GB2312"/>
          <w:sz w:val="32"/>
          <w:szCs w:val="32"/>
        </w:rPr>
        <w:t>万元，占91.30%；上级补助收入</w:t>
      </w:r>
      <w:r>
        <w:rPr>
          <w:rFonts w:ascii="仿宋_GB2312" w:eastAsia="仿宋_GB2312"/>
          <w:sz w:val="32"/>
          <w:szCs w:val="32"/>
        </w:rPr>
        <w:t>0.00</w:t>
      </w:r>
      <w:r>
        <w:rPr>
          <w:rFonts w:hint="eastAsia" w:ascii="仿宋_GB2312" w:eastAsia="仿宋_GB2312"/>
          <w:sz w:val="32"/>
          <w:szCs w:val="32"/>
        </w:rPr>
        <w:t>万元，占0.00%；事业收入</w:t>
      </w:r>
      <w:r>
        <w:rPr>
          <w:rFonts w:ascii="仿宋_GB2312" w:eastAsia="仿宋_GB2312"/>
          <w:sz w:val="32"/>
          <w:szCs w:val="32"/>
        </w:rPr>
        <w:t>0.00</w:t>
      </w:r>
      <w:r>
        <w:rPr>
          <w:rFonts w:hint="eastAsia" w:ascii="仿宋_GB2312" w:eastAsia="仿宋_GB2312"/>
          <w:sz w:val="32"/>
          <w:szCs w:val="32"/>
        </w:rPr>
        <w:t>万元，占0.00%；经营收入</w:t>
      </w:r>
      <w:r>
        <w:rPr>
          <w:rFonts w:ascii="仿宋_GB2312" w:eastAsia="仿宋_GB2312"/>
          <w:sz w:val="32"/>
          <w:szCs w:val="32"/>
        </w:rPr>
        <w:t>0.00</w:t>
      </w:r>
      <w:r>
        <w:rPr>
          <w:rFonts w:hint="eastAsia" w:ascii="仿宋_GB2312" w:eastAsia="仿宋_GB2312"/>
          <w:sz w:val="32"/>
          <w:szCs w:val="32"/>
        </w:rPr>
        <w:t>万元，占0.00%；附属单位上缴收入</w:t>
      </w:r>
      <w:r>
        <w:rPr>
          <w:rFonts w:ascii="仿宋_GB2312" w:eastAsia="仿宋_GB2312"/>
          <w:sz w:val="32"/>
          <w:szCs w:val="32"/>
        </w:rPr>
        <w:t>0.00</w:t>
      </w:r>
      <w:r>
        <w:rPr>
          <w:rFonts w:hint="eastAsia" w:ascii="仿宋_GB2312" w:eastAsia="仿宋_GB2312"/>
          <w:sz w:val="32"/>
          <w:szCs w:val="32"/>
        </w:rPr>
        <w:t>万元，占0.00%；其他收入</w:t>
      </w:r>
      <w:r>
        <w:rPr>
          <w:rFonts w:ascii="仿宋_GB2312" w:eastAsia="仿宋_GB2312"/>
          <w:sz w:val="32"/>
          <w:szCs w:val="32"/>
        </w:rPr>
        <w:t>438.46</w:t>
      </w:r>
      <w:r>
        <w:rPr>
          <w:rFonts w:hint="eastAsia" w:ascii="仿宋_GB2312" w:eastAsia="仿宋_GB2312"/>
          <w:sz w:val="32"/>
          <w:szCs w:val="32"/>
        </w:rPr>
        <w:t>万元，占8.70%。</w:t>
      </w:r>
    </w:p>
    <w:p>
      <w:pPr>
        <w:ind w:firstLine="640" w:firstLineChars="200"/>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年度本年支出5,038.24万元，其中：基本支出</w:t>
      </w:r>
      <w:r>
        <w:rPr>
          <w:rFonts w:ascii="仿宋_GB2312" w:eastAsia="仿宋_GB2312"/>
          <w:sz w:val="32"/>
          <w:szCs w:val="32"/>
        </w:rPr>
        <w:t>1,798.50</w:t>
      </w:r>
      <w:r>
        <w:rPr>
          <w:rFonts w:hint="eastAsia" w:ascii="仿宋_GB2312" w:eastAsia="仿宋_GB2312"/>
          <w:sz w:val="32"/>
          <w:szCs w:val="32"/>
        </w:rPr>
        <w:t>万元，占35.70%；项目支出</w:t>
      </w:r>
      <w:r>
        <w:rPr>
          <w:rFonts w:ascii="仿宋_GB2312" w:eastAsia="仿宋_GB2312"/>
          <w:sz w:val="32"/>
          <w:szCs w:val="32"/>
        </w:rPr>
        <w:t>3,239.74</w:t>
      </w:r>
      <w:r>
        <w:rPr>
          <w:rFonts w:hint="eastAsia" w:ascii="仿宋_GB2312" w:eastAsia="仿宋_GB2312"/>
          <w:sz w:val="32"/>
          <w:szCs w:val="32"/>
        </w:rPr>
        <w:t>万元，占64.30%；上缴上级支出</w:t>
      </w:r>
      <w:r>
        <w:rPr>
          <w:rFonts w:ascii="仿宋_GB2312" w:eastAsia="仿宋_GB2312"/>
          <w:sz w:val="32"/>
          <w:szCs w:val="32"/>
        </w:rPr>
        <w:t>0.00</w:t>
      </w:r>
      <w:r>
        <w:rPr>
          <w:rFonts w:hint="eastAsia" w:ascii="仿宋_GB2312" w:eastAsia="仿宋_GB2312"/>
          <w:sz w:val="32"/>
          <w:szCs w:val="32"/>
        </w:rPr>
        <w:t>万元，占0.00%；经营支出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%；对附属单位补助支出0.00万元，占0.00%。</w:t>
      </w:r>
    </w:p>
    <w:bookmarkEnd w:id="9"/>
    <w:p>
      <w:pPr>
        <w:ind w:firstLine="640" w:firstLineChars="200"/>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财政拨款收入4,599.78万元，与上年相比，减少5,516.97万元，降低54.53%，主要原因是：2021年度惠民惠农补贴由各行业主管部门发放，如：耕地地理保护补贴项目资金、生态护林员补助资金、防疫员补助项目资金、草原生态保护补贴项目资金、农机购置补贴项目资金、草原管护员补助项目资金、贫困学生教育资助雨露计划项目资金等；脱贫攻坚战取得阶段性胜利，项目相对也减少了，如：蔬菜购销平台项目资金、十小工程建设及附属设施配套项目资金、日光温室蔬菜种植项目资金、蔬菜储藏窖项目资金、养殖小区维修改造及附属设施项目资金、劳务派遣合作社挖掘机项目资金、乡镇两级人居环境整治项目资金、村级一事一议项目资金、雨露计划困难学生补助资金、村级阵地建设项目资金-20村、23村项目资金等减少。财政拨款支出4,599.78万元，与上年相比，减少5,516.97万元，降低54.53%，主要原因是：2021年度惠民惠农补贴由各行业主管部门发放，如：耕地地理保护补贴项目资金、生态护林员补助资金、防疫员补助项目资金、草原生态保护补贴项目资金、农机购置补贴项目资金、草原管护员补助项目资金、贫困学生教育资助雨露计划项目资金等；脱贫攻坚战取得阶段性胜利，项目相对也减少了，如：蔬菜购销平台项目资金、十小工程建设及附属设施配套项目资金、日光温室蔬菜种植项目资金、蔬菜储藏窖项目资金、养殖小区维修改造及附属设施项目资金、劳务派遣合作社挖掘机项目资金、乡镇两级人居环境整治项目资金、村级一事一议项目资金、雨露计划困难学生补助资金、村级阵地建设项目资金-20村、23村项目资金等减少。</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1,830.82</w:t>
      </w:r>
      <w:r>
        <w:rPr>
          <w:rFonts w:hint="eastAsia" w:ascii="仿宋_GB2312" w:eastAsia="仿宋_GB2312"/>
          <w:sz w:val="32"/>
          <w:szCs w:val="32"/>
        </w:rPr>
        <w:t>万元，决算数</w:t>
      </w:r>
      <w:r>
        <w:rPr>
          <w:rFonts w:ascii="仿宋_GB2312" w:eastAsia="仿宋_GB2312"/>
          <w:sz w:val="32"/>
          <w:szCs w:val="32"/>
        </w:rPr>
        <w:t>4,599.78</w:t>
      </w:r>
      <w:r>
        <w:rPr>
          <w:rFonts w:hint="eastAsia" w:ascii="仿宋_GB2312" w:eastAsia="仿宋_GB2312"/>
          <w:sz w:val="32"/>
          <w:szCs w:val="32"/>
        </w:rPr>
        <w:t>万元，预决算差异率</w:t>
      </w:r>
      <w:r>
        <w:rPr>
          <w:rFonts w:ascii="仿宋_GB2312" w:eastAsia="仿宋_GB2312"/>
          <w:sz w:val="32"/>
          <w:szCs w:val="32"/>
        </w:rPr>
        <w:t>151.24</w:t>
      </w:r>
      <w:r>
        <w:rPr>
          <w:rFonts w:hint="eastAsia" w:ascii="仿宋_GB2312" w:eastAsia="仿宋_GB2312"/>
          <w:sz w:val="32"/>
          <w:szCs w:val="32"/>
        </w:rPr>
        <w:t>%，主要原因是：年初预算仅做人员经费和公用经费，项目预算均为后期追加，主要包括目标价格补贴项目资金、乡镇运转工作经费及村级组织运转项目资金、乡镇村两级聘用人员工资、拱棚建设项目、资金地方政府债券资金（第一批）、特色小镇建设项目资金、示范村建设项目资金、第二批困难群众救助项目资金。财政拨款支出年初预算数</w:t>
      </w:r>
      <w:r>
        <w:rPr>
          <w:rFonts w:ascii="仿宋_GB2312" w:eastAsia="仿宋_GB2312"/>
          <w:sz w:val="32"/>
          <w:szCs w:val="32"/>
        </w:rPr>
        <w:t>1,830.82</w:t>
      </w:r>
      <w:r>
        <w:rPr>
          <w:rFonts w:hint="eastAsia" w:ascii="仿宋_GB2312" w:eastAsia="仿宋_GB2312"/>
          <w:sz w:val="32"/>
          <w:szCs w:val="32"/>
        </w:rPr>
        <w:t>万元，决算数</w:t>
      </w:r>
      <w:r>
        <w:rPr>
          <w:rFonts w:ascii="仿宋_GB2312" w:eastAsia="仿宋_GB2312"/>
          <w:sz w:val="32"/>
          <w:szCs w:val="32"/>
        </w:rPr>
        <w:t>4,599.78</w:t>
      </w:r>
      <w:r>
        <w:rPr>
          <w:rFonts w:hint="eastAsia" w:ascii="仿宋_GB2312" w:eastAsia="仿宋_GB2312"/>
          <w:sz w:val="32"/>
          <w:szCs w:val="32"/>
        </w:rPr>
        <w:t>万元，预决算差异率151.24%，主要原因是：年初预算仅做人员经费和公用经费，项目预算均为后期追加，主要包括目标价格补贴项目资金，乡镇运转工作经费及村级组织运转项目资金,乡镇村两级聘用人员工资,拱棚建设项目，资金地方政府债券资金（第一批），特色小镇建设项目资金、示范村建设项目资金、第二批困难群众救助项目资金。</w:t>
      </w:r>
    </w:p>
    <w:p>
      <w:pPr>
        <w:ind w:firstLine="640" w:firstLineChars="200"/>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年度一般公共预算财政拨款支出4,599.78万元。按功能分类科目项级科目公开，其中：</w:t>
      </w:r>
    </w:p>
    <w:p>
      <w:pPr>
        <w:jc w:val="left"/>
        <w:rPr>
          <w:rFonts w:ascii="仿宋_GB2312" w:eastAsia="仿宋_GB2312"/>
          <w:sz w:val="32"/>
          <w:szCs w:val="32"/>
        </w:rPr>
      </w:pPr>
      <w:bookmarkStart w:id="18" w:name="_Toc11146"/>
      <w:bookmarkStart w:id="19" w:name="_Toc30870"/>
      <w:r>
        <w:rPr>
          <w:rFonts w:ascii="仿宋_GB2312" w:eastAsia="仿宋_GB2312"/>
          <w:sz w:val="32"/>
          <w:szCs w:val="32"/>
        </w:rPr>
        <w:tab/>
      </w:r>
      <w:r>
        <w:rPr>
          <w:rFonts w:ascii="仿宋_GB2312" w:eastAsia="仿宋_GB2312"/>
          <w:sz w:val="32"/>
          <w:szCs w:val="32"/>
        </w:rPr>
        <w:t xml:space="preserve"> 2010199其他人大事务支出0.92万元；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2010301行政运行698.55万元；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2010399其他政府办公厅（室）及相关机构事务支出62.60万元；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2011102一般行政管理事务1.00万元；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2013101行政运行422.04万元；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2013299其他组织事务支出316.83万元；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2013499其他统战事务支出35.96万元；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2040599其他法院支出1.50万元；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2049999其他公共安全支出202.43万元；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2070199其他文化和旅游支出2.00万元；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2080505机关事业单位基本养老保险缴费支出159.14万元；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2080506机关事业单位职业年金缴费支出7.68万元；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2089999其他社会保障和就业支出109.31万元；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2100410突发公共卫生事件应急处理44.00万元；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2130104事业运行376.31万元；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2130504农村基础设施建设500.00万元；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2130505生产发展678.24万元；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2130599其他扶贫支出773.41万元；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2139999其他农林水支出40.00万元；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2210201住房公积金134.78万元；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2299999其他支出33.08万元。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w:t>
      </w:r>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年度一般公共预算财政拨款基本支出</w:t>
      </w:r>
      <w:r>
        <w:rPr>
          <w:rFonts w:ascii="仿宋_GB2312" w:eastAsia="仿宋_GB2312"/>
          <w:sz w:val="32"/>
          <w:szCs w:val="32"/>
        </w:rPr>
        <w:t>1,798.50</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1,757.36</w:t>
      </w:r>
      <w:r>
        <w:rPr>
          <w:rFonts w:hint="eastAsia" w:ascii="仿宋_GB2312" w:eastAsia="仿宋_GB2312"/>
          <w:sz w:val="32"/>
          <w:szCs w:val="32"/>
        </w:rPr>
        <w:t>万元，包括：基本工资、津贴补贴、奖金、机关事业单位基本养老保险缴费、职业年金缴费、职工基本医疗保险缴费、公务员医疗补助缴费、其他社会保障缴费、住房公积金、其他工资福利支出、退休费、抚恤金、生活补助、奖励金</w:t>
      </w:r>
      <w:r>
        <w:rPr>
          <w:rFonts w:hint="eastAsia" w:ascii="仿宋_GB2312" w:hAnsi="宋体" w:eastAsia="仿宋_GB2312" w:cs="宋体"/>
          <w:kern w:val="0"/>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公用经费41.14万元，包括：办公费、水费、电费、维修（护）费、公务用车运行维护费、其他交通费用</w:t>
      </w:r>
      <w:r>
        <w:rPr>
          <w:rFonts w:hint="eastAsia" w:ascii="仿宋_GB2312" w:hAnsi="宋体" w:eastAsia="仿宋_GB2312" w:cs="宋体"/>
          <w:kern w:val="0"/>
          <w:sz w:val="32"/>
          <w:szCs w:val="32"/>
        </w:rPr>
        <w:t>。</w:t>
      </w:r>
    </w:p>
    <w:p>
      <w:pPr>
        <w:ind w:firstLine="640" w:firstLineChars="200"/>
        <w:outlineLvl w:val="1"/>
        <w:rPr>
          <w:rFonts w:ascii="黑体" w:hAnsi="黑体" w:eastAsia="黑体" w:cs="宋体"/>
          <w:bCs/>
          <w:kern w:val="0"/>
          <w:sz w:val="32"/>
          <w:szCs w:val="32"/>
        </w:rPr>
      </w:pPr>
      <w:bookmarkStart w:id="20" w:name="_Toc7190"/>
      <w:bookmarkStart w:id="21" w:name="_Toc21518"/>
      <w:r>
        <w:rPr>
          <w:rFonts w:hint="eastAsia" w:ascii="黑体" w:hAnsi="黑体" w:eastAsia="黑体" w:cs="宋体"/>
          <w:bCs/>
          <w:kern w:val="0"/>
          <w:sz w:val="32"/>
          <w:szCs w:val="32"/>
        </w:rPr>
        <w:t>七、一般公共预算财政拨款“三公”经费支出决算情况说明</w:t>
      </w:r>
      <w:bookmarkEnd w:id="20"/>
      <w:bookmarkEnd w:id="21"/>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2021年度一般公共预算“三公”经费支出决算1.64万元，比上年减少0.08万元，降低4.65%，主要原因是</w:t>
      </w:r>
      <w:r>
        <w:rPr>
          <w:rFonts w:hint="eastAsia" w:ascii="仿宋_GB2312" w:eastAsia="仿宋_GB2312"/>
          <w:sz w:val="32"/>
          <w:szCs w:val="32"/>
          <w:lang w:eastAsia="zh-CN"/>
        </w:rPr>
        <w:t>：</w:t>
      </w:r>
      <w:r>
        <w:rPr>
          <w:rFonts w:ascii="仿宋_GB2312" w:eastAsia="仿宋_GB2312"/>
          <w:sz w:val="32"/>
          <w:szCs w:val="32"/>
        </w:rPr>
        <w:t>厉行节约，压减不必要经费支出。其中</w:t>
      </w:r>
      <w:r>
        <w:rPr>
          <w:rFonts w:hint="eastAsia" w:ascii="仿宋_GB2312" w:eastAsia="仿宋_GB2312"/>
          <w:sz w:val="32"/>
          <w:szCs w:val="32"/>
          <w:lang w:eastAsia="zh-CN"/>
        </w:rPr>
        <w:t>：</w:t>
      </w:r>
      <w:r>
        <w:rPr>
          <w:rFonts w:ascii="仿宋_GB2312" w:eastAsia="仿宋_GB2312"/>
          <w:sz w:val="32"/>
          <w:szCs w:val="32"/>
        </w:rPr>
        <w:t>因公出国（境）费支出0.00万元，占0.00%，比上年增加0.00万元，增长0.00%，主要原因是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因公出国（境）费；公务用车购置及运行维护费支出1.64万元，占100.00%，比上年减少0.08万元，降低4.65%，主要原因是：严格执行中央规定，减少公务用车外出频率，减少车辆损耗，降低车辆运行维修费用；公务接待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我单位无公务接待费。具体情况如下：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1.64</w:t>
      </w:r>
      <w:r>
        <w:rPr>
          <w:rFonts w:hint="eastAsia" w:ascii="仿宋_GB2312" w:eastAsia="仿宋_GB2312"/>
          <w:sz w:val="32"/>
          <w:szCs w:val="32"/>
        </w:rPr>
        <w:t>万元，其中</w:t>
      </w:r>
      <w:r>
        <w:rPr>
          <w:rFonts w:hint="eastAsia" w:ascii="仿宋_GB2312" w:eastAsia="仿宋_GB2312"/>
          <w:sz w:val="32"/>
          <w:szCs w:val="32"/>
          <w:lang w:eastAsia="zh-CN"/>
        </w:rPr>
        <w:t>：</w:t>
      </w:r>
      <w:r>
        <w:rPr>
          <w:rFonts w:hint="eastAsia" w:ascii="仿宋_GB2312" w:eastAsia="仿宋_GB2312"/>
          <w:sz w:val="32"/>
          <w:szCs w:val="32"/>
        </w:rPr>
        <w:t>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1.64</w:t>
      </w:r>
      <w:r>
        <w:rPr>
          <w:rFonts w:hint="eastAsia" w:ascii="仿宋_GB2312" w:eastAsia="仿宋_GB2312"/>
          <w:sz w:val="32"/>
          <w:szCs w:val="32"/>
        </w:rPr>
        <w:t>万元。公务用车运行维护费开支内容包括：公务用车燃油费、保险费及维修费用。公务用车购置数</w:t>
      </w:r>
      <w:r>
        <w:rPr>
          <w:rFonts w:ascii="仿宋_GB2312" w:eastAsia="仿宋_GB2312"/>
          <w:sz w:val="32"/>
          <w:szCs w:val="32"/>
        </w:rPr>
        <w:t>0</w:t>
      </w:r>
      <w:r>
        <w:rPr>
          <w:rFonts w:hint="eastAsia" w:ascii="仿宋_GB2312" w:eastAsia="仿宋_GB2312"/>
          <w:sz w:val="32"/>
          <w:szCs w:val="32"/>
        </w:rPr>
        <w:t>辆，公务用车保有量4辆。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与年初预算数相比情况：一般公共预算“三公”经费支出年初预算数1.64万元，决算数</w:t>
      </w:r>
      <w:r>
        <w:rPr>
          <w:rFonts w:ascii="仿宋_GB2312" w:eastAsia="仿宋_GB2312"/>
          <w:sz w:val="32"/>
          <w:szCs w:val="32"/>
        </w:rPr>
        <w:t>1.64</w:t>
      </w:r>
      <w:r>
        <w:rPr>
          <w:rFonts w:hint="eastAsia" w:ascii="仿宋_GB2312" w:eastAsia="仿宋_GB2312"/>
          <w:sz w:val="32"/>
          <w:szCs w:val="32"/>
        </w:rPr>
        <w:t>万元，预决算差异率0.00%，主要原因是：严格按照预算安排执行，预决算无差异。</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费预算数0.00万元，决算数0.00万元，预决算差异率0.00%，主要原因是：我单位无公务用车购置费；</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预算数1.64万元，决算数1.64万元，预决算差异率0.00%，主要原因是：严格按照预算安排执行，预决算无差异。</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bookmarkStart w:id="52" w:name="_GoBack"/>
      <w:bookmarkEnd w:id="52"/>
    </w:p>
    <w:p>
      <w:pPr>
        <w:ind w:firstLine="640" w:firstLineChars="200"/>
        <w:outlineLvl w:val="1"/>
        <w:rPr>
          <w:rFonts w:ascii="黑体" w:hAnsi="黑体" w:eastAsia="黑体" w:cs="宋体"/>
          <w:bCs/>
          <w:kern w:val="0"/>
          <w:sz w:val="32"/>
          <w:szCs w:val="32"/>
        </w:rPr>
      </w:pPr>
      <w:bookmarkStart w:id="22" w:name="_Toc7927"/>
      <w:bookmarkStart w:id="23" w:name="_Toc5810"/>
      <w:r>
        <w:rPr>
          <w:rFonts w:hint="eastAsia" w:ascii="黑体" w:hAnsi="黑体" w:eastAsia="黑体" w:cs="宋体"/>
          <w:bCs/>
          <w:kern w:val="0"/>
          <w:sz w:val="32"/>
          <w:szCs w:val="32"/>
        </w:rPr>
        <w:t>八、政府性基金预算财政拨款收入支出决算情况说明</w:t>
      </w:r>
      <w:bookmarkEnd w:id="22"/>
      <w:bookmarkEnd w:id="23"/>
    </w:p>
    <w:p>
      <w:pPr>
        <w:ind w:firstLine="640" w:firstLineChars="200"/>
        <w:rPr>
          <w:rFonts w:hint="eastAsia" w:ascii="仿宋_GB2312" w:hAnsi="宋体" w:eastAsia="仿宋_GB2312"/>
          <w:kern w:val="0"/>
          <w:sz w:val="32"/>
          <w:szCs w:val="32"/>
          <w:lang w:eastAsia="zh-CN"/>
        </w:rPr>
      </w:pPr>
      <w:r>
        <w:rPr>
          <w:rFonts w:hint="eastAsia" w:ascii="仿宋_GB2312" w:hAnsi="宋体" w:eastAsia="仿宋_GB2312"/>
          <w:kern w:val="0"/>
          <w:sz w:val="32"/>
          <w:szCs w:val="32"/>
        </w:rPr>
        <w:t>我单位本年度无政府性基金预算财政拨款收入支出，政府性基金预算财政拨款收入支出决算表为空表</w:t>
      </w:r>
      <w:r>
        <w:rPr>
          <w:rFonts w:hint="eastAsia" w:ascii="仿宋_GB2312" w:hAnsi="宋体" w:eastAsia="仿宋_GB2312"/>
          <w:kern w:val="0"/>
          <w:sz w:val="32"/>
          <w:szCs w:val="32"/>
          <w:lang w:eastAsia="zh-CN"/>
        </w:rPr>
        <w:t>。</w:t>
      </w:r>
    </w:p>
    <w:p>
      <w:pPr>
        <w:ind w:firstLine="640" w:firstLineChars="200"/>
        <w:rPr>
          <w:rFonts w:ascii="仿宋_GB2312" w:eastAsia="仿宋_GB2312"/>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Arial" w:hAnsi="Arial" w:cs="Arial"/>
          <w:color w:val="4D4D4D"/>
          <w:shd w:val="clear" w:color="auto" w:fill="FFFFFF"/>
        </w:rPr>
      </w:pPr>
      <w:r>
        <w:rPr>
          <w:rFonts w:hint="eastAsia" w:ascii="仿宋_GB2312" w:eastAsia="仿宋_GB2312"/>
          <w:sz w:val="32"/>
          <w:szCs w:val="32"/>
        </w:rPr>
        <w:t>我单位本年度无国有资本经营预算财政拨款收入支出，国有资本经营预算财政拨款收入支出决算表为空表。</w:t>
      </w:r>
    </w:p>
    <w:p>
      <w:pPr>
        <w:ind w:firstLine="640" w:firstLineChars="200"/>
        <w:outlineLvl w:val="1"/>
        <w:rPr>
          <w:rFonts w:ascii="黑体" w:hAnsi="黑体" w:eastAsia="黑体" w:cs="宋体"/>
          <w:bCs/>
          <w:kern w:val="0"/>
          <w:sz w:val="32"/>
          <w:szCs w:val="32"/>
        </w:rPr>
      </w:pPr>
      <w:bookmarkStart w:id="24" w:name="_Toc1235"/>
      <w:bookmarkStart w:id="25" w:name="_Toc7314"/>
      <w:r>
        <w:rPr>
          <w:rFonts w:hint="eastAsia" w:ascii="黑体" w:hAnsi="黑体" w:eastAsia="黑体" w:cs="宋体"/>
          <w:bCs/>
          <w:kern w:val="0"/>
          <w:sz w:val="32"/>
          <w:szCs w:val="32"/>
        </w:rPr>
        <w:t>十、其他重要事项的情况说明</w:t>
      </w:r>
      <w:bookmarkEnd w:id="24"/>
      <w:bookmarkEnd w:id="25"/>
    </w:p>
    <w:p>
      <w:pPr>
        <w:ind w:firstLine="640" w:firstLineChars="200"/>
        <w:outlineLvl w:val="2"/>
        <w:rPr>
          <w:rFonts w:hint="eastAsia" w:ascii="黑体" w:hAnsi="黑体" w:eastAsia="黑体"/>
          <w:sz w:val="32"/>
          <w:szCs w:val="32"/>
        </w:rPr>
      </w:pPr>
      <w:bookmarkStart w:id="26" w:name="_Toc14519"/>
      <w:bookmarkStart w:id="27" w:name="_Toc13105"/>
      <w:r>
        <w:rPr>
          <w:rFonts w:hint="eastAsia" w:ascii="黑体" w:hAnsi="黑体" w:eastAsia="黑体"/>
          <w:sz w:val="32"/>
          <w:szCs w:val="32"/>
        </w:rPr>
        <w:t>（一）机关运行经费支出情况</w:t>
      </w:r>
      <w:bookmarkEnd w:id="26"/>
      <w:bookmarkEnd w:id="27"/>
    </w:p>
    <w:p>
      <w:pPr>
        <w:ind w:firstLine="640" w:firstLineChars="200"/>
        <w:outlineLvl w:val="2"/>
        <w:rPr>
          <w:rFonts w:ascii="黑体" w:hAnsi="黑体" w:eastAsia="黑体"/>
          <w:sz w:val="32"/>
          <w:szCs w:val="32"/>
        </w:rPr>
      </w:pPr>
      <w:r>
        <w:rPr>
          <w:rFonts w:hint="eastAsia" w:ascii="仿宋_GB2312" w:eastAsia="仿宋_GB2312"/>
          <w:sz w:val="32"/>
          <w:szCs w:val="32"/>
        </w:rPr>
        <w:t>2021年度新疆喀什地区疏勒县罕南力克镇人民政府（行政单位和参照公务员法管理事业单位）机关运行经费支出</w:t>
      </w:r>
      <w:r>
        <w:rPr>
          <w:rFonts w:ascii="仿宋_GB2312" w:eastAsia="仿宋_GB2312"/>
          <w:sz w:val="32"/>
          <w:szCs w:val="32"/>
        </w:rPr>
        <w:t>41.14</w:t>
      </w:r>
      <w:r>
        <w:rPr>
          <w:rFonts w:hint="eastAsia" w:ascii="仿宋_GB2312" w:eastAsia="仿宋_GB2312"/>
          <w:sz w:val="32"/>
          <w:szCs w:val="32"/>
        </w:rPr>
        <w:t>万元，比上年增加2.82万元，增长7.36%，主要原因是：本年基层任务增加，干部、职工调入人数增加，办公耗材增加，相应机关运行经费有所增加。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sz w:val="32"/>
          <w:szCs w:val="32"/>
        </w:rPr>
      </w:pPr>
      <w:r>
        <w:rPr>
          <w:rFonts w:hint="eastAsia" w:ascii="黑体" w:hAnsi="黑体" w:eastAsia="黑体"/>
          <w:sz w:val="32"/>
          <w:szCs w:val="32"/>
        </w:rPr>
        <w:t>（二）政府采购情况</w:t>
      </w:r>
    </w:p>
    <w:p>
      <w:pPr>
        <w:ind w:firstLine="640" w:firstLineChars="200"/>
        <w:rPr>
          <w:rFonts w:ascii="仿宋_GB2312" w:eastAsia="仿宋_GB2312"/>
          <w:sz w:val="32"/>
          <w:szCs w:val="32"/>
        </w:rPr>
      </w:pPr>
      <w:r>
        <w:rPr>
          <w:rFonts w:hint="eastAsia" w:ascii="仿宋_GB2312" w:eastAsia="仿宋_GB2312"/>
          <w:sz w:val="32"/>
          <w:szCs w:val="32"/>
        </w:rPr>
        <w:t>2021年度政府采购支出总额</w:t>
      </w:r>
      <w:r>
        <w:rPr>
          <w:rFonts w:ascii="仿宋_GB2312" w:eastAsia="仿宋_GB2312"/>
          <w:sz w:val="32"/>
          <w:szCs w:val="32"/>
        </w:rPr>
        <w:t>191.37</w:t>
      </w:r>
      <w:r>
        <w:rPr>
          <w:rFonts w:hint="eastAsia" w:ascii="仿宋_GB2312" w:eastAsia="仿宋_GB2312"/>
          <w:sz w:val="32"/>
          <w:szCs w:val="32"/>
        </w:rPr>
        <w:t>万元，其中：政府采购货物支出</w:t>
      </w:r>
      <w:r>
        <w:rPr>
          <w:rFonts w:ascii="仿宋_GB2312" w:eastAsia="仿宋_GB2312"/>
          <w:sz w:val="32"/>
          <w:szCs w:val="32"/>
        </w:rPr>
        <w:t>190.82</w:t>
      </w:r>
      <w:r>
        <w:rPr>
          <w:rFonts w:hint="eastAsia" w:ascii="仿宋_GB2312" w:eastAsia="仿宋_GB2312"/>
          <w:sz w:val="32"/>
          <w:szCs w:val="32"/>
        </w:rPr>
        <w:t>万元、政府采购工程支出</w:t>
      </w:r>
      <w:r>
        <w:rPr>
          <w:rFonts w:ascii="仿宋_GB2312" w:eastAsia="仿宋_GB2312"/>
          <w:sz w:val="32"/>
          <w:szCs w:val="32"/>
        </w:rPr>
        <w:t>0.00</w:t>
      </w:r>
      <w:r>
        <w:rPr>
          <w:rFonts w:hint="eastAsia" w:ascii="仿宋_GB2312" w:eastAsia="仿宋_GB2312"/>
          <w:sz w:val="32"/>
          <w:szCs w:val="32"/>
        </w:rPr>
        <w:t>万元、政府采购服务支出</w:t>
      </w:r>
      <w:r>
        <w:rPr>
          <w:rFonts w:ascii="仿宋_GB2312" w:eastAsia="仿宋_GB2312"/>
          <w:sz w:val="32"/>
          <w:szCs w:val="32"/>
        </w:rPr>
        <w:t>0.55</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191.37</w:t>
      </w:r>
      <w:r>
        <w:rPr>
          <w:rFonts w:hint="eastAsia" w:ascii="仿宋_GB2312" w:eastAsia="仿宋_GB2312"/>
          <w:sz w:val="32"/>
          <w:szCs w:val="32"/>
        </w:rPr>
        <w:t>万元，占政府采购支出总额的</w:t>
      </w:r>
      <w:r>
        <w:rPr>
          <w:rFonts w:ascii="仿宋_GB2312" w:eastAsia="仿宋_GB2312"/>
          <w:sz w:val="32"/>
          <w:szCs w:val="32"/>
        </w:rPr>
        <w:t>100.00</w:t>
      </w:r>
      <w:r>
        <w:rPr>
          <w:rFonts w:hint="eastAsia" w:ascii="仿宋_GB2312" w:eastAsia="仿宋_GB2312"/>
          <w:sz w:val="32"/>
          <w:szCs w:val="32"/>
        </w:rPr>
        <w:t>%，其中：授予小微企业合同金额</w:t>
      </w:r>
      <w:r>
        <w:rPr>
          <w:rFonts w:ascii="仿宋_GB2312" w:eastAsia="仿宋_GB2312"/>
          <w:sz w:val="32"/>
          <w:szCs w:val="32"/>
        </w:rPr>
        <w:t>191.37</w:t>
      </w:r>
      <w:r>
        <w:rPr>
          <w:rFonts w:hint="eastAsia" w:ascii="仿宋_GB2312" w:eastAsia="仿宋_GB2312"/>
          <w:sz w:val="32"/>
          <w:szCs w:val="32"/>
        </w:rPr>
        <w:t>万元，占政府采购支出总额的</w:t>
      </w:r>
      <w:r>
        <w:rPr>
          <w:rFonts w:ascii="仿宋_GB2312" w:eastAsia="仿宋_GB2312"/>
          <w:sz w:val="32"/>
          <w:szCs w:val="32"/>
        </w:rPr>
        <w:t>100.00</w:t>
      </w:r>
      <w:r>
        <w:rPr>
          <w:rFonts w:hint="eastAsia" w:ascii="仿宋_GB2312" w:eastAsia="仿宋_GB2312"/>
          <w:sz w:val="32"/>
          <w:szCs w:val="32"/>
        </w:rPr>
        <w:t>%。</w:t>
      </w:r>
    </w:p>
    <w:p>
      <w:pPr>
        <w:ind w:firstLine="640" w:firstLineChars="200"/>
        <w:outlineLvl w:val="2"/>
        <w:rPr>
          <w:rFonts w:ascii="黑体" w:hAnsi="黑体" w:eastAsia="黑体"/>
          <w:sz w:val="32"/>
          <w:szCs w:val="32"/>
        </w:rPr>
      </w:pPr>
      <w:bookmarkStart w:id="28" w:name="_Toc8391"/>
      <w:bookmarkStart w:id="29" w:name="_Toc4591"/>
      <w:r>
        <w:rPr>
          <w:rFonts w:hint="eastAsia" w:ascii="黑体" w:hAnsi="黑体" w:eastAsia="黑体"/>
          <w:sz w:val="32"/>
          <w:szCs w:val="32"/>
        </w:rPr>
        <w:t>（三）国有资产占用情况说明</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截止2021年12月31日，单位共有房屋</w:t>
      </w:r>
      <w:r>
        <w:rPr>
          <w:rFonts w:ascii="仿宋_GB2312" w:eastAsia="仿宋_GB2312"/>
          <w:sz w:val="32"/>
          <w:szCs w:val="32"/>
        </w:rPr>
        <w:t>33,409.07</w:t>
      </w:r>
      <w:r>
        <w:rPr>
          <w:rFonts w:hint="eastAsia" w:ascii="仿宋_GB2312" w:eastAsia="仿宋_GB2312"/>
          <w:sz w:val="32"/>
          <w:szCs w:val="32"/>
        </w:rPr>
        <w:t>（平方米），价值</w:t>
      </w:r>
      <w:r>
        <w:rPr>
          <w:rFonts w:ascii="仿宋_GB2312" w:eastAsia="仿宋_GB2312"/>
          <w:sz w:val="32"/>
          <w:szCs w:val="32"/>
        </w:rPr>
        <w:t>3,734.80</w:t>
      </w:r>
      <w:r>
        <w:rPr>
          <w:rFonts w:hint="eastAsia" w:ascii="仿宋_GB2312" w:eastAsia="仿宋_GB2312"/>
          <w:sz w:val="32"/>
          <w:szCs w:val="32"/>
        </w:rPr>
        <w:t>万元。车辆</w:t>
      </w:r>
      <w:r>
        <w:rPr>
          <w:rFonts w:ascii="仿宋_GB2312" w:eastAsia="仿宋_GB2312"/>
          <w:sz w:val="32"/>
          <w:szCs w:val="32"/>
        </w:rPr>
        <w:t>4</w:t>
      </w:r>
      <w:r>
        <w:rPr>
          <w:rFonts w:hint="eastAsia" w:ascii="仿宋_GB2312" w:eastAsia="仿宋_GB2312"/>
          <w:sz w:val="32"/>
          <w:szCs w:val="32"/>
        </w:rPr>
        <w:t>辆，价值</w:t>
      </w:r>
      <w:r>
        <w:rPr>
          <w:rFonts w:ascii="仿宋_GB2312" w:eastAsia="仿宋_GB2312"/>
          <w:sz w:val="32"/>
          <w:szCs w:val="32"/>
        </w:rPr>
        <w:t>34.18</w:t>
      </w:r>
      <w:r>
        <w:rPr>
          <w:rFonts w:hint="eastAsia" w:ascii="仿宋_GB2312" w:eastAsia="仿宋_GB2312"/>
          <w:sz w:val="32"/>
          <w:szCs w:val="32"/>
        </w:rPr>
        <w:t>万元，其中：副部（省）级及以上领导用车0辆、主要领导干部用车0辆、机要通信用车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4</w:t>
      </w:r>
      <w:r>
        <w:rPr>
          <w:rFonts w:hint="eastAsia" w:ascii="仿宋_GB2312" w:eastAsia="仿宋_GB2312"/>
          <w:sz w:val="32"/>
          <w:szCs w:val="32"/>
        </w:rPr>
        <w:t>辆，其他用车主要是：一般公务用车、纪检车、洒水车；单位价值50万元以上通用设备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bookmarkStart w:id="30" w:name="_Toc435"/>
      <w:bookmarkStart w:id="31" w:name="_Toc11283"/>
      <w:r>
        <w:rPr>
          <w:rFonts w:hint="eastAsia" w:ascii="黑体" w:hAnsi="黑体" w:eastAsia="黑体" w:cs="宋体"/>
          <w:bCs/>
          <w:kern w:val="0"/>
          <w:sz w:val="32"/>
          <w:szCs w:val="32"/>
        </w:rPr>
        <w:t>十一、预算绩效的情况说明</w:t>
      </w:r>
      <w:bookmarkEnd w:id="30"/>
      <w:bookmarkEnd w:id="31"/>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根据预算绩效管理要求，我单位2021年度开展预算绩效评价项目4个，共涉及资金324.08万元。预算绩效管理取得的成效：一是通过认真梳理2021年资金使用情况和项目实施规模，根据各专项实际存档资料，就专项工作计划与部门职能和规划内容、与科室和项目之间的对应关系、重点工作安排与重点项目安排情况等，与相关科室的管理人员进行了沟通和交流，深入了解本单位涉及专项资金的使用情况和项目完成情况；二是项目资金不存在截留、挪用，支付审批合规、不存在用途改变、范围超支和虚列项目支出等情况；三是项目实施符合专项管理办法，流程和管理制度合规；四是已经对4个项目完成情况的真实性和绩效目标完成情况分析，通过评价发现财政资金使用中存在的问题，总结财务内控中存在的不足之处。发现的问题及原因：一是分管绩效管理的业务人员绩效管理意识有待增强，未能全面深入认识理解绩效管理工作的意义；二是绩效管理经验不足，预算绩效管理工作有待进一步落实；三是绩效指标的明确性、可衡量性、相关性还需进一步提升。预算精细化管理还需完善，预算编制管理水平仍有进一步提升的空间。下一步改进措施：一是加强预算绩效目标管理工作。明确预算项目绩效目标编制要求，分类别建立科学合理、细化量化、可比可测预算绩效指标体系，突出结果导向，重点考核实绩；二是加强绩效业务学习及培训，提高业务人员绩效管理意识，进一步加强预算绩效管理工作，优化项目支出绩效指标体系，完善预算绩效管理制度，有效推动我单位下一年度预算绩效管理工作常态化、规范化；三是通过强化专业培训、学习考察、业务交流等措施，帮助和促进本单位现有人员提高绩效管理业务水平、实际工作能力。强化预算绩效执行工作，指定专人负责预算执行监督管理，进一步推动预算绩效管理工作。具体项目自评情况附项目支出绩效自评表。</w:t>
      </w:r>
    </w:p>
    <w:p>
      <w:pPr>
        <w:rPr>
          <w:rFonts w:ascii="仿宋_GB2312" w:eastAsia="仿宋_GB2312"/>
          <w:sz w:val="32"/>
          <w:szCs w:val="32"/>
        </w:rPr>
      </w:pPr>
      <w:r>
        <w:rPr>
          <w:rFonts w:ascii="仿宋_GB2312" w:eastAsia="仿宋_GB2312"/>
          <w:sz w:val="32"/>
          <w:szCs w:val="32"/>
        </w:rPr>
        <w:br w:type="page"/>
      </w:r>
    </w:p>
    <w:p>
      <w:pPr>
        <w:ind w:firstLine="640" w:firstLineChars="200"/>
        <w:jc w:val="center"/>
        <w:outlineLvl w:val="0"/>
        <w:rPr>
          <w:rFonts w:ascii="黑体" w:hAnsi="黑体" w:eastAsia="黑体"/>
          <w:sz w:val="32"/>
          <w:szCs w:val="32"/>
        </w:rPr>
      </w:pPr>
      <w:bookmarkStart w:id="32" w:name="_Toc3250"/>
      <w:bookmarkStart w:id="33" w:name="_Toc24143"/>
      <w:r>
        <w:rPr>
          <w:rFonts w:hint="eastAsia" w:ascii="黑体" w:hAnsi="黑体" w:eastAsia="黑体"/>
          <w:sz w:val="32"/>
          <w:szCs w:val="32"/>
        </w:rPr>
        <w:t>第三部分 专业名词解释</w:t>
      </w:r>
      <w:bookmarkEnd w:id="32"/>
      <w:bookmarkEnd w:id="33"/>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rFonts w:ascii="黑体" w:hAnsi="黑体" w:eastAsia="黑体"/>
          <w:sz w:val="32"/>
          <w:szCs w:val="32"/>
        </w:rPr>
      </w:pPr>
      <w:bookmarkStart w:id="34" w:name="_Toc28903"/>
      <w:bookmarkStart w:id="35" w:name="_Toc22784"/>
      <w:r>
        <w:rPr>
          <w:rFonts w:hint="eastAsia" w:ascii="黑体" w:hAnsi="黑体" w:eastAsia="黑体"/>
          <w:sz w:val="32"/>
          <w:szCs w:val="32"/>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 部门决算报表（见附表）</w:t>
      </w:r>
      <w:bookmarkEnd w:id="34"/>
      <w:bookmarkEnd w:id="35"/>
    </w:p>
    <w:p>
      <w:pPr>
        <w:ind w:firstLine="640" w:firstLineChars="200"/>
        <w:outlineLvl w:val="1"/>
        <w:rPr>
          <w:rFonts w:ascii="黑体" w:hAnsi="黑体" w:eastAsia="黑体" w:cs="宋体"/>
          <w:bCs/>
          <w:kern w:val="0"/>
          <w:sz w:val="32"/>
          <w:szCs w:val="32"/>
        </w:rPr>
      </w:pPr>
      <w:bookmarkStart w:id="36" w:name="_Toc6062"/>
      <w:bookmarkStart w:id="37" w:name="_Toc2183"/>
      <w:r>
        <w:rPr>
          <w:rFonts w:hint="eastAsia" w:ascii="黑体" w:hAnsi="黑体" w:eastAsia="黑体" w:cs="宋体"/>
          <w:bCs/>
          <w:kern w:val="0"/>
          <w:sz w:val="32"/>
          <w:szCs w:val="32"/>
        </w:rPr>
        <w:t>一、《收入支出决算总表》</w:t>
      </w:r>
      <w:bookmarkEnd w:id="36"/>
      <w:bookmarkEnd w:id="37"/>
    </w:p>
    <w:p>
      <w:pPr>
        <w:ind w:firstLine="640" w:firstLineChars="200"/>
        <w:outlineLvl w:val="1"/>
        <w:rPr>
          <w:rFonts w:ascii="黑体" w:hAnsi="黑体" w:eastAsia="黑体" w:cs="宋体"/>
          <w:bCs/>
          <w:kern w:val="0"/>
          <w:sz w:val="32"/>
          <w:szCs w:val="32"/>
        </w:rPr>
      </w:pPr>
      <w:bookmarkStart w:id="38" w:name="_Toc30364"/>
      <w:bookmarkStart w:id="39" w:name="_Toc24532"/>
      <w:r>
        <w:rPr>
          <w:rFonts w:hint="eastAsia" w:ascii="黑体" w:hAnsi="黑体" w:eastAsia="黑体" w:cs="宋体"/>
          <w:bCs/>
          <w:kern w:val="0"/>
          <w:sz w:val="32"/>
          <w:szCs w:val="32"/>
        </w:rPr>
        <w:t>二、《收入决算表》</w:t>
      </w:r>
      <w:bookmarkEnd w:id="38"/>
      <w:bookmarkEnd w:id="39"/>
    </w:p>
    <w:p>
      <w:pPr>
        <w:ind w:firstLine="640" w:firstLineChars="200"/>
        <w:outlineLvl w:val="1"/>
        <w:rPr>
          <w:rFonts w:ascii="黑体" w:hAnsi="黑体" w:eastAsia="黑体" w:cs="宋体"/>
          <w:bCs/>
          <w:kern w:val="0"/>
          <w:sz w:val="32"/>
          <w:szCs w:val="32"/>
        </w:rPr>
      </w:pPr>
      <w:bookmarkStart w:id="40" w:name="_Toc21304"/>
      <w:bookmarkStart w:id="41" w:name="_Toc32434"/>
      <w:r>
        <w:rPr>
          <w:rFonts w:hint="eastAsia" w:ascii="黑体" w:hAnsi="黑体" w:eastAsia="黑体" w:cs="宋体"/>
          <w:bCs/>
          <w:kern w:val="0"/>
          <w:sz w:val="32"/>
          <w:szCs w:val="32"/>
        </w:rPr>
        <w:t>三、《支出决算表》</w:t>
      </w:r>
      <w:bookmarkEnd w:id="40"/>
      <w:bookmarkEnd w:id="41"/>
    </w:p>
    <w:p>
      <w:pPr>
        <w:ind w:firstLine="640" w:firstLineChars="200"/>
        <w:outlineLvl w:val="1"/>
        <w:rPr>
          <w:rFonts w:ascii="黑体" w:hAnsi="黑体" w:eastAsia="黑体" w:cs="宋体"/>
          <w:bCs/>
          <w:kern w:val="0"/>
          <w:sz w:val="32"/>
          <w:szCs w:val="32"/>
        </w:rPr>
      </w:pPr>
      <w:bookmarkStart w:id="42" w:name="_Toc14238"/>
      <w:bookmarkStart w:id="43" w:name="_Toc28786"/>
      <w:r>
        <w:rPr>
          <w:rFonts w:hint="eastAsia" w:ascii="黑体" w:hAnsi="黑体" w:eastAsia="黑体" w:cs="宋体"/>
          <w:bCs/>
          <w:kern w:val="0"/>
          <w:sz w:val="32"/>
          <w:szCs w:val="32"/>
        </w:rPr>
        <w:t>四、《财政拨款收入支出决算总表》</w:t>
      </w:r>
      <w:bookmarkEnd w:id="42"/>
      <w:bookmarkEnd w:id="43"/>
    </w:p>
    <w:p>
      <w:pPr>
        <w:ind w:firstLine="640" w:firstLineChars="200"/>
        <w:outlineLvl w:val="1"/>
        <w:rPr>
          <w:rFonts w:ascii="黑体" w:hAnsi="黑体" w:eastAsia="黑体" w:cs="宋体"/>
          <w:bCs/>
          <w:kern w:val="0"/>
          <w:sz w:val="32"/>
          <w:szCs w:val="32"/>
        </w:rPr>
      </w:pPr>
      <w:bookmarkStart w:id="44" w:name="_Toc10347"/>
      <w:bookmarkStart w:id="45" w:name="_Toc14869"/>
      <w:r>
        <w:rPr>
          <w:rFonts w:hint="eastAsia" w:ascii="黑体" w:hAnsi="黑体" w:eastAsia="黑体" w:cs="宋体"/>
          <w:bCs/>
          <w:kern w:val="0"/>
          <w:sz w:val="32"/>
          <w:szCs w:val="32"/>
        </w:rPr>
        <w:t>五、《一般公共预算财政拨款支出决算表》</w:t>
      </w:r>
      <w:bookmarkEnd w:id="44"/>
      <w:bookmarkEnd w:id="45"/>
    </w:p>
    <w:p>
      <w:pPr>
        <w:ind w:firstLine="640" w:firstLineChars="200"/>
        <w:outlineLvl w:val="1"/>
        <w:rPr>
          <w:rFonts w:ascii="黑体" w:hAnsi="黑体" w:eastAsia="黑体" w:cs="宋体"/>
          <w:bCs/>
          <w:kern w:val="0"/>
          <w:sz w:val="32"/>
          <w:szCs w:val="32"/>
        </w:rPr>
      </w:pPr>
      <w:bookmarkStart w:id="46" w:name="_Toc8884"/>
      <w:bookmarkStart w:id="47" w:name="_Toc5626"/>
      <w:r>
        <w:rPr>
          <w:rFonts w:hint="eastAsia" w:ascii="黑体" w:hAnsi="黑体" w:eastAsia="黑体" w:cs="宋体"/>
          <w:bCs/>
          <w:kern w:val="0"/>
          <w:sz w:val="32"/>
          <w:szCs w:val="32"/>
        </w:rPr>
        <w:t>六、《一般公共预算财政拨款基本支出决算表》</w:t>
      </w:r>
      <w:bookmarkEnd w:id="46"/>
      <w:bookmarkEnd w:id="47"/>
    </w:p>
    <w:p>
      <w:pPr>
        <w:ind w:firstLine="640" w:firstLineChars="200"/>
        <w:outlineLvl w:val="1"/>
        <w:rPr>
          <w:rFonts w:ascii="黑体" w:hAnsi="黑体" w:eastAsia="黑体" w:cs="宋体"/>
          <w:bCs/>
          <w:kern w:val="0"/>
          <w:sz w:val="32"/>
          <w:szCs w:val="32"/>
        </w:rPr>
      </w:pPr>
      <w:bookmarkStart w:id="48" w:name="_Toc29106"/>
      <w:bookmarkStart w:id="49" w:name="_Toc32663"/>
      <w:r>
        <w:rPr>
          <w:rFonts w:hint="eastAsia" w:ascii="黑体" w:hAnsi="黑体" w:eastAsia="黑体" w:cs="宋体"/>
          <w:bCs/>
          <w:kern w:val="0"/>
          <w:sz w:val="32"/>
          <w:szCs w:val="32"/>
        </w:rPr>
        <w:t>七、《一般公共预算财政拨款“三公”经费支出决算表》</w:t>
      </w:r>
      <w:bookmarkEnd w:id="48"/>
      <w:bookmarkEnd w:id="49"/>
    </w:p>
    <w:p>
      <w:pPr>
        <w:ind w:firstLine="640" w:firstLineChars="200"/>
        <w:outlineLvl w:val="1"/>
        <w:rPr>
          <w:rFonts w:ascii="黑体" w:hAnsi="黑体" w:eastAsia="黑体" w:cs="宋体"/>
          <w:bCs/>
          <w:kern w:val="0"/>
          <w:sz w:val="32"/>
          <w:szCs w:val="32"/>
        </w:rPr>
      </w:pPr>
      <w:bookmarkStart w:id="50" w:name="_Toc7643"/>
      <w:bookmarkStart w:id="51" w:name="_Toc5453"/>
      <w:r>
        <w:rPr>
          <w:rFonts w:hint="eastAsia" w:ascii="黑体" w:hAnsi="黑体" w:eastAsia="黑体" w:cs="宋体"/>
          <w:bCs/>
          <w:kern w:val="0"/>
          <w:sz w:val="32"/>
          <w:szCs w:val="32"/>
        </w:rPr>
        <w:t>八、《政府性基金预算财政拨款收入支出决算表》</w:t>
      </w:r>
      <w:bookmarkEnd w:id="50"/>
      <w:bookmarkEnd w:id="51"/>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九、《国有资本经营预算财政拨款收入支出决算表》</w:t>
      </w:r>
    </w:p>
    <w:bookmarkEnd w:id="0"/>
    <w:p>
      <w:pPr>
        <w:ind w:firstLine="640" w:firstLineChars="200"/>
        <w:outlineLvl w:val="1"/>
        <w:rPr>
          <w:rFonts w:ascii="黑体" w:hAnsi="黑体" w:eastAsia="黑体" w:cs="宋体"/>
          <w:bCs/>
          <w:kern w:val="0"/>
          <w:sz w:val="32"/>
          <w:szCs w:val="32"/>
        </w:rPr>
      </w:pPr>
    </w:p>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lang w:bidi="ug-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wps:txbx>
                    <wps:bodyPr vert="horz" wrap="none" lIns="0" tIns="0" rIns="0" bIns="0" anchor="t">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BPOpCYwwEAAG0DAAAOAAAAAAAAAAEAIAAAAB4BAABkcnMvZTJvRG9jLnhtbFBL&#10;BQYAAAAABgAGAFkBAABTBQ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iYzk0YzA4ZjRjODNlZDgwMmQzYTBhNGFhMjA2OTkifQ=="/>
  </w:docVars>
  <w:rsids>
    <w:rsidRoot w:val="006B7B8C"/>
    <w:rsid w:val="00014AAB"/>
    <w:rsid w:val="00015801"/>
    <w:rsid w:val="0002486D"/>
    <w:rsid w:val="00062388"/>
    <w:rsid w:val="000731DE"/>
    <w:rsid w:val="00082B96"/>
    <w:rsid w:val="000874C6"/>
    <w:rsid w:val="00091D32"/>
    <w:rsid w:val="000B3F65"/>
    <w:rsid w:val="000B4DF4"/>
    <w:rsid w:val="000B597A"/>
    <w:rsid w:val="000C0611"/>
    <w:rsid w:val="000C72B8"/>
    <w:rsid w:val="000F13FC"/>
    <w:rsid w:val="000F1BC6"/>
    <w:rsid w:val="000F7D1A"/>
    <w:rsid w:val="00100F46"/>
    <w:rsid w:val="001114DC"/>
    <w:rsid w:val="001221DB"/>
    <w:rsid w:val="001224FB"/>
    <w:rsid w:val="001433D9"/>
    <w:rsid w:val="00147345"/>
    <w:rsid w:val="00157386"/>
    <w:rsid w:val="00176B00"/>
    <w:rsid w:val="001A140F"/>
    <w:rsid w:val="001A52AF"/>
    <w:rsid w:val="001C2440"/>
    <w:rsid w:val="001C44B0"/>
    <w:rsid w:val="00207BE8"/>
    <w:rsid w:val="002120BB"/>
    <w:rsid w:val="002548C8"/>
    <w:rsid w:val="00272419"/>
    <w:rsid w:val="003028E1"/>
    <w:rsid w:val="00302A04"/>
    <w:rsid w:val="00312652"/>
    <w:rsid w:val="00345A42"/>
    <w:rsid w:val="0035250E"/>
    <w:rsid w:val="00353DD9"/>
    <w:rsid w:val="00362C48"/>
    <w:rsid w:val="0036666F"/>
    <w:rsid w:val="00370F5B"/>
    <w:rsid w:val="003824A3"/>
    <w:rsid w:val="00392A24"/>
    <w:rsid w:val="0039326B"/>
    <w:rsid w:val="00395F5C"/>
    <w:rsid w:val="003A65AE"/>
    <w:rsid w:val="003C4475"/>
    <w:rsid w:val="003C4518"/>
    <w:rsid w:val="003C5962"/>
    <w:rsid w:val="003D230A"/>
    <w:rsid w:val="003D381A"/>
    <w:rsid w:val="003D4CE8"/>
    <w:rsid w:val="004078AA"/>
    <w:rsid w:val="00420161"/>
    <w:rsid w:val="00464FAC"/>
    <w:rsid w:val="00480271"/>
    <w:rsid w:val="00487954"/>
    <w:rsid w:val="00495F92"/>
    <w:rsid w:val="004971F0"/>
    <w:rsid w:val="004B241A"/>
    <w:rsid w:val="004B2827"/>
    <w:rsid w:val="004B4550"/>
    <w:rsid w:val="004C036C"/>
    <w:rsid w:val="004C7698"/>
    <w:rsid w:val="004D5A4F"/>
    <w:rsid w:val="004E5240"/>
    <w:rsid w:val="004E7075"/>
    <w:rsid w:val="00511EF6"/>
    <w:rsid w:val="005266C7"/>
    <w:rsid w:val="00536589"/>
    <w:rsid w:val="005609AE"/>
    <w:rsid w:val="00565E92"/>
    <w:rsid w:val="00573DA1"/>
    <w:rsid w:val="00577003"/>
    <w:rsid w:val="00581BC9"/>
    <w:rsid w:val="0058594B"/>
    <w:rsid w:val="00597053"/>
    <w:rsid w:val="005B4B49"/>
    <w:rsid w:val="005D0449"/>
    <w:rsid w:val="005D2934"/>
    <w:rsid w:val="005D3D72"/>
    <w:rsid w:val="005D54E8"/>
    <w:rsid w:val="005D6482"/>
    <w:rsid w:val="005F26BE"/>
    <w:rsid w:val="00610E0F"/>
    <w:rsid w:val="006113E2"/>
    <w:rsid w:val="00624982"/>
    <w:rsid w:val="00625F2E"/>
    <w:rsid w:val="006505E8"/>
    <w:rsid w:val="00656A89"/>
    <w:rsid w:val="006612DA"/>
    <w:rsid w:val="00677EE6"/>
    <w:rsid w:val="006B25BA"/>
    <w:rsid w:val="006B5D26"/>
    <w:rsid w:val="006B7089"/>
    <w:rsid w:val="006B7147"/>
    <w:rsid w:val="006B7779"/>
    <w:rsid w:val="006B7B8C"/>
    <w:rsid w:val="006C09CD"/>
    <w:rsid w:val="006C6123"/>
    <w:rsid w:val="007002F4"/>
    <w:rsid w:val="0072647E"/>
    <w:rsid w:val="00730D0A"/>
    <w:rsid w:val="00753BF6"/>
    <w:rsid w:val="007718CB"/>
    <w:rsid w:val="0077373D"/>
    <w:rsid w:val="00773C57"/>
    <w:rsid w:val="00793611"/>
    <w:rsid w:val="007B5171"/>
    <w:rsid w:val="007E51A8"/>
    <w:rsid w:val="007F1677"/>
    <w:rsid w:val="008060FF"/>
    <w:rsid w:val="00817497"/>
    <w:rsid w:val="00820F01"/>
    <w:rsid w:val="00833A8D"/>
    <w:rsid w:val="00844A1B"/>
    <w:rsid w:val="00862C15"/>
    <w:rsid w:val="00866D2C"/>
    <w:rsid w:val="008936FD"/>
    <w:rsid w:val="008B0283"/>
    <w:rsid w:val="008B08E2"/>
    <w:rsid w:val="008C5CF1"/>
    <w:rsid w:val="008E1BC7"/>
    <w:rsid w:val="008E3821"/>
    <w:rsid w:val="008E6109"/>
    <w:rsid w:val="008E6A5A"/>
    <w:rsid w:val="00914AAA"/>
    <w:rsid w:val="00920BB9"/>
    <w:rsid w:val="00937335"/>
    <w:rsid w:val="00972E47"/>
    <w:rsid w:val="00984899"/>
    <w:rsid w:val="009848D4"/>
    <w:rsid w:val="009B30F0"/>
    <w:rsid w:val="009B32AE"/>
    <w:rsid w:val="009C6ACE"/>
    <w:rsid w:val="009E66FE"/>
    <w:rsid w:val="00A01F1F"/>
    <w:rsid w:val="00A04806"/>
    <w:rsid w:val="00A07771"/>
    <w:rsid w:val="00A337C0"/>
    <w:rsid w:val="00A45B04"/>
    <w:rsid w:val="00A830BA"/>
    <w:rsid w:val="00A851E1"/>
    <w:rsid w:val="00AD0C57"/>
    <w:rsid w:val="00AD0ECD"/>
    <w:rsid w:val="00AD3E2A"/>
    <w:rsid w:val="00AD75AE"/>
    <w:rsid w:val="00AE710B"/>
    <w:rsid w:val="00B14642"/>
    <w:rsid w:val="00B223C7"/>
    <w:rsid w:val="00B3137B"/>
    <w:rsid w:val="00B323EA"/>
    <w:rsid w:val="00B32435"/>
    <w:rsid w:val="00B55170"/>
    <w:rsid w:val="00B81749"/>
    <w:rsid w:val="00B82BD1"/>
    <w:rsid w:val="00B82F2C"/>
    <w:rsid w:val="00BC404C"/>
    <w:rsid w:val="00BD11BA"/>
    <w:rsid w:val="00BD1A9F"/>
    <w:rsid w:val="00BF043E"/>
    <w:rsid w:val="00BF382F"/>
    <w:rsid w:val="00BF59D3"/>
    <w:rsid w:val="00C0134C"/>
    <w:rsid w:val="00C0510A"/>
    <w:rsid w:val="00C14826"/>
    <w:rsid w:val="00C274DD"/>
    <w:rsid w:val="00C312EC"/>
    <w:rsid w:val="00C4109C"/>
    <w:rsid w:val="00C65082"/>
    <w:rsid w:val="00C67079"/>
    <w:rsid w:val="00CA4926"/>
    <w:rsid w:val="00CB467D"/>
    <w:rsid w:val="00CC4A46"/>
    <w:rsid w:val="00CD75DB"/>
    <w:rsid w:val="00CF2197"/>
    <w:rsid w:val="00D00715"/>
    <w:rsid w:val="00D060F1"/>
    <w:rsid w:val="00D13254"/>
    <w:rsid w:val="00D20143"/>
    <w:rsid w:val="00D218B2"/>
    <w:rsid w:val="00D26864"/>
    <w:rsid w:val="00D26E58"/>
    <w:rsid w:val="00D27269"/>
    <w:rsid w:val="00D44942"/>
    <w:rsid w:val="00D548CB"/>
    <w:rsid w:val="00D65A9C"/>
    <w:rsid w:val="00D706DB"/>
    <w:rsid w:val="00D8490F"/>
    <w:rsid w:val="00D97950"/>
    <w:rsid w:val="00DC09B1"/>
    <w:rsid w:val="00E00036"/>
    <w:rsid w:val="00E14CA4"/>
    <w:rsid w:val="00E23560"/>
    <w:rsid w:val="00E40C0B"/>
    <w:rsid w:val="00E429F1"/>
    <w:rsid w:val="00E434E9"/>
    <w:rsid w:val="00E8482F"/>
    <w:rsid w:val="00EC7E67"/>
    <w:rsid w:val="00F074B1"/>
    <w:rsid w:val="00F647BE"/>
    <w:rsid w:val="00F85377"/>
    <w:rsid w:val="00FA62CF"/>
    <w:rsid w:val="01D35DA3"/>
    <w:rsid w:val="02E743B6"/>
    <w:rsid w:val="02F1741B"/>
    <w:rsid w:val="04911B11"/>
    <w:rsid w:val="052035FD"/>
    <w:rsid w:val="05AF70DB"/>
    <w:rsid w:val="06792773"/>
    <w:rsid w:val="0742534E"/>
    <w:rsid w:val="08B509AF"/>
    <w:rsid w:val="08E75997"/>
    <w:rsid w:val="09E12A64"/>
    <w:rsid w:val="0AF87F94"/>
    <w:rsid w:val="0B835865"/>
    <w:rsid w:val="0BF6540F"/>
    <w:rsid w:val="0C7227A7"/>
    <w:rsid w:val="0C801B16"/>
    <w:rsid w:val="0D1E33E4"/>
    <w:rsid w:val="0DAA21EE"/>
    <w:rsid w:val="0FA7589A"/>
    <w:rsid w:val="102C6852"/>
    <w:rsid w:val="1081433D"/>
    <w:rsid w:val="12D3520E"/>
    <w:rsid w:val="1396784F"/>
    <w:rsid w:val="13EC0B8A"/>
    <w:rsid w:val="14EB6229"/>
    <w:rsid w:val="155C65A7"/>
    <w:rsid w:val="15E95753"/>
    <w:rsid w:val="16F045F9"/>
    <w:rsid w:val="176E6CF3"/>
    <w:rsid w:val="17C618A3"/>
    <w:rsid w:val="185F4F4D"/>
    <w:rsid w:val="193D4B9E"/>
    <w:rsid w:val="1B4E62E5"/>
    <w:rsid w:val="1C666C77"/>
    <w:rsid w:val="1C8B4975"/>
    <w:rsid w:val="1C98798D"/>
    <w:rsid w:val="1D2D783E"/>
    <w:rsid w:val="1D9D4C68"/>
    <w:rsid w:val="1DAF458D"/>
    <w:rsid w:val="1E150A80"/>
    <w:rsid w:val="1EAA00AC"/>
    <w:rsid w:val="1FA73C1B"/>
    <w:rsid w:val="258917FB"/>
    <w:rsid w:val="27AF63CE"/>
    <w:rsid w:val="27CF2642"/>
    <w:rsid w:val="28605A33"/>
    <w:rsid w:val="294E4805"/>
    <w:rsid w:val="29E96D83"/>
    <w:rsid w:val="29EC087F"/>
    <w:rsid w:val="2A053397"/>
    <w:rsid w:val="2ABE0B21"/>
    <w:rsid w:val="2B3A3AD8"/>
    <w:rsid w:val="2D1136DF"/>
    <w:rsid w:val="2DE716FC"/>
    <w:rsid w:val="2E59285E"/>
    <w:rsid w:val="2FD27414"/>
    <w:rsid w:val="31857BAC"/>
    <w:rsid w:val="31B5304E"/>
    <w:rsid w:val="31C63837"/>
    <w:rsid w:val="33206C0F"/>
    <w:rsid w:val="33BC32B4"/>
    <w:rsid w:val="3429669A"/>
    <w:rsid w:val="34965581"/>
    <w:rsid w:val="35C5793C"/>
    <w:rsid w:val="36325697"/>
    <w:rsid w:val="36E958BB"/>
    <w:rsid w:val="370D7281"/>
    <w:rsid w:val="38CB046A"/>
    <w:rsid w:val="3A643253"/>
    <w:rsid w:val="3B5D1933"/>
    <w:rsid w:val="3D1D5019"/>
    <w:rsid w:val="3D5275AC"/>
    <w:rsid w:val="3E1A76DD"/>
    <w:rsid w:val="3E2B7A03"/>
    <w:rsid w:val="3E9A7BA4"/>
    <w:rsid w:val="3F076061"/>
    <w:rsid w:val="3F6A08C0"/>
    <w:rsid w:val="455E1F7C"/>
    <w:rsid w:val="45897ADA"/>
    <w:rsid w:val="46901EEE"/>
    <w:rsid w:val="469C74D2"/>
    <w:rsid w:val="48A52360"/>
    <w:rsid w:val="4902047E"/>
    <w:rsid w:val="4A7D4485"/>
    <w:rsid w:val="4AFC6A42"/>
    <w:rsid w:val="4C2E1A9B"/>
    <w:rsid w:val="4DE45AD9"/>
    <w:rsid w:val="4E11500F"/>
    <w:rsid w:val="4EEF1380"/>
    <w:rsid w:val="4F9D7B44"/>
    <w:rsid w:val="50DB5F45"/>
    <w:rsid w:val="512709C0"/>
    <w:rsid w:val="51DB4252"/>
    <w:rsid w:val="52314E57"/>
    <w:rsid w:val="523358A5"/>
    <w:rsid w:val="53350823"/>
    <w:rsid w:val="54054866"/>
    <w:rsid w:val="54F22EA5"/>
    <w:rsid w:val="55516A31"/>
    <w:rsid w:val="59444B98"/>
    <w:rsid w:val="59996596"/>
    <w:rsid w:val="5A8B468F"/>
    <w:rsid w:val="5C386C32"/>
    <w:rsid w:val="5D286D33"/>
    <w:rsid w:val="5D630BDE"/>
    <w:rsid w:val="5E8A0BA7"/>
    <w:rsid w:val="5FFF1C5A"/>
    <w:rsid w:val="61A46A97"/>
    <w:rsid w:val="64275BB0"/>
    <w:rsid w:val="64925820"/>
    <w:rsid w:val="6627325F"/>
    <w:rsid w:val="66F72012"/>
    <w:rsid w:val="67623B14"/>
    <w:rsid w:val="68706FD2"/>
    <w:rsid w:val="69AD798C"/>
    <w:rsid w:val="69F01279"/>
    <w:rsid w:val="6B311CD9"/>
    <w:rsid w:val="6B68175F"/>
    <w:rsid w:val="6B8500AE"/>
    <w:rsid w:val="6C81696B"/>
    <w:rsid w:val="6D587ECB"/>
    <w:rsid w:val="6DE375B7"/>
    <w:rsid w:val="6F516C58"/>
    <w:rsid w:val="6FDFD92C"/>
    <w:rsid w:val="6FFF530B"/>
    <w:rsid w:val="70A609BC"/>
    <w:rsid w:val="73FB6630"/>
    <w:rsid w:val="74060C43"/>
    <w:rsid w:val="74947C20"/>
    <w:rsid w:val="761262E7"/>
    <w:rsid w:val="76416A32"/>
    <w:rsid w:val="77022DD9"/>
    <w:rsid w:val="77ED6F44"/>
    <w:rsid w:val="7DF42720"/>
    <w:rsid w:val="7E6C6E77"/>
    <w:rsid w:val="7F726A00"/>
    <w:rsid w:val="7FB31F36"/>
    <w:rsid w:val="7FC0756C"/>
    <w:rsid w:val="7FC85347"/>
    <w:rsid w:val="BF5DD8AA"/>
    <w:rsid w:val="D3CF2FDB"/>
    <w:rsid w:val="FDFEE3F3"/>
    <w:rsid w:val="FFBF01E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Balloon Text"/>
    <w:basedOn w:val="1"/>
    <w:link w:val="16"/>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2">
    <w:name w:val="annotation reference"/>
    <w:basedOn w:val="11"/>
    <w:qFormat/>
    <w:uiPriority w:val="0"/>
    <w:rPr>
      <w:sz w:val="21"/>
      <w:szCs w:val="21"/>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ug-CN"/>
    </w:rPr>
  </w:style>
  <w:style w:type="paragraph" w:customStyle="1" w:styleId="14">
    <w:name w:val="WPSOffice手动目录 1"/>
    <w:qFormat/>
    <w:uiPriority w:val="0"/>
    <w:rPr>
      <w:rFonts w:ascii="Times New Roman" w:hAnsi="Times New Roman" w:eastAsia="宋体" w:cs="Times New Roman"/>
      <w:lang w:val="en-US" w:eastAsia="zh-CN" w:bidi="ug-CN"/>
    </w:rPr>
  </w:style>
  <w:style w:type="paragraph" w:customStyle="1" w:styleId="15">
    <w:name w:val="WPSOffice手动目录 3"/>
    <w:qFormat/>
    <w:uiPriority w:val="0"/>
    <w:pPr>
      <w:ind w:left="400" w:leftChars="400"/>
    </w:pPr>
    <w:rPr>
      <w:rFonts w:ascii="Times New Roman" w:hAnsi="Times New Roman" w:eastAsia="宋体" w:cs="Times New Roman"/>
      <w:lang w:val="en-US" w:eastAsia="zh-CN" w:bidi="ug-CN"/>
    </w:rPr>
  </w:style>
  <w:style w:type="character" w:customStyle="1" w:styleId="16">
    <w:name w:val="批注框文本 字符"/>
    <w:basedOn w:val="11"/>
    <w:link w:val="4"/>
    <w:qFormat/>
    <w:uiPriority w:val="0"/>
    <w:rPr>
      <w:kern w:val="2"/>
      <w:sz w:val="18"/>
      <w:szCs w:val="18"/>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BEECE7-2313-41ED-AECA-605B6CADA37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15</Pages>
  <Words>3940</Words>
  <Characters>7353</Characters>
  <Lines>59</Lines>
  <Paragraphs>16</Paragraphs>
  <TotalTime>20</TotalTime>
  <ScaleCrop>false</ScaleCrop>
  <LinksUpToDate>false</LinksUpToDate>
  <CharactersWithSpaces>7480</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2014-10-31T04:08:00Z</dcterms:created>
  <dc:creator>GXR</dc:creator>
  <cp:lastModifiedBy>lenovo</cp:lastModifiedBy>
  <dcterms:modified xsi:type="dcterms:W3CDTF">2023-08-15T12:47:44Z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59D8F543E4BF4B5F9BA261246CAB409B</vt:lpwstr>
  </property>
</Properties>
</file>