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2022年中央广播电视节目无线覆盖工程（数字）运行维护费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疏勒县融媒体中心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疏勒县委宣传部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汤太勇</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2023年01月11日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用于无线数字电视实现覆盖整个县域，推动且城内标清数字电视向高清数字电视过渡,逐步实现全高清传输，提高广播电视覆盖率，满足群众的精神文化需求，及时将党的声音传达到干家万户，更好的发挥融媒体中心的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融媒体中心为全额事业单位，纳入2022年部门决算编制范围的有内设7个科室， 信息采集部、编辑制作部、总编室、策划部、审读译制部、技术运维部、后勤保障部。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编制人数29人，其中：行政人员编制0人、事业编制29人。实有在职人数26人，其中：事业在职26人，退休人员7人。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该项目实施主体疏勒县融媒体中心，主要职能为：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（1）贯彻执行国家关于融媒体发展和新闻宣传意识形态方面工作的法律法规、规章和政策，把握准确的舆论和导向制作。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（2）整合县域内广播电视、报刊、新媒体等资源，利用媒体融合的优势进行内外宣传报道，传播新闻信息。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（3）负责疏勒县融媒体中心网络视听节目、广播电视节目内容和质量的审核工作。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（4）负责疏勒县广播电视的传输覆盖和安全播出工作。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（5）负责全县新闻宣传业务管理和对外通联工作；协助配合上级媒体和新闻单位采访和其他工作。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（6）负责对中心人、财、物实行统一管理，负责管理中心各类资金、国有资产和各项年度事业经费。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（7）承办县委、县政府和上级主管业务部门交办的其他工作。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保障4部发射机的正常运行，其中10万元用于支付电费，1.6万元用于设备耗材及维修，16万元用于发射机房维修维护及设备耗材，3.6万元用于支付劳务费,无线数字电视实现覆盖整个县域，推动县城内标清数字电视向高清数字电视过渡，逐步实现全高清传输，提高广播电视覆盖率，满足群众的精神文化需求，及时将党的声音传达到千家万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该项目资金主要用于无线数字电视实现覆盖整个县域，推动县城内标清数字电视向高清数字电视过渡，逐步实现全高清传输，提高广播电视覆盖率，满足群众的精神文化需求，及时将党的声音传达到千家万户，更好的发挥融媒体中心的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喀地财教【2022】10号共安排下达资金31.2万元，为专项资金，最终确定项目资金总数为31.2万元。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截至2022年12月31日，实际支出31.2万元，预算执行率100%。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用于无线数字电视实现覆盖整个具域，推动且城内标清数字电视向高清数字电视过渡,逐步实现全高清传输，提高广播电视覆盖率，满足群众的精神文化需求，及时将党的声音传达到干家万户，更好的发挥融媒体中心的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教【2022】10号文件，及时告知单位的分管领导，开会研究资金的使用计划，并制定项目实施方案、自评表等准备工作，提交到相关部门进行审核。做好财政系统的项目库和一上等流程，逐一提交审核。项目审核通过后，按照上级部门要求以及项目实施内容的要求，做好资金支付申请与拨付，做好项目的各项指标的监管，及时上传项目</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的相关印证材料，确保项目有计划的实施。项目实施完毕，严格按照上级部门要求，做好项目验收工作，按照绩效系统的要求，做好项目绩效上报要求，确保项目保质完成。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本项目设置一级指标3个，二级指标9个，三级指标18个，指标量化率88.89%。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数量指标：障电视设备（套），年初目标值2套，数字发射机采集控制器（部），年初目标值4部，电视节目播出天数（天），年初目标值365天；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质量指标：电视实现三满运行率，年初目标值100%，设备参数合格率年初目标值100%，节目安全播出率，年初目标值99%；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时效指标：资金支付及时率，年初目标值100%，电视日均播放时间（小时），年初目标值20小时；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成本指标：聘用电工人员劳务费成本控制数（万元），年初目标值3.6万元，发射机房设备购置成本控制数（万元），年初目标值17.6万元，发射机房电费成本控制数（万元），年初目标值10万元；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经济效益指标：强化机房人、财、物管理，降低运维成本，年初目标值有效降低；</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社会效益指标：广播电视宣传覆盖率，年初目标值98%，提高各族群众收听收看节自的及时率，年初目标值95%；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生态效益指标：加强技术改造，降低电磁污染，年初目标值有效降低；</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可持续影响指标：合理配置播发设备，提升电视覆盖率，年初目标值98%；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满意度指标：受众满意度，年初目标值95%，职能部门人员满意度，年初目标值95%。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5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绩效评价方法的选用坚持简便有效的原则采用综合分析法。本次绩效评价采用历史标准对绩效指标完成情况进行对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阿卜杜艾尼·喀迪尔任评价组组长，绩效评价工作职责为负责全盘工作。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阿依帕夏·图拉普任评价组副组长，绩效评价工作职责为为对项目实施情况进行实地调查。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吴东灿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保障4部发射机的正常运行，其中10万元用于支付电费，1.6万元用手设备耗材及维修，16万元用于发射机房维修维护及设备耗材，3.6万元用于支付劳务费，无线数字电视实现覆盖整个县域，推动县城内标清数学电视向高清数字电视过渡，逐步实现全高清传输，提高广播电视覆盖率，满足群众的精神文化需求，及时将党的声音传达到千家万户。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融媒体中心按照要求随同部门决算向本级财政部门报送绩效自评结果。疏勒县融媒体中心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疏勒县融媒体中心按照要求将绩效评价结果分别编入政府决算和本部门决算，报送本级人民代表大会常务委员会，并依法予以公开。我局完全按此要求执行。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部门绩效档案应包括以下内容：疏勒县融媒体中心制定的规章制度、项目的立项批复、部门目标申报表、行业部门预算表、部门绩效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（1）立项依据充分性：结合疏勒县融媒体中心职责，并组织实施。围绕疏勒县融媒体中心年度工作重点和工作计划制定经费预算，根据评分标准，该指标不扣分，得3分。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（2）立项程序规范性：根据决策依据编制工作计划和经费预算，经过与本部门分管领导进行沟通、筛选确定经费预算计划，上党委会研究确定最终预算方案，根据评分标准，该指标不扣分，得2分。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制度执行有效性：由部门提出经费预算支出可行性方案，经过与单位分管领导沟通后，报党组会议研究执行，财务对资金的使用合法合规性进行监督，年底对资金使用效果进行自评，根据评分标准，该指标不扣分，得3分。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项目产出类指标包括产出数量、产出质量、产出时效、产出成本四方面的内容，由11个三级指标构成，权重分为40分，实际得分40分，得分率为100%。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保障电视设备2套，根据情况说明可知，与预期目标一致，该指标不扣分，得4分。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数字发射机采集控制器4部，根据情况说明可知，与预期目标一致，该指标不扣分，得3分。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电视节目播出天数365天，根据工作报告总结可知，与预期目标一致，该指标不扣分，得3分。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电视实现三满运行率100%，根据工作报告总结可知，与预期目标一致，该指标不扣分，得4分。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设备参数合格率100%，根据工作报告总结可知，与预期目标一致，该指标不扣分，得3分。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节目安全播出率99%，根据工作报告总结可知，与预期目标一致，该指标不扣分，得3分。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资金支付及时率100%，根据《财务记账凭证及附件》可知，与预期目标指标一致，该指标不扣分，得5分。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电视日均播放时间20小时，根据工作报告总结可知，与预期目标指标一致，该指标不扣分，得5分。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聘用电工人员劳务费成本控制数3.6万元，根据《财务记账凭证及附件》可知，与预期目标指标一致，该指标不扣分，得4分。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发射机房设备购置成本控制数17.6万元，根据《财务记账凭证及附件》可知，该指标不扣分，得3分。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发射机房电费成本控制数10万元，根据《财务记账凭证及附件》可知，该指标不扣分，得3分。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项目效益类指标包括项目效益5个方面的内容，由7个三级指标构成，权重分为20分，实际得分20分，得分率为100%。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广播电视宣传覆盖率98%，根据工作报告总结可知，与预期指标一致，该指标不扣分，得2分。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提高各族群众收听收看节自的及时率，全年实际完成值为95%；，根据工作报告总结可知，该指标不扣分，得2分。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合理配置播发设备，提升电视覆盖率98%，根据工作报告总结可知，与预期指标一致，该指标不扣分，得2分。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强化机房人、财、物管理，有效降低降低运维成本，根据工作报告总结可知，与预期指标一致，该指标不扣分，得2分。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加强技术改造，有效降低降低电磁污染，根据工作报告总结可知，与预期指标一致，该指标不扣分，得2分。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对于“满意度指标：受众满意度95%，根据《疏勒县融媒体中心2022年中央广播电视节目无线覆盖工程（数字）运行维护项目满意度问卷调查》可知，与预期目标一致，与预期目标一致，该指标不扣分,得5分。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职能部门人员满意度95%，根据《疏勒县融媒体中心2022年中央广播电视节目无线覆盖工程（数字）运行维护项目满意度问卷调查》可知，与预期目标一致，该指标不扣分,得5分。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2022年中央广播电视节目无线覆盖工程（数字）运行维护项目预算31.2万元，到位31.2万元，实际支出31.2万元，预算执行率为100%，项目绩效指标总体完成率为100%，偏差率为0%,无偏差。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1.单位成立了以书记为组长、各部室主任为成员的绩效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工作领导小组，通过实地调研，计划和实际的数据对比分析等方式，召开专题会议，全面了解各项资金项目的使用效率和效果，财务室负责制定本年度资金使用计划及方案，同时做好准备相关资料，领导和有关科室负责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专门的负责人管理无线数字覆盖软件及硬件上的维护维修，及时协调人员对出故障的发射机进行维修维护，同时加强定期开展设备的巡查，确保无线数字覆盖正常运行。对项目设施、设备状况和技术指标进行认真细致的检查摸排列出各项维护、维修及设备更新，保养清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机房中设备存在老化等状况，使得相关区域无法接收相应信息，存在覆盖盲点，机房在改造过程中，缺乏对机房技术发射面的关注，这就使得很多机房的建设工作难以全面的适应发射机装置的应用控制需要，许多与机房相关的辅助性设施难以完整的按照附属性质设备的工艺要求进行有效的布置处理，难以要保证充分适应广播电视的覆盖化技术操作运行特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在广播电视无线覆盖工作中，时常会面临监管问题，具体展现在发射主题设备、台站基础设备及附属设备等方面。与其他行业的安装施工进行对比，广播电视覆盖工程施工队伍比较单一化，在无线广播电视基站频率调试和波段的检测中，要加强检测仪器的应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在机房建设改造中，应该对机房和天线之间间距综合思考，保证在合理范畴内。并且，结合施工要求，适当缩减两者间距，这样可以降低无线信号在传输中受到的影响。此外，可以适当安装机房防风、防潮等设备，保证室内空间充足，不但要满足信号传递对空间要求同时还要给广播电视无线覆盖扩充范畴提供条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在广播电视无线覆盖过程中，发射主体设备验收由各个台站负责人组织管理，应用的检测设备由建设部门提供。另外还要做好设备调试工作，数据调试通过后，还要结合调试数据进行现场勘察，之后对信号传递稳定性进行检测，得出检测数据，将其反馈给上级部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我单位对上述项目支出绩效评价报告内反映内容的真实性、完整性负责，接受上级部门及社会公众监督。 </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616F3B-B52E-4AA1-8A92-2D296F8C98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CC29444-EAA4-44A8-AACF-82D40E384D72}"/>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09D16990-02C8-4CC3-9492-632B5D443419}"/>
  </w:font>
  <w:font w:name="仿宋_GB2312">
    <w:altName w:val="仿宋"/>
    <w:panose1 w:val="00000000000000000000"/>
    <w:charset w:val="86"/>
    <w:family w:val="modern"/>
    <w:pitch w:val="default"/>
    <w:sig w:usb0="00000000" w:usb1="00000000" w:usb2="00000000" w:usb3="00000000" w:csb0="00040000" w:csb1="00000000"/>
    <w:embedRegular r:id="rId4" w:fontKey="{02E2967A-C4D3-4600-88C7-8A480C6B1E07}"/>
  </w:font>
  <w:font w:name="楷体">
    <w:panose1 w:val="02010609060101010101"/>
    <w:charset w:val="86"/>
    <w:family w:val="modern"/>
    <w:pitch w:val="default"/>
    <w:sig w:usb0="800002BF" w:usb1="38CF7CFA" w:usb2="00000016" w:usb3="00000000" w:csb0="00040001" w:csb1="00000000"/>
    <w:embedRegular r:id="rId5" w:fontKey="{4AAF3C8C-B635-4194-A12D-2CDB4A0F39BE}"/>
  </w:font>
  <w:font w:name="方正仿宋_GBK">
    <w:panose1 w:val="02000000000000000000"/>
    <w:charset w:val="86"/>
    <w:family w:val="auto"/>
    <w:pitch w:val="default"/>
    <w:sig w:usb0="A00002BF" w:usb1="38CF7CFA" w:usb2="00082016" w:usb3="00000000" w:csb0="00040001" w:csb1="00000000"/>
    <w:embedRegular r:id="rId6" w:fontKey="{1B7EB5F6-E2EF-49C5-980F-DC38586D2760}"/>
  </w:font>
  <w:font w:name="仿宋">
    <w:panose1 w:val="02010609060101010101"/>
    <w:charset w:val="86"/>
    <w:family w:val="modern"/>
    <w:pitch w:val="default"/>
    <w:sig w:usb0="800002BF" w:usb1="38CF7CFA" w:usb2="00000016" w:usb3="00000000" w:csb0="00040001" w:csb1="00000000"/>
    <w:embedRegular r:id="rId7" w:fontKey="{998AE3B2-3CE1-4A7A-B9B5-0A0CD48C88B0}"/>
  </w:font>
  <w:font w:name="方正楷体_GBK">
    <w:altName w:val="微软雅黑"/>
    <w:panose1 w:val="00000000000000000000"/>
    <w:charset w:val="86"/>
    <w:family w:val="auto"/>
    <w:pitch w:val="default"/>
    <w:sig w:usb0="00000000" w:usb1="00000000" w:usb2="00000000" w:usb3="00000000" w:csb0="00040000" w:csb1="00000000"/>
    <w:embedRegular r:id="rId8" w:fontKey="{C46457FB-646D-4B55-9923-C1214A3F94AE}"/>
  </w:font>
  <w:font w:name="方正黑体_GBK">
    <w:altName w:val="微软雅黑"/>
    <w:panose1 w:val="00000000000000000000"/>
    <w:charset w:val="86"/>
    <w:family w:val="auto"/>
    <w:pitch w:val="default"/>
    <w:sig w:usb0="00000000" w:usb1="00000000" w:usb2="00000000" w:usb3="00000000" w:csb0="00040000" w:csb1="00000000"/>
    <w:embedRegular r:id="rId9" w:fontKey="{87E7D539-7278-4D37-8271-55DFCE8B7CB8}"/>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1AEC5F0D"/>
    <w:rsid w:val="2AE11386"/>
    <w:rsid w:val="2D5A6638"/>
    <w:rsid w:val="3FE03B17"/>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2023-11-03T09:23:43Z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3FC2AA04D6B241FA8D4FFD447EA7F75A_12</vt:lpwstr>
  </property>
</Properties>
</file>