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2022年残疾人事业发展补助项目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疏勒县残疾人联合会(本级)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残疾人联合会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魏秋敏</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2022年残疾人康复训练、基本康复服务、辅具适配、实业技术培训、寄宿制托养等项目实施前期、过程及效果，评价财政预算资金使用的效率及效益。通过该项目的实施，完成精准康复服务、残疾儿童康复救助、成人肢体康复训练、精神病人服药补助、辅具购置发放、农村实用技术培训、寄宿制托养补助、扶持残疾人按摩机构等年度工作，提高了残疾人生活自理能力和社会参与能力、提高了残疾人发展生产能力、机构托养残疾人的生活水平和康复水平、残疾人就业机构功能等目标。通过开展此项目有效改善残疾人生活，减轻残疾人家庭经济负担。</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疏勒县残联为全额拨款事业单位，纳入2022年部门决算编制范围的有5个办公室：行政办公室、残联业务办公室、康复室、辅具供应室、就业培训室。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编制人数12人，其中：参公6人、事业编制6人。实有在职人数13人，其中：参公5人、事业在职8人。离退休人员5人，其中：行政退休人员5人。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服务于疏勒县各类残疾人能力恢复。在疏勒县残联带动和引导下，需要完成精准康复服务、残疾儿童康复救助、成人肢体康复训练、精神病人服药补助、辅具购置发放、农村实用技术培训、寄宿制托养补助、扶持残疾人按摩机构等年度工作，要达到提高残疾人生活自理能力和社会参与能力、提高残疾人发展生产能力、提高机构托养残疾人的生活水平和康复水平、提高残疾人就业机构功能等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【2021】101号共安排下达资金41.9万元，【2021】82号共安排下达资金54.73万元，为一般公共预算资金，最终确定项目资金总数为96.63万元。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截至2022年12月31日，实际支出96.63万元，预算执行率100%。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服务于疏勒县各类残疾人能力恢复。在疏勒县残联带动和引导下，需要完成精准康复服务、残疾儿童康复救助、成人肢体康复训练、精神病人服药补助、辅具购置发放、农村实用技术培训、寄宿制托养补助、扶持残疾人按摩机构等年度工作，要达到提高残疾人生活自理能力和社会参与能力、提高残疾人发展生产能力、提高机构托养残疾人的生活水平和康复水平、提高残疾人就业机构功能等目标。通过项目开展，努力实现残疾人及残疾儿童普遍享有基本康复服务；帮助农村贫困残疾人提高生产增收技能；及时进行残疾人服务相关信息数据的动态更新，及时掌握残疾人的基本服务状况和需求；努力提高受助残疾人生活自理和社会参与能力。营造关爱关心残疾人的社会氛围，将党和国家的温暖送到广大残疾人家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项目前期准备阶段：由县残联业务室下发项目实施通知文件、由乡镇残联上报各类残疾人需求名单。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项目实施阶段：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（1）县残联党支部对乡镇残联上报的名单进行审核、确定项目对象，对审核合格的项目对象名单下达各乡镇公示。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（2）由县残联根据残疾人需求名单政府采购辅具，组织康复训练，发放各类补贴，开展实业技术培训。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实施结果阶段：县残联业务室将收集相关材料，县残联财务室负责申请审批资金，录入系统。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该项目有效影响各类残疾人恢复或部分恢复听力和语言、肢体、精神、发展生产各方面能力，为残疾人今后参与学校教育、就业等发展注入了新元素。项目的实施对残疾人家庭产生较大影响，使残疾人家庭重视残疾人康复，减少残疾人家庭经济负担，为残疾人家庭带来希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如：本项目设置一级指标3个，二级指标6个，三级指标28个，指标量化率82.14%。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①精准康复残疾人人数，年初目标值大于等于1600人。②精神病服药人数、年初目标值大于等于30人。③肢体残疾人康复训练人数、年初目标值大于等于10人。④辅具购置配发残疾人数、年初目标值大于等于155人。⑤残疾人托养人数、年初目标值大于等于60人。⑥残疾人实用技术培训人数、年初目标值大于等于30人。⑦残疾儿童康复救助、年初目标值大于等于10人。⑧扶持残疾人按摩机构、年初目标值大于等于5个。⑨残疾人寄宿制托养、年初目标值大于等于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质量指标：①有需求的困难残疾人得到基本康复服务率、年初目标值大于等于82%。②辅具购置产品合格率、年初目标值等于100%。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时效指标：①项目完成时间，年初目标值2022年12月。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②资金支付及时率，年初目标值等于100%。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成本指标：①基本康复服务补贴标准，年初目标值小于等于190元/人。②精神病人服药补助标准，年初目标值小于等于900元/人。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③成人肢体康复训练补贴标准，年初目标值小于等于3000元/人。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④辅具购置人均补助，年初目标值小于等于900元/人。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⑤残疾人实用技术培训补助标准，年初目标值小于等于1500元/人。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⑥残疾人托养服务标准，年初目标值小于等于3000元/人。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⑦残疾儿童康复救助人均标准，年初目标值小于等于17000元/人。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⑧扶持残疾人按摩机构标准，年初目标值小于等于10000元/个。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⑨残疾人寄宿制托养标准，年初目标值小于等于2600元/人。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残疾人康复服务水平、年初目标值：有效提高。关心、理解、支持残疾人的社会氛围、年初目标值：有效提高。提高残疾儿童参与社会生产生活的能力、年初目标值：有效提高。接受农村实用技术培训的残疾人生活生产能力、年初目标值：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满意度指标：重度残疾人护理补贴发放准确率，年初目标值大于等于95%。接受农村实用技术培训残疾人及家属满意度年初目标值大于等于95%。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残疾人事业发展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的目的是发现预算资金在项目立项、执行管理中制度保障、实际操作方面的缺陷和薄弱环节，同时总结提炼项目和部门的经验做法，为残联预算部门改进、完善项目管理和预算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残疾人事业发展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绩效评价标准通常包括计划标准、行业标准、历史标准等，用于对绩效指标完成情况进行比较、分析、评价。本次评价主要采用了计划标准、行业标准、历史标准标准。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魏秋敏理事长任评价组组长，绩效评价工作职责为负责全盘工作。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穆合塔尔·阿卜杜热合曼副理事长任评价组副组长，绩效评价工作职责为为对项目实施情况进行实地调查。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黄琰任评价组成员，绩效评价工作职责为负责资料审核等工作。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经评价组通过实地调研、综合分析法、问卷调查法等方式，主要实地调研、综合分析法、问卷调查法对项目的决策、实施、产出、效益进行综合评价分析，最终评分100分。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项目开展，努力实现残疾人及残疾儿童普遍享有基本康复服务；帮助农村贫困残疾人提高生产增收技能；及时进行残疾人服务相关信息数据的动态更新，及时掌握残疾人的基本服务状况和需求；努力提高受助残疾人生活自理和社会参与能力。营造关爱关心残疾人的社会氛围，将党和国家的温暖送到广大残疾人家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残联按照要求随同部门决算向本级财政部门报送绩效自评结果。疏勒县残联通过对自评结果的整理、分析，将自评结果作为疏勒县残联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疏勒县残联财政部门、预算部门按照要求将绩效评价结果分别编入政府决算和本部门决算，报送本级人民代表大会常务委员会，并依法予以公开。疏勒县残联完全按此要求执行。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部门绩效档案应包括以下内容：疏勒县残联制定的规章制度、项目的立项批复、部门目标申报表、行业部门预算表、部门绩效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（1）立项依据充分性：结合2021年残联工作职责，并组织实施。围绕2021年县残联年度工作重点和工作计划制定经费预算，根据评分标准，该指标不扣分，得3分。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（2）立项程序规范性：根据决策依据编制工作计划和经费预算，经过县残联财政领导小组会议进行沟通、筛选确定经费预算计划，上党支部会研究确定最终预算方案，根据评分标准，该指标不扣分，得2分。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（3）绩效目标合理性：制定了残疾人事业发展项目实施方案，明确了总体思路及目标、并对任务进行了详细分解，对目标进行了细化，根据评分标准，该指标不扣分，得3分。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将残疾人事业发展项目绩效目标细化分解为具体的绩效指标，根据评分标准，该指标不扣分，得2分。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预算编制经过科学论证，内容与项目内容匹配，项目投资额与残疾人事业发展工作任务相匹配，根据评分标准，该指标不扣分，得5分。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（6）资金分配合理性：资金分配与实际残疾人事业发展项目资金支出相适应，根据评分标准，该指标不扣分，得5分。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（1）资金到位率：该残疾人事业发展项目财政资金足额拨付到位，县残联能够及时足额按照合同约定将专项资金拨付给民政局、县人民医院、辅具采购商，根据评分标准，该指标不扣分，得5分。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（2）预算执行率：预算编制较为详细，残疾人事业发展项目资金支出总体能够按照预算执行，根据评分标准，该指标不扣分，得5分。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（3）资金使用合规性：制定了残疾人事业发展项目相关的制度和管理规定对经费使用进行规范管理，制定残联财务制度、执行严格，根据评分标准，该指标不扣分，得5分。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（4）管理制度健全性：制定了残联项目实施管理办法，对财政专项资金进行严格管理，做到了专款专用，不挪用，不截留，不浪费，根据评分标准，该指标不扣分，得2分。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财务室提出经费预算支出可行性方案，经过县残联财经领导小组会议研究、报党支部会议研究批准，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①精准康复残疾人人数大于等于1600人，根据2022年精准康复残疾人花名册可知，与预期目标一致，根据评分标准，该指标不扣分，得2分。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②精神病服药人数大于等于30人、根据2022年精神病服药花名册可知与预期目标一致，根据评分标准，该指标不扣分，得1分。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③肢体残疾人康复训练人数大于等于10人、根据2022年残疾人康复训练花名册可知与预期目标一致，根据评分标准，该指标不扣分，得1分。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④辅具购置配发残疾人数大于等于155人、根据2022年辅具发放花名册可知与预期目标一致，根据评分标准，该指标不扣分，得1分。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⑤残疾人托养人数大于等于60人、根据2022年托养残疾人花名册可知与预期目标一致，根据评分标准，该指标不扣分，得1分。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⑥残疾人实用技术培训人数大于等于30人、根据2022年实用技术培训残疾人花名册可知与预期目标一致，根据评分标准，该指标不扣分，得1分。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⑦残疾儿童康复救助大于等于10人、根据2022年残疾儿童康复花名册可知与预期目标一致，根据评分标准，该指标不扣分，得1分。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⑧扶持残疾人按摩机构大于等于5个、根据2022年扶持残疾人按摩机构花名册可知与预期目标一致，根据评分标准，该指标不扣分，得1分。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⑨残疾人寄宿制托养大于等于8人、根据2022年寄宿制托养残疾人花名册可知与预期目标一致，根据评分标准，该指标不扣分，得1分。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①有需求的困难残疾人得到基本康复服务率大于82%、与预期目标一致，根据评分标准，该指标不扣分，得5分。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②辅具购置产品合格率100%、与预期目标一致，根据评分标准，该指标不扣分，得5分。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①项目完成时间2022年12月、与预期目标指标一致，根据评分标准，该指标不扣分，得5分。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②资金支付及时率100%、与预期目标指标一致，根据评分标准，该指标不扣分，得5分。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①基本康复服务补贴标准小于等于190元/人、与预期目标一致，根据评分标准，该指标不扣分，得2分。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②精神病人服药补助标准小于等于900元/人、与预期目标一致，根据评分标准，该指标不扣分，得1分。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③成人肢体康复训练补贴标准小于等于3000元/人、与预期目标一致，根据评分标准，该指标不扣分，得1分。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④辅具购置人均补助小于等于900元/人、与预期目标一致，根据评分标准，该指标不扣分，得1分。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⑤残疾人实用技术培训补助标准小于等于1500元/人、与预期目标一致，根据评分标准，该指标不扣分，得1分。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⑥残疾人托养服务标准小于等于3000元/人、与预期目标一致，根据评分标准，该指标不扣分，得1分。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⑦残疾儿童康复救助人均标准小于等于17000元/人、与预期目标一致，根据评分标准，该指标不扣分，得1分。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⑧扶持残疾人按摩机构标准小于等于10000元/个、与预期目标一致，根据评分标准，该指标不扣分，得1分。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⑨残疾人寄宿制托养标准小于等于2600元/人、与预期目标一致，根据评分标准，该指标不扣分，得1分。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康复服务水平有效提高，关心、理解、支持残疾人的社会氛围有效提高，提高残疾儿童参与社会生产生活的能力有效提高，接受农村实用技术培训的残疾人生活生产能力有效提高,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对于“满意度指标：重度残疾人护理补贴发放准确率和接受农村实用技术培训残疾人及家属满意度都达到100%，与预期目标不一致，根据评分标准，该指标不扣分,得10分。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残疾人事业发展补助资金项目预算96.63万元，到位96.63万元，实际支出96.63万元，预算执行率为100%，项目绩效指标总体完成率为100.4%，存在偏差。偏差原因： 满意度100.4%比预期目标高0.4%，属于合理偏差。采取的措施：参考去年实际完成情况，设置本年度目标，加强对目标的精准设置。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残疾人事业发展项目实施方案》执行，项目执行情况较好。二是加强组织领导，本项目绩效评价工作，有单位主要领导魏秋敏亲自挂帅，分管副职领导穆合塔尔·阿卜杜热合曼具体负责，从项目到资金，均能后很好的执行。三是加强沟通协调，我单位及时与乡镇残联沟通，检查项目执行情况，督促项目进度，确保项目按期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1.乡镇残联配合力度不够；2.残疾人联合会项目评价组缺少带着问题去评价的意识；3.残疾人事业发展补助资金项目现场评价的工作量少，后续效益评价具体措施和方法较少。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1.建议乡镇党委政府加大对残疾人事业的重视和支持力度。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残疾人联合会项目评价组加大带着问题去评价的力度。通过绩效管理，发现实施中存在漏洞，评价工作应多到工作现场，从项目实施方案源头抓起，根据实际将评价工作和意识贯穿到项目启动、康复训练、实业培训过程、效果评估整个过程。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3．评价工作应从残疾人事业发展补助项目实施方案源头抓起，评价工作和意识应贯穿项目整个过程。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E98C1E-3BFB-42E5-A42C-11BC3BBC56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5A0C2F0-5B52-42FD-AC40-2CBAB5955C76}"/>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44ABC56D-C5C7-49E2-9AF2-76F3D595B118}"/>
  </w:font>
  <w:font w:name="楷体">
    <w:panose1 w:val="02010609060101010101"/>
    <w:charset w:val="86"/>
    <w:family w:val="modern"/>
    <w:pitch w:val="default"/>
    <w:sig w:usb0="800002BF" w:usb1="38CF7CFA" w:usb2="00000016" w:usb3="00000000" w:csb0="00040001" w:csb1="00000000"/>
    <w:embedRegular r:id="rId4" w:fontKey="{92E5A40C-AF45-4D9C-9769-92B4B4609897}"/>
  </w:font>
  <w:font w:name="方正仿宋_GBK">
    <w:panose1 w:val="02000000000000000000"/>
    <w:charset w:val="86"/>
    <w:family w:val="auto"/>
    <w:pitch w:val="default"/>
    <w:sig w:usb0="A00002BF" w:usb1="38CF7CFA" w:usb2="00082016" w:usb3="00000000" w:csb0="00040001" w:csb1="00000000"/>
    <w:embedRegular r:id="rId5" w:fontKey="{43DE0C40-E7F5-4E50-99EA-71397B41B616}"/>
  </w:font>
  <w:font w:name="仿宋">
    <w:panose1 w:val="02010609060101010101"/>
    <w:charset w:val="86"/>
    <w:family w:val="modern"/>
    <w:pitch w:val="default"/>
    <w:sig w:usb0="800002BF" w:usb1="38CF7CFA" w:usb2="00000016" w:usb3="00000000" w:csb0="00040001" w:csb1="00000000"/>
    <w:embedRegular r:id="rId6" w:fontKey="{1BB9C8A6-C91E-4875-829D-F1426EF78E24}"/>
  </w:font>
  <w:font w:name="方正楷体_GBK">
    <w:altName w:val="微软雅黑"/>
    <w:panose1 w:val="00000000000000000000"/>
    <w:charset w:val="86"/>
    <w:family w:val="auto"/>
    <w:pitch w:val="default"/>
    <w:sig w:usb0="00000000" w:usb1="00000000" w:usb2="00000000" w:usb3="00000000" w:csb0="00040000" w:csb1="00000000"/>
    <w:embedRegular r:id="rId7" w:fontKey="{B72ED1B8-9D94-4AFB-81E2-09CBAD2585D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92C7F22"/>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2023-11-03T08:16:02Z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2F986306DFF74718A9A0AC22804E91AE_12</vt:lpwstr>
  </property>
</Properties>
</file>