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疏勒县纪委监委案件处理专项经费结转项目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疏勒县纪检、监察委员会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县委、县人民政府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田康</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计划保障人员人数112人，保障公务用车15辆，案件处理经费涉及单位16个（县纪委监委、各乡（镇）纪委监委办公室）。计划人员考核率达到100%，案件办结率不低于95%。保障县纪委监委、各乡（镇）纪委监委办公室查处贪污贿赂、失职渎职以及预防职务犯罪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共疏勒县纪律检查委员会是财政全额拨款一级行政预算单位，实行独立财务核算，执行行政单位会计制度，现有10个内设机构，纳入2022年部门决算编制范围，中共疏勒县纪律检查委员会现有内设机构9个，办公室、组织部（干部监督室）、宣传部（政策法规研究室）、党风政风监督室、信访室、案件监督管理室、第一至第四纪检监察室 、案件审理室、机关党总支。中共疏勒县纪纪律检查委员会机关行政编制134名，其中：行政编制118名，事业编制14名，机关工勤2名。2022年中共疏勒县纪律检查委员会在职在编人员112人，其中：公务员99人，全额事业13人，退休6人，其他供养5人，县自聘2人。实有人员112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经费主要保障案件处理涉及单位16个（本级及15个乡镇），15辆公务用车的正常运转。案件办结率达到95%，争取任务按期完成率达到100%。该项目建设主要县纪委监委日常办案工作经费保障，保障各乡（镇）查处贪污、贿赂、失职渎职及以预防职务犯罪等工作，促进党内政治生态展现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疏勒县纪委监委案件处理专项经费结转项目【2020】27号共安排下达资金77.48万元，为专项资金，最终确定项目资金总数为77.48万元。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截至2022年12月31日，实际支出77.48万元，预算执行率100%。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保障人员人数112人，保障公务用车15辆，案件处理经费涉及单位16个（县纪委监委、各乡（镇）纪委监委办公室）。计划人员考核率达到100%，案件办结率不低于95%。保障县纪委监委、各乡（镇）纪委监委办公室查处贪污贿赂、失职渎职以及预防职务犯罪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预算法》、《中共中央国务院关于全面实施预算绩效管理的意见》（中发【2018】34号）《自治区党委自治区人民政府关于全面实施预算绩效管理暂行办法》（新党发【2018】30号）、《财政支出绩效评价管理暂行办法》（财预【2020】10号),等相关规定，结合我单位对项目的实施的规章制度以及相关财务要求，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本项目设置一级指标3个，二级指标6个，三级指标8个，指标量化率87.5%。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数量指标：案件处理经费涉及单位（个），年初目标值16个；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质量指标：资金执行合规率（%），年初目标值100%；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时效指标：资金拨付及时率（%），年初目标值100%；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成本指标：谈话点经费保障（万元），年初目标值10万元；保障日常运转经费（万元），年初目标值45万元；各派驻组经费保障（万元），年初目标值22.48万元；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社会效益指标：提升业务能力，年初目标值稳步提升；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满意度指标：纪委监委基层部门人员满意度，年初目标值95%。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1个一级指标，其中：项目决策下设项目立项、绩效目标、资金投入2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绩效评价标准通常包括计划标准、行业标准、历史标准等，用于对绩效指标完成情况进行比较、分析、评价。本次评价主要采用了计划标准、行业标准。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田康任评价组组长，绩效评价工作职责为负责全盘工作。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郑勇任评价组副组长，绩效评价工作职责为为对项目实施情况进行实地调查。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姚雪玲任评价组成员，绩效评价工作职责为负责资料审核等工作。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资金保障了县纪委监委日常工作经费支出45万元，各个谈话点经费保障支出10万元，各派驻组经费保函支出22.48万元。人员考核率达到100%，案件办结率不低于95%，任务按期完成率达到100%，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共疏勒县纪律检查委员会按照要求随同部门决算向本级财政部门报送绩效自评结果。中共疏勒县纪律检查委员会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中共疏勒县纪律检查委员会财政部门、预算部门按照要求将绩效评价结果分别编入政府决算和本部门决算，报送本级人民代表大会常务委员会，并依法予以公开。我局完全按此要求执行。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部门绩效档案应包括以下内容：中共疏勒县纪律检查委员会制定的规章制度、项目的立项批复、部门目标申报表、行业部门预算表、部门绩效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（1）立项依据充分性：结合纪委监委监督执纪的职责，并组织实施。围绕2022年度工作重点和工作计划制定经费预算，根据评分标准，该指标不扣分，得3分。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（2）立项程序规范性：根据决策依据编制工作计划和经费预算，经过与单位分管领导进行沟通、筛选确定经费预算计划，上党委会研究确定最终预算方案，根据评分标准，该指标不扣分，得2分。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项目产出类指标包括产出数量、产出质量、产出时效、产出成本4方面的内容，由6个三级指标构成，权重分为40分，实际得分40分，得分率为100%。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案件处理经费涉及单位16个，与预期目标一致，根据评分标准，该指标不扣分，得10分。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资金执行合规率100%，与预期目标一致，根据评分标准，该指标不扣分，得10分。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谈话点经费保障金额10万元，项目经费都能控制绩效目标范围内，根据评分标准，该指标不扣分，得3分。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保障日常运转经费金额45万元，项目经费都能控制绩效目标范围内，根据评分标准，该指标不扣分，得3分。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各派驻组经费保障金额22.48万元，项目经费都能控制绩效目标范围内，根据评分标准，该指标不扣分，得4分。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项目效益类指标包括经济效益、社会效益、可持续影响生态效益、满意度个5方面的内容，由2个三级指标构成，权重分为20分，实际得分20分，得分率为100%。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提升业务能力，与预期指标一致，根据评分标准，该指标不扣分，得10分。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对于“满意度指标：纪委监委基层部门人员满意度95%，与预期目标一致，根据评分标准，该指标不扣分,得10分。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项目效益指标合计得20分。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疏勒县纪委监委案件处理专项经费结转项目预算77.48万元，到位77.48万元，实际支出77.48万元，预算执行率为100%，项目绩效指标总体完成率为100%，无偏差。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对项目的支出严格按照专项资金管理办法和要求使用本项目资金。在实施过程中均按照相关规定严格执行资金支付程序，严格按照保障需求、节约开支、从严控制，调剂优先，共享共用的原则，凡是符合政府采购要求的资产及物品均按政府采购程序进行采购。本项目能够严格按照《项目实施方案》执行，项目执行情况较好。加强沟通协调，我单位及时向主要领导汇报项目支出进度，加强与项目实施单位的沟通，确保项目按期实施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自评价工作还存在自我审定的局限性，会影响评价质量，容易造成问题的疏漏，在客观性和公正性上说服力不强，二是缺少带着问题去评价的意识，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由于我单位绩效工作的理解不够深入，绩效工作还不够细致，为全面了解该项目预算编制合理性，资金使用合规性、项目管理的规范性、项目目标的实现情况，服务对象的满意度等，应多参加培训学习，通过学习来总结经验，促进项目成果应用，为今后类似项目的长效管理打下基础。</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中共疏勒县纪律检查委员会对上述项目支出绩效评价报告内反映内容的真实性、完整性负责，接受上级部门及社会公众监督。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867D86D-9EA0-4E37-8E27-7FD5EEBF0FA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8362592-DAF0-482C-8859-8D54A48791C1}"/>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B880A650-3859-4863-92F4-3DEF4A32BBE2}"/>
  </w:font>
  <w:font w:name="楷体">
    <w:panose1 w:val="02010609060101010101"/>
    <w:charset w:val="86"/>
    <w:family w:val="modern"/>
    <w:pitch w:val="default"/>
    <w:sig w:usb0="800002BF" w:usb1="38CF7CFA" w:usb2="00000016" w:usb3="00000000" w:csb0="00040001" w:csb1="00000000"/>
    <w:embedRegular r:id="rId4" w:fontKey="{707DEBE7-81F5-4706-A406-615D6F4FE156}"/>
  </w:font>
  <w:font w:name="方正仿宋_GBK">
    <w:panose1 w:val="02000000000000000000"/>
    <w:charset w:val="86"/>
    <w:family w:val="auto"/>
    <w:pitch w:val="default"/>
    <w:sig w:usb0="A00002BF" w:usb1="38CF7CFA" w:usb2="00082016" w:usb3="00000000" w:csb0="00040001" w:csb1="00000000"/>
    <w:embedRegular r:id="rId5" w:fontKey="{9830D7BA-6E40-4009-B4D6-590CF8725BDE}"/>
  </w:font>
  <w:font w:name="仿宋">
    <w:panose1 w:val="02010609060101010101"/>
    <w:charset w:val="86"/>
    <w:family w:val="modern"/>
    <w:pitch w:val="default"/>
    <w:sig w:usb0="800002BF" w:usb1="38CF7CFA" w:usb2="00000016" w:usb3="00000000" w:csb0="00040001" w:csb1="00000000"/>
    <w:embedRegular r:id="rId6" w:fontKey="{E44BB9D3-CC4A-46E7-84EF-3D07157F30DA}"/>
  </w:font>
  <w:font w:name="方正楷体_GBK">
    <w:altName w:val="微软雅黑"/>
    <w:panose1 w:val="00000000000000000000"/>
    <w:charset w:val="86"/>
    <w:family w:val="auto"/>
    <w:pitch w:val="default"/>
    <w:sig w:usb0="00000000" w:usb1="00000000" w:usb2="00000000" w:usb3="00000000" w:csb0="00040000" w:csb1="00000000"/>
    <w:embedRegular r:id="rId7" w:fontKey="{27F8333B-2E8B-47E9-AEEB-A0E021DB1725}"/>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FFC65EC"/>
    <w:rsid w:val="43B04001"/>
    <w:rsid w:val="4609551D"/>
    <w:rsid w:val="4D2606A1"/>
    <w:rsid w:val="4DD42C22"/>
    <w:rsid w:val="503863D1"/>
    <w:rsid w:val="50796DE0"/>
    <w:rsid w:val="568B5F26"/>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2023-11-03T09:25:22Z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F86F24E48F94488F887551EC1D11364F_12</vt:lpwstr>
  </property>
</Properties>
</file>