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西部计划大学生志愿者生活补助费项目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中国共产主义青年团疏勒县委员会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中国共产主义青年团疏勒县委员会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王广伟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2023年01月12日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该项目的实施，不仅解决了西部计划大学生志愿者的生活困难，也给我县干部输送了新鲜血液，充实了基层干部队伍，切实解决了我县基层单位干部力量不足的问题，各项资及时保障发放使志愿者更好的在疆开展志愿服务提供有力保障，大学生志愿服务西部计划服务领域不断拓宽，管理服务进一步完善，社会各界广泛关注，有效服务大避、服务社会、服务青年，为新疆初会稳定和长治久安贡献青春力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共青团疏勒县委员会属于参照公务员机关管理单位，纳入2021年部门决算编制范围的有2个办公室：团记书记办公室及综合业务办公室，编制人数5人，其中：行政人员编制4人、工勤1人、。实有在职人数7人，其中：行政在职5人、工勤1人。离退休人员1人，其中：行政退休人员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本项目主要服务于西部计划大学生志愿者，切实解决志愿的生活困难。该项目在上级项目办及我县项目办的管理和指导下，给者我县干部输送了新鲜血液，充实了基层干部队伍，切实解决了我县基层单位干部力量不足的问题，各项资及时保障发放使志愿者更好的在疆开展志愿服务提供有力保障，大学生志愿服务西部计划服务领域不断拓宽，管理服务进一步完善，社会各界广泛关注，有效服务大避、服务社会、服务青年，为新疆初会稳定和长治久安贡献青春力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喀地财行[2022]42号精神号共安排下达资金38.75万元，为解决西部计划大学生志愿者每月生活补助及交纳养老社保、交通补助、培训费、服装费等资金，最终确定项目资金总数为38.75万元。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截至2022年12月31日，实际支出38.75万元，预算执行率100%。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的实施确保了西部计划大学生志愿者每月生活补助及交纳养老社保、交通补助、培训费、服装费等资，更好的解决了我县基层单位干部力量不足的问题，各项资及时保障发放使志愿者更好的在疆开展志愿服务提供有力保障，大学生志愿服务西部计划服务领域不断拓宽，管理服务进一步完善，社会各界广泛关注，有效服务大避、服务社会、服务青年，为新疆初会稳定和长治久安贡献青春力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本项目设置一级指标3个，二级指标6个，三级指标11个，指标量化率90.9%。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数量指标：发放志愿者生活补助，年初目标值等于26人；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数量指标：培训次数，年初目标值等于1次；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数量指标：补助金额发放月，年初目标值等于4个月；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质量指标：补助发放率覆盖率，年初目标值等于100%；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时效指标：补助金发放及时率，年初目标值等于100%；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成本指标：人均标准每月发放补助，年初目标值等于3639.68元；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成本指标：服装费，年初目标值等于817.8元；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成本指标：意外伤害保险，年初目标值等于1560元；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成本指标：培训费用，年初目标值等于6600元；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初会效益指标：补助人群众生活得到改善，年初目标值有效改善；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满意度指标：志愿者对发放补贴满意度，年初目标值等于100%。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立项依据充分性、立项程序、绩效目标合理性、绩效指标明确性、预算编制、资金分配合理性、资金到位率、预算执行数、资金使用合规性、管理制度健全性、制度执行、实际完成率、质量达标率、完成及时性、成本节约率、实施效益、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王广伟任评价组组长，绩效评价工作职责为负责全盘工作。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阿依妮尕尔·阿地力任评价组副组长，绩效评价工作职责为为对项目实施情况进行实地调查。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肖薇向任评价组成员，绩效评价工作职责为负责资料审核等工作。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西部计划大学生志愿者生活补助费项目已完成100%，推动了我县西部计划志愿者工作的全面进展产生良好效益。该项目最终评分100分，绩效评级为“优”。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部门决算向本级财政部门报送绩效自评结果。我单位通过对自评结果的整理、分析，将自评结果作为我单位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我县财政部门、预算部门按照要求将绩效评价结果分别编入政府决算和本部门决算，报送本级人民代表大会常务委员会，并依法予以公开。我单位完全按此要求执行。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共青团疏勒县委员会财务工作职责，并组织实施。围绕2022年度工作重点和工作计划制定经费预算，根据评分标准，该指标不扣分，得3分。（2）立项程序规范性：根据决策依据编制工作计划和经费预算，经过与我单位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（4）管理制度健全性：制定了疏勒县共青团委员会相关管理办法，对财政专项资金进行严格管理，基本做到了专款专用，根据评分标准，该指标不扣分，得2分。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（三）</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项目产出类指标包括产出数量，产出质量、产出时效、产出成本四方面的内容，由9个三级指标构成，权重分为40分，实际得分40分，得分率为100%。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志愿者工作生活补贴等于26人，根据志愿者每月生活补助发放花名册可知，与预期目标一致，根据评分标准，该指标不扣分，得3.5分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培训次数等于1次，根据志愿者培训支出的票据可知，与预期目标一致，根据评分标准，该指标不扣分，得3.5分。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补助金发放月份等于4个月，根据志愿者每月生活补助发放花名册可知，与预期目标一致，根据评分标准，该指标不扣分，得3分。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补助发放覆盖率等于100%，根据志愿者每月生活补助发放花名册可知，与预期目标一致根据评分标准，该指标不扣分，得10分。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补助金发放及时率等于100%，根据志愿者每月生活补助发放花名册可知，与预标指标一致，根据评分标准，该指标不扣分，得10分。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人均标准每月发放补助等于3639.68元，根据志愿者每月生活补助发放花名册可知，项目经费都能控制绩效目标范围内，根据评分标准，该指标不扣分，得3分。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服装费等于817.8元，根据志愿者购买服装支出的票据可知，项目经费都能控制绩效目标范围内，根据评分标准，该指标不扣分，得2.5分。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意外伤害保险费等于1560元，根据志愿者购买保险的票据可知，项目经费都能控制绩效目标范围内，根据评分标准，该指标不扣分，得2.5分。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培训费用等于6600元，根据志愿者培训支出的票据可知，项目经费都能控制绩效目标范围内，根据评分标准，该指标不扣分，得2分。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有效改善补助人群众生活，根据项目满意度调查问卷可知，与预期指标一致，根据评分标准，该指标不扣分，得10分。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对于“满意度指标：根据项目满意度调查问卷可知，志愿者对发放补贴满意度100%，与预期目标无偏差，根据评分标准，该指标不扣分,得10分。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西部计划大学生志愿者生活补助费项目预算38.75万元，到位38.75万元，实际支出38.75万元，预算执行率为100%，项目绩效指标总体完成率为100%，无偏差。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一是我单位高度重视绩效工作，及时成立了以书记王广伟为组长的领导小组，对绩效工作进行了全面部署，由专人负责绩效工作，并严格按照《项目实施方案》执行。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二是严格按照财务规定，对项目资金的使用及管理做到清清楚楚，并做好资金使用台账的登记。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一是单位人员对绩效工作的学习力度还需要进一步加强，各科室的工作人员在绩效工作配合力度有待加强。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二是分管领导对绩效管理工作经验有待提高，进一步加强对各科室工作人员绩效工作的宣传力度。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三是没有现成的经验可供借鉴，缺乏专业性很强的技能储备，只能是边工作、边学习、边积累，短期内很多工作还需要进一步推进。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1、不断强化绩效意识，并结合工作实际，进行科学合理分配细化，及时跟踪绩效执行进度，科学合理安排支出，降低预算支出的波动幅度。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2、健全完善绩效制度，全面梳理业务流程，明确业务环节，确保资金 安全、合理、有效使用，最大限度发挥财政资金使用效益。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3、严格执行预算支出，积极推进各项资金绩效实施。加强对绩效执行过程的控制和结果的反馈，对绩效执行差异及时分析成因和影响，并及时向领导进行反馈，以采取措施纠正执行偏差，促进绩效工作的全面进行。</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E899EA-A2D5-4C13-8A5D-5DBA4B9049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3F976C7-F914-4F34-9505-3453D7B734A9}"/>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7F72BB67-0233-49D5-B88F-4D33A7DDDE77}"/>
  </w:font>
  <w:font w:name="仿宋_GB2312">
    <w:altName w:val="仿宋"/>
    <w:panose1 w:val="00000000000000000000"/>
    <w:charset w:val="86"/>
    <w:family w:val="modern"/>
    <w:pitch w:val="default"/>
    <w:sig w:usb0="00000000" w:usb1="00000000" w:usb2="00000000" w:usb3="00000000" w:csb0="00040000" w:csb1="00000000"/>
    <w:embedRegular r:id="rId4" w:fontKey="{7C53A925-9FA1-4F41-B151-FBA6A1634C75}"/>
  </w:font>
  <w:font w:name="楷体">
    <w:panose1 w:val="02010609060101010101"/>
    <w:charset w:val="86"/>
    <w:family w:val="modern"/>
    <w:pitch w:val="default"/>
    <w:sig w:usb0="800002BF" w:usb1="38CF7CFA" w:usb2="00000016" w:usb3="00000000" w:csb0="00040001" w:csb1="00000000"/>
    <w:embedRegular r:id="rId5" w:fontKey="{624966FD-F008-4C11-90E4-3D910B0AD8A4}"/>
  </w:font>
  <w:font w:name="方正仿宋_GBK">
    <w:panose1 w:val="02000000000000000000"/>
    <w:charset w:val="86"/>
    <w:family w:val="auto"/>
    <w:pitch w:val="default"/>
    <w:sig w:usb0="A00002BF" w:usb1="38CF7CFA" w:usb2="00082016" w:usb3="00000000" w:csb0="00040001" w:csb1="00000000"/>
    <w:embedRegular r:id="rId6" w:fontKey="{A7AAEBBC-0207-47DA-BB3E-552B4F383458}"/>
  </w:font>
  <w:font w:name="仿宋">
    <w:panose1 w:val="02010609060101010101"/>
    <w:charset w:val="86"/>
    <w:family w:val="modern"/>
    <w:pitch w:val="default"/>
    <w:sig w:usb0="800002BF" w:usb1="38CF7CFA" w:usb2="00000016" w:usb3="00000000" w:csb0="00040001" w:csb1="00000000"/>
    <w:embedRegular r:id="rId7" w:fontKey="{60CB1A8D-C834-4473-A1C5-0C7BFCFC02A7}"/>
  </w:font>
  <w:font w:name="方正楷体_GBK">
    <w:altName w:val="微软雅黑"/>
    <w:panose1 w:val="00000000000000000000"/>
    <w:charset w:val="86"/>
    <w:family w:val="auto"/>
    <w:pitch w:val="default"/>
    <w:sig w:usb0="00000000" w:usb1="00000000" w:usb2="00000000" w:usb3="00000000" w:csb0="00040000" w:csb1="00000000"/>
    <w:embedRegular r:id="rId8" w:fontKey="{F4D2FCAE-DB92-4584-9F3B-175F0EFF02C4}"/>
  </w:font>
  <w:font w:name="方正黑体_GBK">
    <w:altName w:val="微软雅黑"/>
    <w:panose1 w:val="00000000000000000000"/>
    <w:charset w:val="86"/>
    <w:family w:val="auto"/>
    <w:pitch w:val="default"/>
    <w:sig w:usb0="00000000" w:usb1="00000000" w:usb2="00000000" w:usb3="00000000" w:csb0="00040000" w:csb1="00000000"/>
    <w:embedRegular r:id="rId9" w:fontKey="{9E496BD7-FA32-4587-9257-379549B0D89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B2B3967"/>
    <w:rsid w:val="2D5A6638"/>
    <w:rsid w:val="42454D49"/>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2023-11-03T09:26:53Z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3005920F9B644CBAB5F47A7CE85765B3_12</vt:lpwstr>
  </property>
</Properties>
</file>