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仿宋_GBK" w:hAnsi="方正仿宋_GBK" w:eastAsia="方正仿宋_GBK" w:cs="方正仿宋_GBK"/>
          <w:b/>
          <w:kern w:val="0"/>
          <w:sz w:val="32"/>
          <w:szCs w:val="32"/>
          <w:highlight w:val="none"/>
        </w:rPr>
      </w:pPr>
      <w:bookmarkStart w:id="0" w:name="_GoBack"/>
      <w:bookmarkEnd w:id="0"/>
    </w:p>
    <w:p>
      <w:pPr>
        <w:spacing w:line="540" w:lineRule="exact"/>
        <w:jc w:val="center"/>
        <w:rPr>
          <w:rFonts w:hint="eastAsia" w:ascii="方正仿宋_GBK" w:hAnsi="方正仿宋_GBK" w:eastAsia="方正仿宋_GBK" w:cs="方正仿宋_GBK"/>
          <w:b/>
          <w:kern w:val="0"/>
          <w:sz w:val="32"/>
          <w:szCs w:val="32"/>
          <w:highlight w:val="none"/>
        </w:rPr>
      </w:pPr>
    </w:p>
    <w:p>
      <w:pPr>
        <w:pStyle w:val="2"/>
        <w:rPr>
          <w:rFonts w:hint="eastAsia"/>
        </w:rPr>
      </w:pPr>
    </w:p>
    <w:p>
      <w:pPr>
        <w:spacing w:line="540" w:lineRule="exact"/>
        <w:jc w:val="center"/>
        <w:rPr>
          <w:rFonts w:hint="eastAsia" w:ascii="方正仿宋_GBK" w:hAnsi="方正仿宋_GBK" w:eastAsia="方正仿宋_GBK" w:cs="方正仿宋_GBK"/>
          <w:b/>
          <w:kern w:val="0"/>
          <w:sz w:val="32"/>
          <w:szCs w:val="32"/>
          <w:highlight w:val="none"/>
        </w:rPr>
      </w:pPr>
    </w:p>
    <w:p>
      <w:pPr>
        <w:spacing w:line="360" w:lineRule="auto"/>
        <w:jc w:val="center"/>
        <w:rPr>
          <w:rFonts w:hint="eastAsia" w:ascii="方正仿宋_GBK" w:hAnsi="方正仿宋_GBK" w:eastAsia="方正仿宋_GBK" w:cs="方正仿宋_GBK"/>
          <w:kern w:val="0"/>
          <w:sz w:val="32"/>
          <w:szCs w:val="32"/>
          <w:highlight w:val="none"/>
        </w:rPr>
      </w:pPr>
      <w:r>
        <w:rPr>
          <w:rFonts w:hint="eastAsia" w:ascii="方正黑体_GBK" w:hAnsi="方正黑体_GBK" w:eastAsia="方正黑体_GBK" w:cs="方正黑体_GBK"/>
          <w:kern w:val="0"/>
          <w:sz w:val="44"/>
          <w:szCs w:val="44"/>
          <w:highlight w:val="none"/>
        </w:rPr>
        <w:t>喀什地</w:t>
      </w:r>
      <w:r>
        <w:rPr>
          <w:rFonts w:hint="eastAsia" w:ascii="方正黑体_GBK" w:hAnsi="方正黑体_GBK" w:eastAsia="方正黑体_GBK" w:cs="方正黑体_GBK"/>
          <w:kern w:val="0"/>
          <w:sz w:val="44"/>
          <w:szCs w:val="44"/>
          <w:highlight w:val="none"/>
          <w:lang w:eastAsia="zh-CN"/>
        </w:rPr>
        <w:t>区疏勒县乡村振兴有效衔接资金</w:t>
      </w:r>
      <w:r>
        <w:rPr>
          <w:rFonts w:hint="eastAsia" w:ascii="方正黑体_GBK" w:hAnsi="方正黑体_GBK" w:eastAsia="方正黑体_GBK" w:cs="方正黑体_GBK"/>
          <w:kern w:val="0"/>
          <w:sz w:val="44"/>
          <w:szCs w:val="44"/>
          <w:highlight w:val="none"/>
          <w:lang w:val="en-US" w:eastAsia="zh-CN"/>
        </w:rPr>
        <w:t xml:space="preserve">   </w:t>
      </w:r>
      <w:r>
        <w:rPr>
          <w:rFonts w:hint="eastAsia" w:ascii="方正黑体_GBK" w:hAnsi="方正黑体_GBK" w:eastAsia="方正黑体_GBK" w:cs="方正黑体_GBK"/>
          <w:kern w:val="0"/>
          <w:sz w:val="44"/>
          <w:szCs w:val="44"/>
          <w:highlight w:val="none"/>
        </w:rPr>
        <w:t>项目资金绩效自评报告</w:t>
      </w:r>
    </w:p>
    <w:p>
      <w:pPr>
        <w:spacing w:line="540" w:lineRule="exact"/>
        <w:jc w:val="center"/>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（202</w:t>
      </w:r>
      <w:r>
        <w:rPr>
          <w:rFonts w:hint="eastAsia" w:ascii="方正仿宋_GBK" w:hAnsi="方正仿宋_GBK" w:eastAsia="方正仿宋_GBK" w:cs="方正仿宋_GBK"/>
          <w:kern w:val="0"/>
          <w:sz w:val="32"/>
          <w:szCs w:val="32"/>
          <w:highlight w:val="none"/>
          <w:lang w:val="en-US" w:eastAsia="zh-CN"/>
        </w:rPr>
        <w:t>2</w:t>
      </w:r>
      <w:r>
        <w:rPr>
          <w:rFonts w:hint="eastAsia" w:ascii="方正仿宋_GBK" w:hAnsi="方正仿宋_GBK" w:eastAsia="方正仿宋_GBK" w:cs="方正仿宋_GBK"/>
          <w:kern w:val="0"/>
          <w:sz w:val="32"/>
          <w:szCs w:val="32"/>
          <w:highlight w:val="none"/>
        </w:rPr>
        <w:t>年度）</w:t>
      </w: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700" w:lineRule="exact"/>
        <w:ind w:firstLine="640" w:firstLineChars="2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项目名称：</w:t>
      </w:r>
      <w:r>
        <w:rPr>
          <w:rFonts w:hint="eastAsia" w:ascii="方正仿宋_GBK" w:hAnsi="方正仿宋_GBK" w:eastAsia="方正仿宋_GBK" w:cs="方正仿宋_GBK"/>
          <w:kern w:val="0"/>
          <w:sz w:val="32"/>
          <w:szCs w:val="32"/>
          <w:highlight w:val="none"/>
          <w:lang w:val="en-US" w:eastAsia="zh-CN"/>
        </w:rPr>
        <w:t>2022年就业“以奖代补”项目</w:t>
      </w:r>
    </w:p>
    <w:p>
      <w:pPr>
        <w:spacing w:line="700" w:lineRule="exact"/>
        <w:ind w:left="638" w:leftChars="304" w:firstLine="0" w:firstLineChars="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实施单位（公章）：</w:t>
      </w:r>
      <w:r>
        <w:rPr>
          <w:rFonts w:hint="eastAsia" w:ascii="方正仿宋_GBK" w:hAnsi="方正仿宋_GBK" w:eastAsia="方正仿宋_GBK" w:cs="方正仿宋_GBK"/>
          <w:kern w:val="0"/>
          <w:sz w:val="32"/>
          <w:szCs w:val="32"/>
          <w:highlight w:val="none"/>
          <w:lang w:val="en-US" w:eastAsia="zh-CN"/>
        </w:rPr>
        <w:t>疏勒南疆齐鲁工业园区管理委员会、疏勒县就业培训局</w:t>
      </w:r>
    </w:p>
    <w:p>
      <w:pPr>
        <w:spacing w:line="700" w:lineRule="exact"/>
        <w:ind w:left="638" w:leftChars="304" w:firstLine="0" w:firstLineChars="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主管部门（公章）：</w:t>
      </w:r>
      <w:r>
        <w:rPr>
          <w:rFonts w:hint="eastAsia" w:ascii="方正仿宋_GBK" w:hAnsi="方正仿宋_GBK" w:eastAsia="方正仿宋_GBK" w:cs="方正仿宋_GBK"/>
          <w:kern w:val="0"/>
          <w:sz w:val="32"/>
          <w:szCs w:val="32"/>
          <w:highlight w:val="none"/>
          <w:lang w:val="en-US" w:eastAsia="zh-CN"/>
        </w:rPr>
        <w:t>疏勒南疆齐鲁工业园区管理委员会、疏勒县就业培训局</w:t>
      </w:r>
    </w:p>
    <w:p>
      <w:pPr>
        <w:spacing w:line="700" w:lineRule="exact"/>
        <w:ind w:firstLine="640" w:firstLineChars="2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项目负责人（签章）：</w:t>
      </w:r>
      <w:r>
        <w:rPr>
          <w:rFonts w:hint="eastAsia" w:ascii="方正仿宋_GBK" w:hAnsi="方正仿宋_GBK" w:eastAsia="方正仿宋_GBK" w:cs="方正仿宋_GBK"/>
          <w:kern w:val="0"/>
          <w:sz w:val="32"/>
          <w:szCs w:val="32"/>
          <w:highlight w:val="none"/>
          <w:lang w:val="en-US" w:eastAsia="zh-CN"/>
        </w:rPr>
        <w:t>麦尔哈吧·艾麦提</w:t>
      </w:r>
    </w:p>
    <w:p>
      <w:pPr>
        <w:spacing w:line="700" w:lineRule="exact"/>
        <w:ind w:firstLine="640" w:firstLineChars="2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填报时间：</w:t>
      </w:r>
      <w:r>
        <w:rPr>
          <w:rFonts w:hint="eastAsia" w:ascii="方正仿宋_GBK" w:hAnsi="方正仿宋_GBK" w:eastAsia="方正仿宋_GBK" w:cs="方正仿宋_GBK"/>
          <w:kern w:val="0"/>
          <w:sz w:val="32"/>
          <w:szCs w:val="32"/>
          <w:highlight w:val="none"/>
          <w:lang w:eastAsia="zh-CN"/>
        </w:rPr>
        <w:t>202</w:t>
      </w:r>
      <w:r>
        <w:rPr>
          <w:rFonts w:hint="eastAsia" w:ascii="方正仿宋_GBK" w:hAnsi="方正仿宋_GBK" w:eastAsia="方正仿宋_GBK" w:cs="方正仿宋_GBK"/>
          <w:kern w:val="0"/>
          <w:sz w:val="32"/>
          <w:szCs w:val="32"/>
          <w:highlight w:val="none"/>
          <w:lang w:val="en-US" w:eastAsia="zh-CN"/>
        </w:rPr>
        <w:t>3</w:t>
      </w:r>
      <w:r>
        <w:rPr>
          <w:rFonts w:hint="eastAsia" w:ascii="方正仿宋_GBK" w:hAnsi="方正仿宋_GBK" w:eastAsia="方正仿宋_GBK" w:cs="方正仿宋_GBK"/>
          <w:kern w:val="0"/>
          <w:sz w:val="32"/>
          <w:szCs w:val="32"/>
          <w:highlight w:val="none"/>
        </w:rPr>
        <w:t>年1月</w:t>
      </w:r>
      <w:r>
        <w:rPr>
          <w:rFonts w:hint="eastAsia" w:ascii="方正仿宋_GBK" w:hAnsi="方正仿宋_GBK" w:eastAsia="方正仿宋_GBK" w:cs="方正仿宋_GBK"/>
          <w:kern w:val="0"/>
          <w:sz w:val="32"/>
          <w:szCs w:val="32"/>
          <w:highlight w:val="none"/>
          <w:lang w:val="en-US" w:eastAsia="zh-CN"/>
        </w:rPr>
        <w:t>25</w:t>
      </w:r>
      <w:r>
        <w:rPr>
          <w:rFonts w:hint="eastAsia" w:ascii="方正仿宋_GBK" w:hAnsi="方正仿宋_GBK" w:eastAsia="方正仿宋_GBK" w:cs="方正仿宋_GBK"/>
          <w:kern w:val="0"/>
          <w:sz w:val="32"/>
          <w:szCs w:val="32"/>
          <w:highlight w:val="none"/>
        </w:rPr>
        <w:t>日</w:t>
      </w:r>
    </w:p>
    <w:p>
      <w:pPr>
        <w:jc w:val="left"/>
        <w:rPr>
          <w:rFonts w:hint="eastAsia" w:ascii="方正仿宋_GBK" w:hAnsi="方正仿宋_GBK" w:eastAsia="方正仿宋_GBK" w:cs="方正仿宋_GBK"/>
          <w:b/>
          <w:color w:val="000000"/>
          <w:sz w:val="32"/>
          <w:szCs w:val="32"/>
          <w:highlight w:val="none"/>
        </w:rPr>
      </w:pPr>
    </w:p>
    <w:p>
      <w:pPr>
        <w:ind w:firstLine="640" w:firstLineChars="200"/>
        <w:jc w:val="left"/>
        <w:rPr>
          <w:rFonts w:hint="eastAsia" w:ascii="方正黑体_GBK" w:hAnsi="方正黑体_GBK" w:eastAsia="方正黑体_GBK" w:cs="方正黑体_GBK"/>
          <w:b/>
          <w:color w:val="000000"/>
          <w:sz w:val="32"/>
          <w:szCs w:val="32"/>
          <w:highlight w:val="none"/>
        </w:rPr>
      </w:pPr>
      <w:r>
        <w:rPr>
          <w:rFonts w:hint="eastAsia" w:ascii="方正黑体_GBK" w:hAnsi="方正黑体_GBK" w:eastAsia="方正黑体_GBK" w:cs="方正黑体_GBK"/>
          <w:b/>
          <w:color w:val="000000"/>
          <w:sz w:val="32"/>
          <w:szCs w:val="32"/>
          <w:highlight w:val="none"/>
        </w:rPr>
        <w:t>一、绩效目标分解下达情况</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（一）财政专项乡村振兴有效衔接资金资金下达预算及项目情况。</w:t>
      </w:r>
    </w:p>
    <w:p>
      <w:pPr>
        <w:pStyle w:val="2"/>
        <w:spacing w:line="560" w:lineRule="exact"/>
        <w:ind w:firstLine="627" w:firstLineChars="200"/>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t>1.下达预算情况</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中共疏勒县委员会农村工作领导小组乡暨乡村振兴领导小组印发的《关于疏勒县2022年第二批巩固拓展脱贫攻坚成果同乡村振兴有效衔接项目计划的批复》（勒党农领批复〔2022〕12号）及地区财政局印发《关于下达2022年中央财政衔接推进乡村振兴补助资金预算的通知》（喀地财扶〔2022〕4号）文件，投资额为28.2万元。</w:t>
      </w:r>
    </w:p>
    <w:p>
      <w:pPr>
        <w:numPr>
          <w:ilvl w:val="0"/>
          <w:numId w:val="0"/>
        </w:numPr>
        <w:spacing w:line="560" w:lineRule="exact"/>
        <w:ind w:firstLine="627" w:firstLineChars="200"/>
        <w:rPr>
          <w:rStyle w:val="10"/>
          <w:rFonts w:hint="eastAsia" w:ascii="方正仿宋_GBK" w:hAnsi="方正仿宋_GBK" w:eastAsia="方正仿宋_GBK" w:cs="方正仿宋_GBK"/>
          <w:b w:val="0"/>
          <w:spacing w:val="-4"/>
          <w:sz w:val="32"/>
          <w:szCs w:val="32"/>
          <w:highlight w:val="none"/>
        </w:rPr>
      </w:pPr>
      <w:r>
        <w:rPr>
          <w:rStyle w:val="10"/>
          <w:rFonts w:hint="eastAsia" w:ascii="方正仿宋_GBK" w:hAnsi="方正仿宋_GBK" w:eastAsia="方正仿宋_GBK" w:cs="方正仿宋_GBK"/>
          <w:b/>
          <w:bCs w:val="0"/>
          <w:spacing w:val="-4"/>
          <w:sz w:val="32"/>
          <w:szCs w:val="32"/>
          <w:highlight w:val="none"/>
          <w:lang w:val="en-US" w:eastAsia="zh-CN"/>
        </w:rPr>
        <w:t>2.</w:t>
      </w:r>
      <w:r>
        <w:rPr>
          <w:rStyle w:val="10"/>
          <w:rFonts w:hint="eastAsia" w:ascii="方正仿宋_GBK" w:hAnsi="方正仿宋_GBK" w:eastAsia="方正仿宋_GBK" w:cs="方正仿宋_GBK"/>
          <w:b/>
          <w:bCs w:val="0"/>
          <w:spacing w:val="-4"/>
          <w:sz w:val="32"/>
          <w:szCs w:val="32"/>
          <w:highlight w:val="none"/>
        </w:rPr>
        <w:t>项目情况</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关于开展2022年巩固拓展脱贫攻坚成果同乡村振兴有效衔接项目库编制工作的通知》要求和年度乡村振兴工作任务，坚持项目到户、精准到人。保障家庭经济收入，巩固脱贫户（含监测户）就业成果的原则。坚持转移就业是帮助脱贫人口增加收入最有效的方式，实现有劳动能力脱贫户（含监测户）家庭“一户一稳定就业”目标。疏勒县南疆齐鲁工业园区2022年申请以奖代补项目资金的企业16家，132名脱贫户（含监测户），项目计划总投入207000元。疏勒县就业培训局2022年申请以奖代补项目资金的企业1家，75名脱贫户, 项目计划总投入共计75000元。2022年就业“以奖代补”项目总投资282000元，资金来源为财政衔接资金。</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（二）财政专项乡村振兴有效衔接资金资金项目绩效目标设定情况</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1.项目绩效总体目标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该项目计划投资28.20万元，用于给企业发放“以奖代补”项目资金。根据“以奖代补”项目资金申请工作相关要求，和园区企业签订三年以上的劳动合同，2021年在本企业稳定就业9个月以上，实发9个月工资的银行明细或者9个月缴纳社保明细的脱贫户（含监测户），为依据“212”计划，第一年补助2000元/人，第二年补助1000元/人，第三年补助2000元/人。发放补助资金28.2万元，其中：工业园132名，资金20.7万元；就业局75名，资金7.5万元。项目实施后鼓励企业吸纳脱贫户稳定就业，提高财政资金使用效益，巩固脱贫攻坚成果。将带动增加脱贫户人均务工年收入15000元/户，受益脱贫人口数200人。受益脱贫户满意度95%。</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2.具体绩效指标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（1）项目产出目标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①数量指标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“享受奖补资金脱贫户（第二年）人数(人)”指标，预期指标值为大于等于132人；</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“享受奖补资金脱贫户（第一年）人数(人)”指标，预期指标值为大于等于75人；</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“享受奖补企业数量（个）”指标，预期指标值为大于等于16个；</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②质量指标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“奖补资金发放合规率（%）”指标，预期指标值为等于100%；</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③时效指标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“奖补资金发放及时率（%）”指标，预期指标值为等于100%；</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④成本指标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“奖补资金发放标准（第二年）（元/人）”指标，预期指标值为小于等于1000元/人；</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“奖补资金发放标准（第一年）（元/人）”指标，预期指标值为小于等于2000元/人；</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（2）项目效益目标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①经济效益指标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“脱贫户人均务工年收入（万元）”指标，预期指标值为大于等于1.5万元；</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②社会效益指标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“受益脱贫人口数（人）”指标，预期指标值为大于等于200人；</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③生态效益指标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无；</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④可持续影响</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“企业与脱贫户签订劳动合同年限”指标，预期指标值为3年；</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（3）相关满意度目标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①满意度指标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“受益脱贫户满意度（%）”指标，预期指标值为大于等于95%；</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“受益企业满意度（%）”指标，预期指标值为大于等于95%；</w:t>
      </w:r>
    </w:p>
    <w:p>
      <w:pPr>
        <w:jc w:val="left"/>
        <w:rPr>
          <w:rFonts w:hint="eastAsia" w:ascii="方正仿宋_GBK" w:hAnsi="方正仿宋_GBK" w:eastAsia="方正仿宋_GBK" w:cs="方正仿宋_GBK"/>
          <w:b/>
          <w:color w:val="000000"/>
          <w:sz w:val="32"/>
          <w:szCs w:val="32"/>
          <w:highlight w:val="none"/>
        </w:rPr>
      </w:pPr>
      <w:r>
        <w:rPr>
          <w:rFonts w:hint="eastAsia" w:ascii="方正黑体_GBK" w:hAnsi="方正黑体_GBK" w:eastAsia="方正黑体_GBK" w:cs="方正黑体_GBK"/>
          <w:b/>
          <w:color w:val="000000"/>
          <w:sz w:val="32"/>
          <w:szCs w:val="32"/>
          <w:highlight w:val="none"/>
        </w:rPr>
        <w:t>二、绩效自评工作开展情况</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（一）自评工作开展范围</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（二）自评工作开展对象</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为2022年就业“以奖代补”项目，评价核心为项目资金、项目产出、项目效益。</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（三）自评工作开展时间</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绩效自评开展时间2022年12月12日至15日。</w:t>
      </w:r>
    </w:p>
    <w:p>
      <w:pPr>
        <w:pStyle w:val="4"/>
        <w:keepNext/>
        <w:keepLines/>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（四）自评工作开展方式</w:t>
      </w:r>
    </w:p>
    <w:p>
      <w:pPr>
        <w:spacing w:line="560" w:lineRule="exact"/>
        <w:ind w:firstLine="627" w:firstLineChars="200"/>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1.前期准备</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我单位于2022年12月12日，确定绩效评价工作小组，正式开始前期准备工作，通过对评价对象前期调研，确定了评价的目的、方法以及评价的原则，根据项目的内容和特征制定了评价指标体系及评价标准。</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成立绩效评价小组，组长为：麦尔哈吧，成员：陈霞，祖丽胡马尔。</w:t>
      </w:r>
    </w:p>
    <w:p>
      <w:pPr>
        <w:spacing w:line="560" w:lineRule="exact"/>
        <w:ind w:firstLine="627" w:firstLineChars="200"/>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2.组织实施</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12月12日至15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11"/>
        <w:numPr>
          <w:ilvl w:val="0"/>
          <w:numId w:val="0"/>
        </w:numPr>
        <w:spacing w:before="120"/>
        <w:ind w:leftChars="201" w:right="2" w:rightChars="1"/>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3.</w:t>
      </w:r>
      <w:r>
        <w:rPr>
          <w:rFonts w:hint="eastAsia" w:ascii="方正仿宋_GBK" w:hAnsi="方正仿宋_GBK" w:eastAsia="方正仿宋_GBK" w:cs="方正仿宋_GBK"/>
          <w:sz w:val="32"/>
          <w:szCs w:val="32"/>
          <w:highlight w:val="none"/>
        </w:rPr>
        <w:t>分析评价</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首先按照指标体系进行定量、定性分析。其次开展量化打分、综合评价工作，形成初步评价结论。最后归纳整体项目情况与存在问题，撰写绩效自评报告。</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（1）绩效自评指标体系</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按照《自治区财政专项FP资金绩效管理操作指南》（新财预〔2019〕170号）文件要求，并根据项目各项指标重要程度确定二级指标的分值，并对核心指标赋予更高的权重。其中：数量指标21分、质量指标7分，时效指标8分、成本指标14分、经济效益指标10分、社会效益指标10分、可持续影响指标10分、满意度指标10分、预算资金执行率10分，满分100分。</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（2）绩效自评方法</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本次绩效自评采用比较法和综合分析法对项目资金的使用管理、项目产出、综合效益等进行评价。</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（3）绩效自评标准</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（4）绩效自评等级</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绩效自评总分值100分，根据评分结果，90（含）-100分为优、80（含）-90分为良、60（含）-80分为中、60分以下为差。</w:t>
      </w:r>
    </w:p>
    <w:p>
      <w:pPr>
        <w:numPr>
          <w:ilvl w:val="0"/>
          <w:numId w:val="0"/>
        </w:numPr>
        <w:spacing w:line="600" w:lineRule="exact"/>
        <w:ind w:firstLine="640" w:firstLineChars="200"/>
        <w:rPr>
          <w:rFonts w:hint="eastAsia" w:ascii="方正仿宋_GBK" w:hAnsi="方正仿宋_GBK" w:eastAsia="方正仿宋_GBK" w:cs="方正仿宋_GBK"/>
          <w:spacing w:val="-4"/>
          <w:sz w:val="32"/>
          <w:szCs w:val="32"/>
          <w:highlight w:val="none"/>
          <w:lang w:val="en-US" w:eastAsia="zh-CN"/>
        </w:rPr>
      </w:pPr>
      <w:r>
        <w:rPr>
          <w:rFonts w:hint="eastAsia" w:ascii="方正黑体_GBK" w:hAnsi="方正黑体_GBK" w:eastAsia="方正黑体_GBK" w:cs="方正黑体_GBK"/>
          <w:b/>
          <w:color w:val="000000"/>
          <w:sz w:val="32"/>
          <w:szCs w:val="32"/>
          <w:highlight w:val="none"/>
          <w:lang w:val="en-US" w:eastAsia="zh-CN"/>
        </w:rPr>
        <w:t>三、绩效目标自评完成情况分析</w:t>
      </w:r>
    </w:p>
    <w:p>
      <w:pPr>
        <w:pStyle w:val="4"/>
        <w:numPr>
          <w:ilvl w:val="0"/>
          <w:numId w:val="0"/>
        </w:numPr>
        <w:bidi w:val="0"/>
        <w:ind w:leftChars="200" w:right="0" w:rightChars="0"/>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bCs/>
          <w:sz w:val="32"/>
          <w:szCs w:val="32"/>
          <w:lang w:val="en-US" w:eastAsia="zh-CN"/>
        </w:rPr>
        <w:t>(一）资金投入情况分析。</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1、项目资金到位情况分析</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本项目预算安排资金为28.2万元，资金来源为财政衔接推进乡村振兴补助资金。2022年实际收到预算资金28.2万元，预算资金到位率为100%。</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2、项目资金执行情况分析</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本年实际支付金额28.2万元，预算执行率100%。本项目资金主要用于给企业发放“以奖代补”资金，鼓励企业吸纳脱贫户稳定就业，项目无结余资金。</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预算资金执行情况总分10分，得10分。</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3.项目资金管理情况分析</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pStyle w:val="4"/>
        <w:numPr>
          <w:ilvl w:val="0"/>
          <w:numId w:val="0"/>
        </w:numPr>
        <w:bidi w:val="0"/>
        <w:ind w:leftChars="200" w:right="0" w:rightChars="0"/>
        <w:rPr>
          <w:rFonts w:hint="eastAsia" w:ascii="方正仿宋_GBK" w:hAnsi="方正仿宋_GBK" w:eastAsia="方正仿宋_GBK" w:cs="方正仿宋_GBK"/>
          <w:sz w:val="32"/>
          <w:szCs w:val="32"/>
        </w:rPr>
      </w:pPr>
      <w:r>
        <w:rPr>
          <w:rFonts w:hint="eastAsia" w:ascii="方正楷体_GBK" w:hAnsi="方正楷体_GBK" w:eastAsia="方正楷体_GBK" w:cs="方正楷体_GBK"/>
          <w:b/>
          <w:bCs/>
          <w:sz w:val="32"/>
          <w:szCs w:val="32"/>
          <w:lang w:val="en-US" w:eastAsia="zh-CN"/>
        </w:rPr>
        <w:t>（二）绩效目标完成情况分析。</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本项目已设置年度绩效目标，根据“以奖代补”项目资金申请工作相关要求，和园区企业签订三年以上的劳动合同，2021年在本企业稳定就业9个月以上，实发9个月工资的银行明细或者9个月缴纳社保明细的脱贫户（含监测户），为依据“212”计划，第一年补助2000元/人，第二年补助1000元/人，第三年补助2000元/人。发放补助资金28.2万元，其中：工业园132名，资金20.7万元；就业局75名，资金7.5万元。通过实施该项目鼓励企业吸纳脱贫户稳定就业，提高财政资金使用效益，巩固脱贫攻坚成果。</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Hans"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本项目实际工作为：本项目由疏勒南疆齐鲁工业园区管理委员会、疏勒县就业培训局负责实施，疏勒县南疆齐鲁工业园区2022年申请以奖代补项目资金的企业16家，132名脱贫户（含监测户），项目计划总投入207000元。疏勒县就业培训局2022年申请以奖代补项目资金的企业1家，75名脱贫户, 75人享受每人1000元，共计75000元。2022年就业“以奖代补”项目总投资282000元，受益脱贫人口数为200人，受益脱贫人口满意度为95%，受益一般户满意度为95%。绩效目标与实际工作内容一致，两者具有相关性；</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年度绩效目标完成，预期产出效益和效果符合正常的业绩水平。</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经检查</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，我单位年初设置的</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《绩效目标申报表》，得出如下结论：</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本项目共设置一级指标3个，二级指标8个，三级指标12个，</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定量指标</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12</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个，定性指标</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0</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个，指标量化率为</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100</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；综上所述本项目所设置绩效目标合理，绩效指标明确。</w:t>
      </w:r>
    </w:p>
    <w:p>
      <w:pPr>
        <w:pStyle w:val="2"/>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本项目实际已完成三级指标12个，指标完成率为100%。指标完成情况分析如下：</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①产出指标完成情况分析</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a、项目完成数量</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享受奖补资金脱贫户（第二年）人数（人）”指标，指标标杆值为大于等于132人，指标完成值为132人，指标完成率为100%，指标确定依据为疏勒县人事局、疏勒县乡村振兴局、疏勒南疆齐鲁工业园区管理委员会联合出具的《项目验收证明》，该指标分值为7分，实际得分为7分。</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享受奖补资金脱贫户（第一年）人数（人）”指标，指标标杆值为大于等于75人，指标完成值为75人,指标完成率为100%，指标确定依据为疏勒县人事局、疏勒县乡村振兴局、疏勒南疆齐鲁工业园区管理委员会联合出具的《项目验收证明》，该指标分值为7分，实际得分为7分。</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享受奖补企业数量（个）”指标，指标标杆值为大于等于16个，指标完成值为16个,指标完成率为100%，指标确定依据为疏勒县人事局、疏勒县乡村振兴局、疏勒南疆齐鲁工业园区管理委员会联合出具的《项目验收证明》，该指标分值为7分，实际得分为7分。</w:t>
      </w:r>
    </w:p>
    <w:p>
      <w:pPr>
        <w:pStyle w:val="2"/>
        <w:rPr>
          <w:rFonts w:hint="eastAsia" w:ascii="方正仿宋_GBK" w:hAnsi="方正仿宋_GBK" w:eastAsia="方正仿宋_GBK" w:cs="方正仿宋_GBK"/>
          <w:b w:val="0"/>
          <w:bCs/>
          <w:sz w:val="32"/>
          <w:szCs w:val="32"/>
          <w:highlight w:val="none"/>
          <w:lang w:val="en-US" w:eastAsia="zh-CN"/>
        </w:rPr>
      </w:pP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b、</w:t>
      </w:r>
      <w:r>
        <w:rPr>
          <w:rStyle w:val="10"/>
          <w:rFonts w:hint="eastAsia" w:ascii="方正仿宋_GBK" w:hAnsi="方正仿宋_GBK" w:eastAsia="方正仿宋_GBK" w:cs="方正仿宋_GBK"/>
          <w:b w:val="0"/>
          <w:bCs/>
          <w:spacing w:val="-4"/>
          <w:sz w:val="32"/>
          <w:szCs w:val="32"/>
          <w:highlight w:val="none"/>
        </w:rPr>
        <w:t>项目完成质量</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奖补资金发放合规率（%）”指标，指标标杆值为等于100%，指标完成值为100%,指标完成率为100%。指标确定依据为疏勒县人事局、疏勒县乡村振兴局、疏勒南疆齐鲁工业园区管理委员会联合出具的《项目验收证明》、该指标分值为7分，实际得分为7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c、</w:t>
      </w:r>
      <w:r>
        <w:rPr>
          <w:rStyle w:val="10"/>
          <w:rFonts w:hint="eastAsia" w:ascii="方正仿宋_GBK" w:hAnsi="方正仿宋_GBK" w:eastAsia="方正仿宋_GBK" w:cs="方正仿宋_GBK"/>
          <w:b w:val="0"/>
          <w:bCs/>
          <w:spacing w:val="-4"/>
          <w:sz w:val="32"/>
          <w:szCs w:val="32"/>
          <w:highlight w:val="none"/>
        </w:rPr>
        <w:t>项目完成时效</w:t>
      </w:r>
    </w:p>
    <w:p>
      <w:pPr>
        <w:pStyle w:val="2"/>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“奖补资金发放及时率（%）”指标，指标标杆值为100%，指标完成值为100%,指标完成率为100%。指标确定依据为2022年资金支付台账，该指标分值为8分，实际得分为8分。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lang w:val="en-US" w:eastAsia="zh-CN"/>
        </w:rPr>
      </w:pPr>
      <w:r>
        <w:rPr>
          <w:rStyle w:val="10"/>
          <w:rFonts w:hint="eastAsia" w:ascii="方正仿宋_GBK" w:hAnsi="方正仿宋_GBK" w:eastAsia="方正仿宋_GBK" w:cs="方正仿宋_GBK"/>
          <w:b w:val="0"/>
          <w:bCs/>
          <w:spacing w:val="-4"/>
          <w:sz w:val="32"/>
          <w:szCs w:val="32"/>
          <w:highlight w:val="none"/>
          <w:lang w:val="en-US" w:eastAsia="zh-CN"/>
        </w:rPr>
        <w:t>d、项目成本节约情况</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“奖补资金发放标准（第二年）（元/人）”指标，指标标杆值为小于等于1000元/人，实际完成值为1000元/人，指标完成率为100%。指标确定依据为资金补助文件和资金支付资料。该指标分值为7分，实际得分为7分。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“奖补资金发放标准（第一年）（元/人）”指标，指标标杆值为小于等于2000元/人，实际完成值为2000元/人，指标完成率为100%。指标确定依据为资金补助文件和资金支付资料。该指标分值为7分，实际得分为7分。</w:t>
      </w:r>
    </w:p>
    <w:p>
      <w:pPr>
        <w:pStyle w:val="2"/>
        <w:rPr>
          <w:rFonts w:hint="eastAsia" w:ascii="方正仿宋_GBK" w:hAnsi="方正仿宋_GBK" w:eastAsia="方正仿宋_GBK" w:cs="方正仿宋_GBK"/>
          <w:b w:val="0"/>
          <w:bCs/>
          <w:sz w:val="32"/>
          <w:szCs w:val="32"/>
          <w:highlight w:val="none"/>
          <w:lang w:val="en-US" w:eastAsia="zh-CN"/>
        </w:rPr>
      </w:pP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Fonts w:hint="eastAsia" w:ascii="方正仿宋_GBK" w:hAnsi="方正仿宋_GBK" w:eastAsia="方正仿宋_GBK" w:cs="方正仿宋_GBK"/>
          <w:b w:val="0"/>
          <w:bCs/>
          <w:spacing w:val="-4"/>
          <w:sz w:val="32"/>
          <w:szCs w:val="32"/>
          <w:highlight w:val="none"/>
          <w:lang w:val="en-US" w:eastAsia="zh-CN"/>
        </w:rPr>
        <w:t>②</w:t>
      </w:r>
      <w:r>
        <w:rPr>
          <w:rStyle w:val="10"/>
          <w:rFonts w:hint="eastAsia" w:ascii="方正仿宋_GBK" w:hAnsi="方正仿宋_GBK" w:eastAsia="方正仿宋_GBK" w:cs="方正仿宋_GBK"/>
          <w:b w:val="0"/>
          <w:bCs/>
          <w:spacing w:val="-4"/>
          <w:sz w:val="32"/>
          <w:szCs w:val="32"/>
          <w:highlight w:val="none"/>
        </w:rPr>
        <w:t>效益指标完成情况分析</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a、</w:t>
      </w:r>
      <w:r>
        <w:rPr>
          <w:rStyle w:val="10"/>
          <w:rFonts w:hint="eastAsia" w:ascii="方正仿宋_GBK" w:hAnsi="方正仿宋_GBK" w:eastAsia="方正仿宋_GBK" w:cs="方正仿宋_GBK"/>
          <w:b w:val="0"/>
          <w:bCs/>
          <w:spacing w:val="-4"/>
          <w:sz w:val="32"/>
          <w:szCs w:val="32"/>
          <w:highlight w:val="none"/>
        </w:rPr>
        <w:t>项目实施的经济效益分析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“脱贫户人均务工年收入（万元）”指标，指标标杆值为大于等于1.5万元，实际完成值为1.5万元，指标完成率为100%。指标确定依据为企业提供的务工人员工资表，该指标分值为10分，实际得分为10分。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b、</w:t>
      </w:r>
      <w:r>
        <w:rPr>
          <w:rStyle w:val="10"/>
          <w:rFonts w:hint="eastAsia" w:ascii="方正仿宋_GBK" w:hAnsi="方正仿宋_GBK" w:eastAsia="方正仿宋_GBK" w:cs="方正仿宋_GBK"/>
          <w:b w:val="0"/>
          <w:bCs/>
          <w:spacing w:val="-4"/>
          <w:sz w:val="32"/>
          <w:szCs w:val="32"/>
          <w:highlight w:val="none"/>
        </w:rPr>
        <w:t>项目实施的社会效益分析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“受益脱贫人口数（人）”指标，指标标杆值为大于等于200人，实际完成值为200人，指标完成率为100%。指标确定依据为《2022年以奖代补项目受益户名单》，该指标分值为10分，实际得分为10分。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c、</w:t>
      </w:r>
      <w:r>
        <w:rPr>
          <w:rStyle w:val="10"/>
          <w:rFonts w:hint="eastAsia" w:ascii="方正仿宋_GBK" w:hAnsi="方正仿宋_GBK" w:eastAsia="方正仿宋_GBK" w:cs="方正仿宋_GBK"/>
          <w:b w:val="0"/>
          <w:bCs/>
          <w:spacing w:val="-4"/>
          <w:sz w:val="32"/>
          <w:szCs w:val="32"/>
          <w:highlight w:val="none"/>
        </w:rPr>
        <w:t>项目实施的生态效益分析</w:t>
      </w:r>
    </w:p>
    <w:p>
      <w:pPr>
        <w:spacing w:line="560" w:lineRule="exact"/>
        <w:ind w:firstLine="640" w:firstLineChars="200"/>
        <w:rPr>
          <w:rFonts w:hint="eastAsia" w:ascii="方正仿宋_GBK" w:hAnsi="方正仿宋_GBK" w:eastAsia="方正仿宋_GBK" w:cs="方正仿宋_GBK"/>
          <w:b w:val="0"/>
          <w:bCs/>
          <w:sz w:val="32"/>
          <w:szCs w:val="32"/>
          <w:highlight w:val="none"/>
          <w:lang w:val="en-US" w:eastAsia="zh-CN"/>
        </w:rPr>
      </w:pPr>
      <w:r>
        <w:rPr>
          <w:rFonts w:hint="eastAsia" w:ascii="方正仿宋_GBK" w:hAnsi="方正仿宋_GBK" w:eastAsia="方正仿宋_GBK" w:cs="方正仿宋_GBK"/>
          <w:b w:val="0"/>
          <w:bCs/>
          <w:sz w:val="32"/>
          <w:szCs w:val="32"/>
          <w:highlight w:val="none"/>
          <w:lang w:eastAsia="zh-CN"/>
        </w:rPr>
        <w:t>无。</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d、</w:t>
      </w:r>
      <w:r>
        <w:rPr>
          <w:rStyle w:val="10"/>
          <w:rFonts w:hint="eastAsia" w:ascii="方正仿宋_GBK" w:hAnsi="方正仿宋_GBK" w:eastAsia="方正仿宋_GBK" w:cs="方正仿宋_GBK"/>
          <w:b w:val="0"/>
          <w:bCs/>
          <w:spacing w:val="-4"/>
          <w:sz w:val="32"/>
          <w:szCs w:val="32"/>
          <w:highlight w:val="none"/>
        </w:rPr>
        <w:t>项目实施的可持续影响分析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“企业与脱贫户签订劳动合同年限（年）”指标，指标标杆值为3年达成预期指标，指标完成率为100%。指标确定依据为《企业跟员工签订的就业合同》。指标分值为10分，实际得分为10分。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Fonts w:hint="eastAsia" w:ascii="方正仿宋_GBK" w:hAnsi="方正仿宋_GBK" w:eastAsia="方正仿宋_GBK" w:cs="方正仿宋_GBK"/>
          <w:b w:val="0"/>
          <w:bCs/>
          <w:spacing w:val="-4"/>
          <w:sz w:val="32"/>
          <w:szCs w:val="32"/>
          <w:highlight w:val="none"/>
          <w:lang w:val="en-US" w:eastAsia="zh-Hans"/>
        </w:rPr>
        <w:t>③</w:t>
      </w:r>
      <w:r>
        <w:rPr>
          <w:rStyle w:val="10"/>
          <w:rFonts w:hint="eastAsia" w:ascii="方正仿宋_GBK" w:hAnsi="方正仿宋_GBK" w:eastAsia="方正仿宋_GBK" w:cs="方正仿宋_GBK"/>
          <w:b w:val="0"/>
          <w:bCs/>
          <w:spacing w:val="-4"/>
          <w:sz w:val="32"/>
          <w:szCs w:val="32"/>
          <w:highlight w:val="none"/>
        </w:rPr>
        <w:t>满意度指标完成情况分析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“受益脱贫户满意度（%）”指标，指标标杆值为大于等于95%，根据满意度调查问卷可知，实际完成值为95%，指标完成率为100%。该指标分值为5分，实际得分为5分。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“受益企业满意度（%）”指标，指标标杆值为大于等于95%，根据满意度调查问卷可知，实际完成值为95%，指标完成率为100%。该指标分值为5分，实际得分为5分。</w:t>
      </w:r>
    </w:p>
    <w:p>
      <w:pPr>
        <w:numPr>
          <w:ilvl w:val="0"/>
          <w:numId w:val="0"/>
        </w:numPr>
        <w:spacing w:line="600" w:lineRule="exact"/>
        <w:ind w:firstLine="640" w:firstLineChars="200"/>
        <w:rPr>
          <w:rFonts w:hint="eastAsia" w:ascii="方正黑体_GBK" w:hAnsi="方正黑体_GBK" w:eastAsia="方正黑体_GBK" w:cs="方正黑体_GBK"/>
          <w:b/>
          <w:color w:val="000000"/>
          <w:sz w:val="32"/>
          <w:szCs w:val="32"/>
          <w:highlight w:val="none"/>
          <w:lang w:val="en-US" w:eastAsia="zh-CN"/>
        </w:rPr>
      </w:pPr>
      <w:r>
        <w:rPr>
          <w:rFonts w:hint="eastAsia" w:ascii="方正黑体_GBK" w:hAnsi="方正黑体_GBK" w:eastAsia="方正黑体_GBK" w:cs="方正黑体_GBK"/>
          <w:b/>
          <w:color w:val="000000"/>
          <w:sz w:val="32"/>
          <w:szCs w:val="32"/>
          <w:highlight w:val="none"/>
          <w:lang w:val="en-US" w:eastAsia="zh-CN"/>
        </w:rPr>
        <w:t>四、偏离绩效目标的原因和下一步改进措施</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未偏离绩效目标，不存在偏离绩效目标分析及下一步改进措施。</w:t>
      </w:r>
    </w:p>
    <w:p>
      <w:pPr>
        <w:numPr>
          <w:ilvl w:val="0"/>
          <w:numId w:val="0"/>
        </w:numPr>
        <w:spacing w:line="600" w:lineRule="exact"/>
        <w:ind w:firstLine="640" w:firstLineChars="200"/>
        <w:rPr>
          <w:rFonts w:hint="eastAsia" w:ascii="方正黑体_GBK" w:hAnsi="方正黑体_GBK" w:eastAsia="方正黑体_GBK" w:cs="方正黑体_GBK"/>
          <w:b/>
          <w:color w:val="000000"/>
          <w:sz w:val="32"/>
          <w:szCs w:val="32"/>
          <w:highlight w:val="none"/>
          <w:lang w:val="en-US" w:eastAsia="zh-CN"/>
        </w:rPr>
      </w:pPr>
      <w:r>
        <w:rPr>
          <w:rFonts w:hint="eastAsia" w:ascii="方正黑体_GBK" w:hAnsi="方正黑体_GBK" w:eastAsia="方正黑体_GBK" w:cs="方正黑体_GBK"/>
          <w:b/>
          <w:color w:val="000000"/>
          <w:sz w:val="32"/>
          <w:szCs w:val="32"/>
          <w:highlight w:val="none"/>
          <w:lang w:val="en-US" w:eastAsia="zh-CN"/>
        </w:rPr>
        <w:t>五、绩效自评结果拟应用和公开情况</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的实施，鼓励企业吸纳脱贫户稳定就业，提高财政资金使用效益，巩固脱贫攻坚成果。本次评价通过文件研读、实地调研、数据采集、问卷调查等方式，全面了解2022年就业“以奖代补”项目资金的使用效率和效果，项目自评得分为100分，评级为优。</w:t>
      </w:r>
    </w:p>
    <w:p>
      <w:pPr>
        <w:pStyle w:val="4"/>
        <w:numPr>
          <w:ilvl w:val="0"/>
          <w:numId w:val="0"/>
        </w:numPr>
        <w:bidi w:val="0"/>
        <w:ind w:leftChars="200" w:right="0" w:rightChars="0"/>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（一）对绩效自评结果拟应用情况进行说明</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pStyle w:val="4"/>
        <w:numPr>
          <w:ilvl w:val="0"/>
          <w:numId w:val="0"/>
        </w:numPr>
        <w:bidi w:val="0"/>
        <w:ind w:leftChars="200" w:right="0" w:rightChars="0"/>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（二）对项目、绩效公告公示情况进行说明</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20日前对项目绩效目标在疏勒县人民政府网（http://www.shule.gov.cn/）进行公开。项目实施前在相关乡镇进行张榜公开，接受社会监督。</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F5942BF-7301-4BBF-A8E5-4D75D4760B6C}"/>
  </w:font>
  <w:font w:name="方正黑体_GBK">
    <w:altName w:val="微软雅黑"/>
    <w:panose1 w:val="03000509000000000000"/>
    <w:charset w:val="86"/>
    <w:family w:val="auto"/>
    <w:pitch w:val="default"/>
    <w:sig w:usb0="00000000" w:usb1="00000000" w:usb2="00000000" w:usb3="00000000" w:csb0="00040000" w:csb1="00000000"/>
    <w:embedRegular r:id="rId2" w:fontKey="{9253F0AE-6204-4F23-88DD-F7608F177CD7}"/>
  </w:font>
  <w:font w:name="DejaVu Sans">
    <w:altName w:val="Times New Roman"/>
    <w:panose1 w:val="00000000000000000000"/>
    <w:charset w:val="00"/>
    <w:family w:val="roman"/>
    <w:pitch w:val="default"/>
    <w:sig w:usb0="00000000" w:usb1="00000000" w:usb2="00000008"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3" w:fontKey="{07EB0CC1-BB58-4066-A21E-72D3C2F1F0DF}"/>
  </w:font>
  <w:font w:name="方正楷体_GBK">
    <w:altName w:val="微软雅黑"/>
    <w:panose1 w:val="03000509000000000000"/>
    <w:charset w:val="86"/>
    <w:family w:val="auto"/>
    <w:pitch w:val="default"/>
    <w:sig w:usb0="00000000" w:usb1="00000000" w:usb2="00000000" w:usb3="00000000" w:csb0="00040000" w:csb1="00000000"/>
    <w:embedRegular r:id="rId4" w:fontKey="{CA6E7716-6FF0-4F4C-85A6-315F628A121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9151F4"/>
    <w:multiLevelType w:val="singleLevel"/>
    <w:tmpl w:val="F19151F4"/>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27E2C42"/>
    <w:rsid w:val="04E67E70"/>
    <w:rsid w:val="06BA6855"/>
    <w:rsid w:val="081964C7"/>
    <w:rsid w:val="08F92CB0"/>
    <w:rsid w:val="0E413E76"/>
    <w:rsid w:val="15702017"/>
    <w:rsid w:val="1573655D"/>
    <w:rsid w:val="15B050D4"/>
    <w:rsid w:val="17024DB7"/>
    <w:rsid w:val="172B2A15"/>
    <w:rsid w:val="1AF3298D"/>
    <w:rsid w:val="1D2D7103"/>
    <w:rsid w:val="1E0E0492"/>
    <w:rsid w:val="214E5D9B"/>
    <w:rsid w:val="24190081"/>
    <w:rsid w:val="252020F0"/>
    <w:rsid w:val="2664208B"/>
    <w:rsid w:val="28CF0A18"/>
    <w:rsid w:val="30F46739"/>
    <w:rsid w:val="3211419A"/>
    <w:rsid w:val="32D43886"/>
    <w:rsid w:val="38C472FD"/>
    <w:rsid w:val="40244B5B"/>
    <w:rsid w:val="44D97DC9"/>
    <w:rsid w:val="44FB13EC"/>
    <w:rsid w:val="45575566"/>
    <w:rsid w:val="45BE3954"/>
    <w:rsid w:val="473E183D"/>
    <w:rsid w:val="53234805"/>
    <w:rsid w:val="53DF6EC5"/>
    <w:rsid w:val="554C42BB"/>
    <w:rsid w:val="58C73057"/>
    <w:rsid w:val="5BFA7E97"/>
    <w:rsid w:val="5EE21DA8"/>
    <w:rsid w:val="626C6990"/>
    <w:rsid w:val="63411509"/>
    <w:rsid w:val="64A0710F"/>
    <w:rsid w:val="69FD1F5F"/>
    <w:rsid w:val="6F125C62"/>
    <w:rsid w:val="765F0413"/>
    <w:rsid w:val="77EB5308"/>
    <w:rsid w:val="7AC84BA7"/>
    <w:rsid w:val="7C1B3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620" w:lineRule="exact"/>
      <w:ind w:left="0" w:leftChars="0" w:right="0" w:rightChars="0" w:firstLine="880" w:firstLineChars="200"/>
      <w:outlineLvl w:val="0"/>
    </w:pPr>
    <w:rPr>
      <w:rFonts w:ascii="Times New Roman" w:hAnsi="Times New Roman" w:eastAsia="方正黑体_GBK"/>
      <w:kern w:val="44"/>
      <w:sz w:val="32"/>
    </w:rPr>
  </w:style>
  <w:style w:type="paragraph" w:styleId="4">
    <w:name w:val="heading 2"/>
    <w:basedOn w:val="3"/>
    <w:next w:val="1"/>
    <w:unhideWhenUsed/>
    <w:qFormat/>
    <w:uiPriority w:val="0"/>
    <w:pPr>
      <w:keepNext/>
      <w:keepLines/>
      <w:numPr>
        <w:ilvl w:val="0"/>
        <w:numId w:val="1"/>
      </w:numPr>
      <w:ind w:firstLine="0"/>
      <w:outlineLvl w:val="1"/>
    </w:pPr>
    <w:rPr>
      <w:rFonts w:ascii="DejaVu Sans" w:hAnsi="DejaVu Sans" w:eastAsia="楷体" w:cstheme="minorBidi"/>
      <w:kern w:val="2"/>
    </w:rPr>
  </w:style>
  <w:style w:type="paragraph" w:styleId="5">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10">
    <w:name w:val="Strong"/>
    <w:basedOn w:val="9"/>
    <w:qFormat/>
    <w:uiPriority w:val="0"/>
    <w:rPr>
      <w:b/>
      <w:bCs/>
    </w:rPr>
  </w:style>
  <w:style w:type="paragraph" w:customStyle="1" w:styleId="11">
    <w:name w:val="FZ标题4"/>
    <w:basedOn w:val="5"/>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2">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paragraph" w:customStyle="1" w:styleId="13">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6011</Words>
  <Characters>6441</Characters>
  <Lines>0</Lines>
  <Paragraphs>0</Paragraphs>
  <TotalTime>3</TotalTime>
  <ScaleCrop>false</ScaleCrop>
  <LinksUpToDate>false</LinksUpToDate>
  <CharactersWithSpaces>6443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