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疏勒县工业园区管委会2022年化债项目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疏勒南疆齐鲁工业园区管理委员会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疏勒南疆齐鲁工业园区管理委员会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范克杰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工业园区管委会2022年化债项目实施前期、过程及效果，评价财政预算资金使用的效率及效益。通过实施本项目贯彻落实国家债务管理政策，有效缓解政府资金不足的现状，有效规范政府债务管理，有效提高了政府公信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疏勒南疆齐鲁工业园区管理委员会为全额事业单位，疏勒南疆齐鲁工业园区管理委员会设下列内设机构:综合办公室、综合执法大队、辖区派出所、招商发展中心、就业服务中心。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单位的职能如下：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（一）负责宣传和贯彻执行党的路线、方针、政策和法律法规；负责园区内党建和党员、干部队伍建设及管理工作。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行使地区赋予工业园区管委会的审批权限。负责制定工业园区国民经济和社会发展规划、产业政策、发展计划；负责工业园区招商引资，研究拟定工业园区招商引资优惠政策、招商引资项目的跟踪服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（三）负责工业园区工程建设及基础设施建设，组织编制及实施工业园区总体规划。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（四）负责工业园区公共事务管理，社会综合执法监督。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（五）指定工业园区安全生产工作规划和年度工作计划。负责对工业园区的安全生产监督管理。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（六）承办地委、行署交办的其他事项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疏南疆齐鲁工业园区管理委员会，核定全额预算管理事业编制16名，其中:县级导职数5名(正县级2名、副县级3名)，科级领导职数11名。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用于化解我单位6个项目债务，支付资金：395.35万元，其中：计划化解设计类债务项目1个，支付资金1.8万元；化解施工类债务项目5个，支付资金393.55万元。具体明细如下：疏勒县南疆齐鲁工业园区山东物流园贸易区E、Q道路绿化工程设计项目2022年应化解债务1.80万元，疏勒县南疆齐鲁工业园区山东物流贸易区E、Q道路绿化项目2022年应化解债务41.80万元，疏勒县南疆齐鲁工业园区环境整治绿化项目2022年应化解债务31.75万元，疏勒县南疆齐鲁工业园齐鲁生态钢城污水处理厂工程项目2022年应化解债务150万元，疏勒县南疆齐鲁工业园喀什金岭球团附属道路工程项目2022年应化解债务70万元，疏勒县南疆齐鲁工业园管理委员会新建公路穿越南疆铁路工程项目2022年应化解债务100万元。由于以上项目在当初实施的时候没有资金来源，纳入债务监测平台解决疏勒南疆齐鲁工业园区管委会2022年应化解债务395.35万元。通过实施本项目贯彻落实国家债务管理政策，有效缓解政府资金不足的现状，有效规范政府债务管理，严格控制政府债务风险，不断提升政府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根据债务监测平台2022年度化债计划并根据2022年度项目预算共安排下达资金395.35万元，为县财力资金，最终确定项目资金总数为395.35万元。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388.91万元，执行率98.37%。因6个项目其中2个项目是按照审计核减金额支付的，即：疏勒县南疆齐鲁工业园区山东物流贸易区E、Q道路绿化项目总金额41.80万元，审计核减金额2.9万元，实际支付金额38.90万元；疏勒县南疆齐鲁工业园区环境整洁绿化项目总金额31.75万元，审计核减金额3.54万元；其他4个项目按照年初预算数支付完成。</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资金计划用于化解我单位6个项目债务,2022年应化解债务395.35万元，具体明细如下：疏勒县南疆齐鲁工业园区山东物流园贸易区E、Q道路绿化工程设计项目2022年应化解债务1.80万元，疏勒县南疆齐鲁工业园区山东物流贸易区E、Q道路绿化项目2022年应化解债务41.80万元，疏勒县南疆齐鲁工业园区环境整治绿化项目2022年应化解债务31.75万元，疏勒县南疆齐鲁工业园齐鲁生态钢城污水处理厂工程项目2022年应化解债务150万元，疏勒县南疆齐鲁工业园喀什金岭球团附属道路工程项目2022年应化解债务70万元，疏勒县南疆齐鲁工业园管理委员会新建公路穿越南疆铁路工程项目2022年应化解债务100万元。由于以上项目在当初实施的时候没有资金来源，现用县财力解决疏勒南疆齐鲁工业园区管委会2022年应化解债务395.35万元。通过实施本项目贯彻落实国家债务管理政策，有效缓解政府资金不足的现状，有效规范政府债务管理，严格控制政府债务风险，不断提升政府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本项目设置一级指标3个，二级指标7个，三级指标18个，指标量化率83.33%。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数量指标：拟化解债务项目数，年初目标值等于6个，质量指标：债务纠纷发案率，年初目标值等于0%；资金使用合规率，年初目标值等于100%；竣工验收合格率，年初目标值等于100%；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时效指标：债务偿还及时性，年初目标值等于100%；资金拨付及时率，年初目标值等于100%；项目完成时间，年初目标值2022年11月；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疏勒县南疆齐鲁工业园区山东物流贸易区E、Q道路绿化项目尾款，年初目标值小于等于41.80万元；疏勒县南疆齐鲁工业园齐鲁生态钢城污水处理厂工程项目尾款，年初目标值小于等于150万元；疏勒县南疆齐鲁工业园区环境整洁绿化项目尾款，年初目标值小于等于31.75万元；疏勒县南疆齐鲁工业园喀什金岭球团附属道路工程项目尾款，年初目标值小于等于70万元；疏勒县南疆齐鲁工业园管理委员会新建公路穿越南疆铁路工程项目尾款，年初目标值小于等于100万元；疏勒县南疆齐鲁工业园区山东物流园贸易区E、Q道路绿化工程设计项目尾款，年初目标值小于等于1.8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经济效益指标：有效减轻企业经济压力，年初目标值有效减轻；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社会效益指标：债务风险控制率，年初目标值等于100%有效提升政府公信力程度，年初目标值等于100%；保障园区环境整治工作顺利开展，年初目标值有效保障；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满意度指标：受益企业满意度，年初目标值大于等于95%。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伊卜拉伊木任评价组组长，绩效评价工作职责为负责全盘工作。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范克杰、康丽华任评价组副组长，绩效评价工作职责为为对项目实施情况进行实地调查。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祖丽胡马尔、张飞任评价组成员，绩效评价工作职责为负责资料审核等工作。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经评价组通过实地调研、综合分析法、问卷调查法等方式，主要采用综合分析法对项目的决策、实施、产出、效益进行综合评价分析，最终评分99.92分。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通过此次绩效评价，单位年初制定目标基本实现，重点评价数量和质量均达到预期、资金管理到位、组织和制度保障体系健全。经逐项对照自评，该项目最终评分99.92分，绩效评级为“优”。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（1）立项依据充分性：结合负责工业园区工程建设及基础设施建设，组织编制及实施工业园区总体规划职责，并组织实施。围绕2022年度工作重点和工作计划制定经费预算，根据评分标准，该指标不扣分，得3分。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（2）立项程序规范性：根据决策依据编制工作计划和经费预算，经过与我单位分管领导进行沟通、筛选确定经费预算计划，上党委会研究确定最终预算方案，根据评分标准，该指标不扣分，得2分。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（4）管理制度健全性：制定了疏勒县齐鲁工业园相关管理办法，对财政专项资金进行严格管理，基本做到了专款专用，根据评分标准，该指标不扣分，得2分。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拟化解债务项目数等于6个，根据项目实施方案得出，与预期目标一致，根据评分标准，该指标不扣分，得10分。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债务纠纷发案率等于0%，根据验收单得出，与预期目标一致，根据评分标准，该指标不扣分，得3分。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资金使用合规率等于100%，根据资金支付审批单得出，与预期目标一致，根据评分标准，该指标不扣分，得4分。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竣工验收合格率等于100%，根据验收单得出，与预期目标一致，根据评分标准，该指标不扣分，得3分。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项目完成时间2022年11月，根据资金支付台账和验收单得出，与预期目标指标一致，根据评分标准，该指标不扣分，得3分。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债务偿还及时性等于100%，根据资金支付台账得出，与预期目标一致，根据评分标准，该指标不扣分，得3分。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资金拨付及时率等于100%，根据资金支付台账得出，与预期目标一致，根据评分标准，该指标不扣分，得4分。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南疆齐鲁工业园区山东物流贸易区E、Q道路绿化项目尾款小于等于41.80万元，根据审计报告和资金支付台账得出，实际完成值38.9万元，根据评分标准，该指标不扣分，得1分。与预期目标值不一致原因：该指标是按照审计核减金额支付的，审计核减金额2.9万元，实际支付金额38.90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疏勒县南疆齐鲁工业园齐鲁生态钢城污水处理厂工程项目尾款小于等于150万元，根据资金支付台账得出，与预期目标一致，项目经费都能控制绩效目标范围内，根据评分标准，该指标不扣分，得2分。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南疆齐鲁工业园区环境整洁绿化项目尾款小于等于31.75万元，根据审计报告和资金支付台账得出，实际完成值28.21万元，根据评分标准3分，该指标不扣分，得3分。与预期目标值不一致原因：该指标是按照审计核减金额支付的，审计核减金额3.54万元，实际支付金额28.21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疏勒县南疆齐鲁工业园喀什金岭球团附属道路工程项目尾款小于等于70万元，根据资金支付台账得出，与预期目标一致，项目经费都能控制绩效目标范围内，根据评分标准，该指标不扣分，得2分。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疏勒县南疆齐鲁工业园管理委员会新建公路穿越南疆铁路工程项目尾款小于等于100万元，根据资金支付台账得出，与预期目标一致，项目经费都能控制绩效目标范围内，根据评分标准，该指标不扣分，得2分。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疏勒县南疆齐鲁工业园区山东物流园贸易区E、Q道路绿化工程设计项目尾款小于等于1.8万元，根据资金支付台账得出，与预期目标一致，项目经费都能控制绩效目标范围内，根据评分标准，该指标不扣分，得2分。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债务风险控制率等于100%，根据项目满意度调查表得出与预期目标一致与预期指标一致，根据评分标准，该指标不扣分，得2分。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有效提升政府公信力程度等于100%，根据项目满意度调查表得出与预期指标一致，根据评分标准，该指标不扣分，得3分。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保障园区环境整治工作顺利开展，根据项目满意度调查表得出与预期指标一致，根据评分标准，该指标不扣分，得2分。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有效减轻企业经济压力，根据项目满意度调查表得出与预期指标一致，根据评分标准，该指标不扣分，得3分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对于“满意度指标：受益企业满意度小于等于95%，根据项目满意度调查表得出与预期目标一致，根据评分标准，该指标不扣分,得10分。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工业园区管委会2022年化债项目预算395.35万元，到位395.35万元，实际支出388.91万元，预算执行率为98.37%，项目绩效指标总体完成率为100%，偏差率为1.63%,偏差原因：6个项目其中2个项目是按照审计核减金额支付的，即：疏勒县南疆齐鲁工业园区山东物流贸易区E、Q道路绿化项目总金额41.80万元，审计核减金额2.9万元，实际支付金额38.90万元；疏勒县南疆齐鲁工业园区环境整洁绿化项目总金额31.75万元，审计核减金额3.54万元；其他4个项目按照年初预算数支付完成。采取的措施项目工程款我单位严格按照审计价已支付完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财务管理制度健全。按照财务管理制度的要求严格遵循使用范围，资金财政拨款到位后及时进行了项目开展和资金投入。我单位目前对资金的管理按照支出涉及的经济科目规定，根据财务管理办法的相关制度执行，资金使用情况及时公开，有力保证了工作推进和资金安全、合规、高效使用。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资金拨付审批手续完整。各业务科室根据制定的工作计划，按程序报相关领导审批，申请国库集中支付。各项资金全部实现国库集中支付、专款专用，不存在支出依据不合规、虚列项目支出、截留、挤占、挪用和超标准支出等现象，使资金的运用得到了合理的控制，工作进度和质量得到了切实的保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会计信息质量真实。严格执行《会计法》等财经法规，严格按照相关会计制度办理会计业务，进行会计核算，并做好会计记录，真实的反映资金管理情况，并接受市级财政、审批部门及相关部门的检查、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一是绩效评价方面还有待加强。对单位的绩效评价报告质量还有待提高，绩效指标体系还有待完善，绩效管理工作机制还有待进一步健全。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二是绩效管理经验不足。部分业务人员绩效管理意识有待增强，未能全面深入认识理解绩效管理工作的意义。绩效管理经验不足，预算绩效管理工作有待进一步落实。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三是绩效指标的明确性、可衡量性、相关性还需进一步提升。预算精细化管理还需完善，预算编制管理水平仍有进一步提升的空间。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完善绩效考评体系，使考评有据可依。加强财政项目资金管理，保证项目资金使用管理的规范性、安全性和有效性。加强财务规范管理，提高财务管理人员业务素质，多组织财务管理人员岗位培训，学习与财务工作相关的知识，扩大知识面、拓宽视野、开阔思路，在业务上不断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四是续完善预算绩效管理相关工作制度，建立全过程预算绩效管理链条，有效贯彻落实全面实施绩效管理的精神。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F1D8CD-C776-4EE2-8A33-C1DD139384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C9FA365-A04E-41CF-B7FE-273E4C9B82D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C1173246-B3BB-43D0-B589-62F5974F315E}"/>
  </w:font>
  <w:font w:name="楷体">
    <w:panose1 w:val="02010609060101010101"/>
    <w:charset w:val="86"/>
    <w:family w:val="modern"/>
    <w:pitch w:val="default"/>
    <w:sig w:usb0="800002BF" w:usb1="38CF7CFA" w:usb2="00000016" w:usb3="00000000" w:csb0="00040001" w:csb1="00000000"/>
    <w:embedRegular r:id="rId4" w:fontKey="{366B5D8F-B4A3-4C63-AFB1-36A03F62D881}"/>
  </w:font>
  <w:font w:name="方正仿宋_GBK">
    <w:panose1 w:val="02000000000000000000"/>
    <w:charset w:val="86"/>
    <w:family w:val="auto"/>
    <w:pitch w:val="default"/>
    <w:sig w:usb0="A00002BF" w:usb1="38CF7CFA" w:usb2="00082016" w:usb3="00000000" w:csb0="00040001" w:csb1="00000000"/>
    <w:embedRegular r:id="rId5" w:fontKey="{99CE3574-4DE7-4CFB-B571-14AC7D0C97A8}"/>
  </w:font>
  <w:font w:name="仿宋">
    <w:panose1 w:val="02010609060101010101"/>
    <w:charset w:val="86"/>
    <w:family w:val="modern"/>
    <w:pitch w:val="default"/>
    <w:sig w:usb0="800002BF" w:usb1="38CF7CFA" w:usb2="00000016" w:usb3="00000000" w:csb0="00040001" w:csb1="00000000"/>
    <w:embedRegular r:id="rId6" w:fontKey="{D042F6F5-1890-434E-B9CF-7EBFEEAD3B7C}"/>
  </w:font>
  <w:font w:name="方正楷体_GBK">
    <w:altName w:val="微软雅黑"/>
    <w:panose1 w:val="00000000000000000000"/>
    <w:charset w:val="86"/>
    <w:family w:val="auto"/>
    <w:pitch w:val="default"/>
    <w:sig w:usb0="00000000" w:usb1="00000000" w:usb2="00000000" w:usb3="00000000" w:csb0="00040000" w:csb1="00000000"/>
    <w:embedRegular r:id="rId7" w:fontKey="{94AA112D-9C9B-4420-9517-75456CE5E09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78816B1"/>
    <w:rsid w:val="4D2606A1"/>
    <w:rsid w:val="4DD42C22"/>
    <w:rsid w:val="503863D1"/>
    <w:rsid w:val="50796DE0"/>
    <w:rsid w:val="5DA70C36"/>
    <w:rsid w:val="62602BA9"/>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2023-11-03T09:25:16Z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2FE304EC833E4B8097EE24EBC1E372FC_12</vt:lpwstr>
  </property>
</Properties>
</file>