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疏勒县2022年项目前期费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疏勒县发展和改革委员会（疏勒县粮食和物资储备局）（本级）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疏勒县发展和改革委员会（疏勒县粮食和物资储备局）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李淑芳</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2023年03月27日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2022年，我县投入县财政资金3000万元，安排用于债券项目、中央预算内项目、援疆项目、乡村振兴衔接等项目前期工作经费和做各类规划编制，至少完成80个及以上项目前期建设工作和6个及以上规划编制工作，以确保我县项目顺利推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项目前期工作和编制各类规划方案工作采取县领导分包、相关县直部门协调推进、项目业主单位具体实施的形式，对全县重点项目和规划进行重点推进。到今年底，争取中央预算内资金、债券资金、援疆资金、乡村振兴衔接资金等项目取得突破性进展或完工投产，乡村振兴战略规划，重点项目实施规划等取得实质性进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本项目实施主体为疏勒县发展和改革委员会，单位主要职能及编制如下：疏勒县发展和改革委员会编制10人，有三个科室，分别是：综合办公室、综合业务股、粮价股等。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疏勒县发展和改革委员会下属有两个预算单位，分别是：军粮供应站、粮油收储公司。军粮供应站编制数7人。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服务于项目前期工作和编制各类规划方案。项目前期工作和编制各类规划方案工作采取县领导分包、相关县直部门协调推进、项目业主单位具体实施的形式，对全县重点项目和规划进行重点推进。到今年底，争取中央预算内资金、债券资金、援疆资金、乡村振兴衔接资金等项目取得突破性进展或完工投产，乡村振兴战略规划，重点项目实施规划等取得实质性进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疏勒县2022年项目前期费根据疏勒县财政局下发的《疏勒县2022年项目前期费资金下达文件》要求来实施共安排下达资金3000万元，为县财力资金，年中调整2294.78万元，最终确定项目资金总数为705.22万元。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截至2022年12月31日，实际支出705.22万元，预算执行率100%。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前期工作和编制各类规划方案工作采取县领导分包、相关县直部门协调推进、项目业主单位具体实施的形式，对全县重点项目和规划进行重点推进。到今年底，争取中央预算内资金、债券资金、援疆资金、乡村振兴衔接资金等项目取得突破性进展或完工投产，乡村振兴战略规划，重点项目实施规划等取得实质性进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根据项目目标指标内容按阶段填写项目实施的前期准备工作、具体实施工作、验收阶段的具体工作，对工作内容进行详细描述，也可结合实际填写详实的工作计划。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本项目设置一级指标3个，二级指标7个，三级指标15个。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数量指标：项目前期费实施方案数量（个），年初目标值1个，完成前期工作的项目个数（个），年初目标值80个，完成规划编制报告数量（个），年初目标值6个；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质量指标：项目前期工作质量合格率（%），年初目标值100%，规划编制工作质量合格率（%），年初目标值100%；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时效指标：项目前期工作完成及时率（%），年初目标值100%，规划编制工作完成及时率（%），年初目标值100%，项目完成时间，年初目标值2022年12月；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成本指标：项目可研费（万元），年初目标值180万元，项目设计费（万元），年初目标值265.22万元，项目规划编制费（万元），年初目标值170万元，项目勘测费（万元），年初目标值90万元；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社会效益指标：重点项目前期工作和开工建设步伐，年初目标值有效提高；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可持续影响指标：工程设计使用年限（年），年初目标值10年；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满意度指标：服务企业满意度（%），年初目标值98%。</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实施效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司叶鹏任评价组组长，绩效评价工作职责为负责全盘工作。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阿迪力江·图尔荪任评价组副组长，绩效评价工作职责为为对项目实施情况进行实地调查。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李燕任评价组成员，绩效评价工作职责为负责资料审核等工作。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项目的实施对目前期工作和编制各类规划方案工作采取县领导分包、相关县直部门协调推进、项目业主单位具体实施的形式，对全县重点项目和规划进行重点推进。到今年底，争取中央预算内资金、债券资金、援疆资金、乡村振兴衔接资金等项目取得突破性进展或完工投产，乡村振兴战略规划，重点项目实施规划等取得实质性进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项目编制可研、设计、规划编制已完成，推动了中央预算内资金、债券资金、援疆资金、乡村振兴衔接资金等项目取得。该项目最终评分90分，绩效评级为“优”。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发展和改革委员会按照要求随同部门决算向本级财政部门报送绩效自评结果。疏勒县发展和改革委员会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疏勒县发展和改革委员会财政部门、预算部门按照要求将绩效评价结果分别编入政府决算和本部门决算，报送本级人民代表大会常务委员会，并依法予以公开。我局完全按此要求执行。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部门绩效档案应包括以下内容：疏勒县发展和改革委员会制定的规章制度、项目的立项批复、部门目标申报表、行业部门预算表、部门绩效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（1）立项依据充分性：结合部门职责，并组织实施。围绕2022年度工作重点和工作计划制定经费预算，根据评分标准，该指标不扣分，得3分。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（2）立项程序规范性：根据决策依据编制工作计划和经费预算，经过与发改委领导进行沟通、筛选确定经费预算计划，上党委会研究确定最终预算方案，根据评分标准，该指标不扣分，得2分。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项目产出类指标包括产出数量、产出质量、产出时效、产出成本4方面的内容，由4个三级指标构成，权重分为40分，实际得分40分，得分率为100%。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已编制实施方案1个，根据(疏勒县2022年项目前期费实施案)可知，与预期目标一致，根据评分标准，该指标不扣分，得5分。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项目规划编制报告6个，根据(疏勒县2022年项目规划编制情况)可知，与预期目标一致，根据评分标准，该指标不扣分，得2.5分。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完成项目前期工作80个，根据(疏勒县2022年项目前期工作)可知，与预期目标一致，根据评分标准，该指标不扣分，得2.5分。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项目前期工作质里合格率100%，根据(疏勒县2022年项目前期工作)可知，与预期目标一致，根据评分标准，该指标不扣分，得5分。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规划编制工作质量合格率100%，根据(疏勒县2022年项目规划编制)可知，与预期目标一致，根据评分标准，该指标不扣分，得5分.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项目前期工作完成及时率100%，根据(疏勒县2022年项目完成时间)可知，与预期目标一致，根据评分标准，该指标不扣分，得5分。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项目前规划编制工作完成及时率100%，根据(疏勒县2022年项目完成时间)可知，与预期目标一致，根据评分标准，该指标不扣分，得2.5分。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项目完成时间2022年12月，根据(疏勒县2022年项目完成时间)可知，与预期目标一致，根据评分标准，该指标不扣分，得2.5分。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项目可研费180万元，根据(疏勒县2022年前期费支付凭证)可知，与预期目标一致，根据评分标准，该指标不扣分，得2.5分。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项目设计费265.22万元，根据(疏勒县2022年前期费支付凭证)可知，与预期目标一致，根据评分标准，该指标不扣分，得2.5分。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项目可研费=180万元，根据(疏勒县2022年前期费支付凭证)可知，与预期目标一致，根据评分标准，该指标不扣分，得2.5分。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项目勘测费90万元，根据(疏勒县2022年前期费支付凭证)可知，与预期目标一致，根据评分标准，该指标不扣分，得2.5分。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绩效目标项目社会效益指标完成情况要重点项目前期工作和开工建设步伐有效提高，根据(疏勒县2022年项目前期费社会效益指标)可知，与预期指标一致，根据评分标准，该指标不扣分，得10分。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绩效目标项目社会效益指标工程设计使用年限10年以上，根据(疏勒县2022年项目前期费社会效益指标工程设计使用)可知，与预期指标一致，根据评分标准，该指标不扣分，得10分。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对于“满意度指标：项目单位满意度98%，根据(疏勒县2022年项目前期费满意度调查问卷)可知，与预期目标一致，根据评分标准，该指标不扣分,得10分。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县2022年项目前期费预算705.22万元，到位705.22万元，实际支出705.22万元，预算执行率为100%，项目绩效指标总体完成率为100%，偏差率为0%,采取的措施我单位将根据本次绩效评价报告中所反馈的问题，组织相关项目人员及时研究制定整改措施，积极落实整改要求，切实改进资金管理和项目管理，确保项目保质保量按期完成。</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前工作是建设工程中最重要的组成部分，同事前期工作也是项目决策的关键环节，建设工程施工质量的好与坏与项目的决策水平有着必然的联系。前期工程费指在取得土地开发权之后、项目开发前期的筹建、规划、设计、水文地质勘察、测绘、“三通一平”等前期费用。包括：筹建费、可行性研究费、规划费、设计费、地质勘察费、场地平整费、水电气费、临时设施费用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1、前期工作也是项目决策的关键环节，建设工程施工质量的好与坏与项目的决策水平有着必然的联系，缺乏对项目前期费的理解。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2、缺乏对前期攻坚是行动的重点，围绕加快项目前期工作进度，要突出抓好在谈项目和达成投资意向项目的推进工作。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3、缺乏围绕加快项目建设进度，要突出抓好影响项目建设进度的各类问题的协调和解决的重要性。</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用好项目前费用。项目前工作是建设工程中最重要的组成部分，同事前期工作也是项目决策的关键环节，建设工程施工质量的好与坏与项目的决策水平有着必然的联系。前期工程费指在取得土地开发权之后、项目开发前期的筹建、规划、设计、水文地质勘察、测绘、“三通一平”等前期费用。包括：筹建费、可行性研究费、规划费、设计费、地质勘察费、场地平整费、水电气费、临时设施费用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前期攻坚。前期攻坚是行动的重点，围绕加快项目前期工作进度，要突出抓好在谈项目和达成投资意向项目的推进工作。利用我县产业基础和区位优势，以调整优化产业结构、延伸产业链条为重点，谋划一批强县、立县的大项目，加强项目信息沟通对接，建立和完善充实项目库。对在谈项目，要进一步建立健全投资项目评估机制，积极引进国内外大公司、大集团，提高项目档次和质量;加大协调和盯办力度，积极配合投资方做好项目前期调研、选址等基础性工作，为项目及早达成投资意向创造条件。对达成投资意向的项目，要围绕项目备案(核准)、规划、环评、用地等前期工作，加大跑办力度，加强协调督导，尽快完善项目的各项审批手续，促进重点前期(谋划)项目尽快具备落地条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进度攻坚。进度攻坚是行动的关键。围绕加快项目建设进度，要突出抓好影响项目建设进度的各类问题的协调和解决。要进一步强化责任意识，对项目建设工作中存在的突出矛盾和问题，采取积极应对措施，督导项目业主单位强化时间、任务观念，做好工程施工节点衔接。要不断优化建设环境，切实加快项目建设进度，确保取得实质性进展，推动在建重点项目早日完工投产。</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疏勒县发展和改革委员会对上述项目支出绩效评价报告内反映内容的真实性、完整性负责，接受上级部门及社会公众监督。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C9BE199-DB1B-4FEE-B116-06DA52C5E6B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62D62C3-9345-4218-AD66-A9E9205E117A}"/>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DDB08D1F-7813-4438-BCA8-7BCFC69ADC35}"/>
  </w:font>
  <w:font w:name="楷体">
    <w:panose1 w:val="02010609060101010101"/>
    <w:charset w:val="86"/>
    <w:family w:val="modern"/>
    <w:pitch w:val="default"/>
    <w:sig w:usb0="800002BF" w:usb1="38CF7CFA" w:usb2="00000016" w:usb3="00000000" w:csb0="00040001" w:csb1="00000000"/>
    <w:embedRegular r:id="rId4" w:fontKey="{155D1FB8-CC68-447F-A24E-87680AA9549C}"/>
  </w:font>
  <w:font w:name="方正仿宋_GBK">
    <w:panose1 w:val="02000000000000000000"/>
    <w:charset w:val="86"/>
    <w:family w:val="auto"/>
    <w:pitch w:val="default"/>
    <w:sig w:usb0="A00002BF" w:usb1="38CF7CFA" w:usb2="00082016" w:usb3="00000000" w:csb0="00040001" w:csb1="00000000"/>
    <w:embedRegular r:id="rId5" w:fontKey="{24DE609B-8726-4840-B29D-5ED56BD477F0}"/>
  </w:font>
  <w:font w:name="仿宋">
    <w:panose1 w:val="02010609060101010101"/>
    <w:charset w:val="86"/>
    <w:family w:val="modern"/>
    <w:pitch w:val="default"/>
    <w:sig w:usb0="800002BF" w:usb1="38CF7CFA" w:usb2="00000016" w:usb3="00000000" w:csb0="00040001" w:csb1="00000000"/>
    <w:embedRegular r:id="rId6" w:fontKey="{377D66E4-94C6-4A36-ACF6-7691733D1AC5}"/>
  </w:font>
  <w:font w:name="方正楷体_GBK">
    <w:altName w:val="微软雅黑"/>
    <w:panose1 w:val="00000000000000000000"/>
    <w:charset w:val="86"/>
    <w:family w:val="auto"/>
    <w:pitch w:val="default"/>
    <w:sig w:usb0="00000000" w:usb1="00000000" w:usb2="00000000" w:usb3="00000000" w:csb0="00040000" w:csb1="00000000"/>
    <w:embedRegular r:id="rId7" w:fontKey="{8455C1B6-231D-4E36-BC45-E1CD2CFAFBBF}"/>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2693592"/>
    <w:rsid w:val="2AE11386"/>
    <w:rsid w:val="2D4C6AD2"/>
    <w:rsid w:val="2D5A6638"/>
    <w:rsid w:val="340D5924"/>
    <w:rsid w:val="43B04001"/>
    <w:rsid w:val="4609551D"/>
    <w:rsid w:val="4D2606A1"/>
    <w:rsid w:val="4DD42C22"/>
    <w:rsid w:val="503863D1"/>
    <w:rsid w:val="50796DE0"/>
    <w:rsid w:val="5D6727AB"/>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2023-11-03T09:24:57Z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FF879F7363A24850BACE29A8461C77C2_12</vt:lpwstr>
  </property>
</Properties>
</file>