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pacing w:line="560" w:lineRule="exact"/>
        <w:ind w:firstLine="667" w:firstLineChars="200"/>
        <w:jc w:val="center"/>
        <w:textAlignment w:val="auto"/>
        <w:rPr>
          <w:rFonts w:hint="eastAsia" w:ascii="方正仿宋_GBK" w:hAnsi="方正仿宋_GBK" w:eastAsia="方正仿宋_GBK" w:cs="方正仿宋_GBK"/>
          <w:b/>
          <w:spacing w:val="6"/>
          <w:kern w:val="0"/>
          <w:sz w:val="32"/>
          <w:szCs w:val="32"/>
          <w:highlight w:val="none"/>
        </w:rPr>
      </w:pPr>
      <w:bookmarkStart w:id="0" w:name="_GoBack"/>
      <w:bookmarkEnd w:id="0"/>
    </w:p>
    <w:p>
      <w:pPr>
        <w:keepNext w:val="0"/>
        <w:keepLines w:val="0"/>
        <w:pageBreakBefore w:val="0"/>
        <w:widowControl w:val="0"/>
        <w:kinsoku/>
        <w:wordWrap/>
        <w:topLinePunct w:val="0"/>
        <w:bidi w:val="0"/>
        <w:spacing w:line="560" w:lineRule="exact"/>
        <w:ind w:firstLine="667" w:firstLineChars="200"/>
        <w:jc w:val="center"/>
        <w:textAlignment w:val="auto"/>
        <w:rPr>
          <w:rFonts w:hint="eastAsia" w:ascii="方正仿宋_GBK" w:hAnsi="方正仿宋_GBK" w:eastAsia="方正仿宋_GBK" w:cs="方正仿宋_GBK"/>
          <w:b/>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b w:val="0"/>
          <w:bCs/>
          <w:spacing w:val="6"/>
          <w:kern w:val="0"/>
          <w:sz w:val="32"/>
          <w:szCs w:val="32"/>
          <w:highlight w:val="none"/>
        </w:rPr>
      </w:pPr>
    </w:p>
    <w:p>
      <w:pPr>
        <w:pStyle w:val="3"/>
        <w:rPr>
          <w:rFonts w:hint="eastAsia"/>
          <w:b w:val="0"/>
          <w:bCs/>
        </w:rPr>
      </w:pPr>
    </w:p>
    <w:p>
      <w:pPr>
        <w:spacing w:line="360" w:lineRule="auto"/>
        <w:jc w:val="center"/>
        <w:rPr>
          <w:rFonts w:hint="eastAsia" w:ascii="方正仿宋_GBK" w:hAnsi="方正仿宋_GBK" w:eastAsia="方正仿宋_GBK" w:cs="方正仿宋_GBK"/>
          <w:kern w:val="0"/>
          <w:sz w:val="32"/>
          <w:szCs w:val="32"/>
          <w:highlight w:val="none"/>
        </w:rPr>
      </w:pPr>
      <w:r>
        <w:rPr>
          <w:rFonts w:hint="eastAsia" w:ascii="方正黑体_GBK" w:hAnsi="方正黑体_GBK" w:eastAsia="方正黑体_GBK" w:cs="方正黑体_GBK"/>
          <w:kern w:val="0"/>
          <w:sz w:val="44"/>
          <w:szCs w:val="44"/>
          <w:highlight w:val="none"/>
        </w:rPr>
        <w:t>喀什地</w:t>
      </w:r>
      <w:r>
        <w:rPr>
          <w:rFonts w:hint="eastAsia" w:ascii="方正黑体_GBK" w:hAnsi="方正黑体_GBK" w:eastAsia="方正黑体_GBK" w:cs="方正黑体_GBK"/>
          <w:kern w:val="0"/>
          <w:sz w:val="44"/>
          <w:szCs w:val="44"/>
          <w:highlight w:val="none"/>
          <w:lang w:eastAsia="zh-CN"/>
        </w:rPr>
        <w:t>区疏勒县乡村振兴有效衔接资金</w:t>
      </w:r>
      <w:r>
        <w:rPr>
          <w:rFonts w:hint="eastAsia" w:ascii="方正黑体_GBK" w:hAnsi="方正黑体_GBK" w:eastAsia="方正黑体_GBK" w:cs="方正黑体_GBK"/>
          <w:kern w:val="0"/>
          <w:sz w:val="44"/>
          <w:szCs w:val="44"/>
          <w:highlight w:val="none"/>
          <w:lang w:val="en-US" w:eastAsia="zh-CN"/>
        </w:rPr>
        <w:t xml:space="preserve">   </w:t>
      </w:r>
      <w:r>
        <w:rPr>
          <w:rFonts w:hint="eastAsia" w:ascii="方正黑体_GBK" w:hAnsi="方正黑体_GBK" w:eastAsia="方正黑体_GBK" w:cs="方正黑体_GBK"/>
          <w:kern w:val="0"/>
          <w:sz w:val="44"/>
          <w:szCs w:val="44"/>
          <w:highlight w:val="none"/>
        </w:rPr>
        <w:t>项目资金绩效自评报告</w:t>
      </w: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r>
        <w:rPr>
          <w:rFonts w:hint="eastAsia" w:ascii="方正仿宋_GBK" w:hAnsi="方正仿宋_GBK" w:eastAsia="方正仿宋_GBK" w:cs="方正仿宋_GBK"/>
          <w:spacing w:val="6"/>
          <w:kern w:val="0"/>
          <w:sz w:val="32"/>
          <w:szCs w:val="32"/>
          <w:highlight w:val="none"/>
        </w:rPr>
        <w:t>（202</w:t>
      </w:r>
      <w:r>
        <w:rPr>
          <w:rFonts w:hint="eastAsia" w:ascii="方正仿宋_GBK" w:hAnsi="方正仿宋_GBK" w:eastAsia="方正仿宋_GBK" w:cs="方正仿宋_GBK"/>
          <w:spacing w:val="6"/>
          <w:kern w:val="0"/>
          <w:sz w:val="32"/>
          <w:szCs w:val="32"/>
          <w:highlight w:val="none"/>
          <w:lang w:val="en-US" w:eastAsia="zh-CN"/>
        </w:rPr>
        <w:t>2</w:t>
      </w:r>
      <w:r>
        <w:rPr>
          <w:rFonts w:hint="eastAsia" w:ascii="方正仿宋_GBK" w:hAnsi="方正仿宋_GBK" w:eastAsia="方正仿宋_GBK" w:cs="方正仿宋_GBK"/>
          <w:spacing w:val="6"/>
          <w:kern w:val="0"/>
          <w:sz w:val="32"/>
          <w:szCs w:val="32"/>
          <w:highlight w:val="none"/>
        </w:rPr>
        <w:t>年度）</w:t>
      </w: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spacing w:val="6"/>
          <w:kern w:val="0"/>
          <w:sz w:val="32"/>
          <w:szCs w:val="32"/>
          <w:highlight w:val="none"/>
          <w:lang w:val="en-US" w:eastAsia="zh-CN"/>
        </w:rPr>
      </w:pPr>
      <w:r>
        <w:rPr>
          <w:rFonts w:hint="eastAsia" w:ascii="方正仿宋_GBK" w:hAnsi="方正仿宋_GBK" w:eastAsia="方正仿宋_GBK" w:cs="方正仿宋_GBK"/>
          <w:spacing w:val="6"/>
          <w:kern w:val="0"/>
          <w:sz w:val="32"/>
          <w:szCs w:val="32"/>
          <w:highlight w:val="none"/>
        </w:rPr>
        <w:t>项目名称：2022年</w:t>
      </w:r>
      <w:r>
        <w:rPr>
          <w:rFonts w:hint="eastAsia" w:ascii="方正仿宋_GBK" w:hAnsi="方正仿宋_GBK" w:eastAsia="方正仿宋_GBK" w:cs="方正仿宋_GBK"/>
          <w:spacing w:val="6"/>
          <w:kern w:val="0"/>
          <w:sz w:val="32"/>
          <w:szCs w:val="32"/>
          <w:highlight w:val="none"/>
          <w:lang w:eastAsia="zh-CN"/>
        </w:rPr>
        <w:t>易地FP搬迁债券贴息补助项目</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spacing w:val="6"/>
          <w:kern w:val="0"/>
          <w:sz w:val="32"/>
          <w:szCs w:val="32"/>
          <w:highlight w:val="none"/>
        </w:rPr>
      </w:pPr>
      <w:r>
        <w:rPr>
          <w:rFonts w:hint="eastAsia" w:ascii="方正仿宋_GBK" w:hAnsi="方正仿宋_GBK" w:eastAsia="方正仿宋_GBK" w:cs="方正仿宋_GBK"/>
          <w:spacing w:val="6"/>
          <w:kern w:val="0"/>
          <w:sz w:val="32"/>
          <w:szCs w:val="32"/>
          <w:highlight w:val="none"/>
        </w:rPr>
        <w:t>实施单位（公章）：</w:t>
      </w:r>
      <w:r>
        <w:rPr>
          <w:rFonts w:hint="eastAsia" w:ascii="方正仿宋_GBK" w:hAnsi="方正仿宋_GBK" w:eastAsia="方正仿宋_GBK" w:cs="方正仿宋_GBK"/>
          <w:spacing w:val="6"/>
          <w:kern w:val="0"/>
          <w:sz w:val="32"/>
          <w:szCs w:val="32"/>
          <w:highlight w:val="none"/>
          <w:lang w:eastAsia="zh-CN"/>
        </w:rPr>
        <w:t>疏勒县利民城乡建设发展有限公司</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spacing w:val="6"/>
          <w:kern w:val="0"/>
          <w:sz w:val="32"/>
          <w:szCs w:val="32"/>
          <w:highlight w:val="none"/>
          <w:lang w:eastAsia="zh-CN"/>
        </w:rPr>
      </w:pPr>
      <w:r>
        <w:rPr>
          <w:rFonts w:hint="eastAsia" w:ascii="方正仿宋_GBK" w:hAnsi="方正仿宋_GBK" w:eastAsia="方正仿宋_GBK" w:cs="方正仿宋_GBK"/>
          <w:spacing w:val="6"/>
          <w:kern w:val="0"/>
          <w:sz w:val="32"/>
          <w:szCs w:val="32"/>
          <w:highlight w:val="none"/>
        </w:rPr>
        <w:t>主管部门（公章）：</w:t>
      </w:r>
      <w:r>
        <w:rPr>
          <w:rFonts w:hint="eastAsia" w:ascii="方正仿宋_GBK" w:hAnsi="方正仿宋_GBK" w:eastAsia="方正仿宋_GBK" w:cs="方正仿宋_GBK"/>
          <w:spacing w:val="6"/>
          <w:kern w:val="0"/>
          <w:sz w:val="32"/>
          <w:szCs w:val="32"/>
          <w:highlight w:val="none"/>
          <w:lang w:eastAsia="zh-CN"/>
        </w:rPr>
        <w:t>疏勒县发展和改革委员会</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spacing w:val="6"/>
          <w:kern w:val="0"/>
          <w:sz w:val="32"/>
          <w:szCs w:val="32"/>
          <w:highlight w:val="none"/>
          <w:lang w:val="en-US" w:eastAsia="zh-CN"/>
        </w:rPr>
      </w:pPr>
      <w:r>
        <w:rPr>
          <w:rFonts w:hint="eastAsia" w:ascii="方正仿宋_GBK" w:hAnsi="方正仿宋_GBK" w:eastAsia="方正仿宋_GBK" w:cs="方正仿宋_GBK"/>
          <w:spacing w:val="6"/>
          <w:kern w:val="0"/>
          <w:sz w:val="32"/>
          <w:szCs w:val="32"/>
          <w:highlight w:val="none"/>
        </w:rPr>
        <w:t>项目负责人（签章）：</w:t>
      </w:r>
      <w:r>
        <w:rPr>
          <w:rFonts w:hint="eastAsia" w:ascii="方正仿宋_GBK" w:hAnsi="方正仿宋_GBK" w:eastAsia="方正仿宋_GBK" w:cs="方正仿宋_GBK"/>
          <w:spacing w:val="6"/>
          <w:kern w:val="0"/>
          <w:sz w:val="32"/>
          <w:szCs w:val="32"/>
          <w:highlight w:val="none"/>
          <w:lang w:val="en-US" w:eastAsia="zh-CN"/>
        </w:rPr>
        <w:t>张昭鹏</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spacing w:val="6"/>
          <w:kern w:val="0"/>
          <w:sz w:val="32"/>
          <w:szCs w:val="32"/>
          <w:highlight w:val="none"/>
        </w:rPr>
      </w:pPr>
      <w:r>
        <w:rPr>
          <w:rFonts w:hint="eastAsia" w:ascii="方正仿宋_GBK" w:hAnsi="方正仿宋_GBK" w:eastAsia="方正仿宋_GBK" w:cs="方正仿宋_GBK"/>
          <w:spacing w:val="6"/>
          <w:kern w:val="0"/>
          <w:sz w:val="32"/>
          <w:szCs w:val="32"/>
          <w:highlight w:val="none"/>
        </w:rPr>
        <w:t>填报时间：</w:t>
      </w:r>
      <w:r>
        <w:rPr>
          <w:rFonts w:hint="eastAsia" w:ascii="方正仿宋_GBK" w:hAnsi="方正仿宋_GBK" w:eastAsia="方正仿宋_GBK" w:cs="方正仿宋_GBK"/>
          <w:spacing w:val="6"/>
          <w:kern w:val="0"/>
          <w:sz w:val="32"/>
          <w:szCs w:val="32"/>
          <w:highlight w:val="none"/>
          <w:lang w:eastAsia="zh-CN"/>
        </w:rPr>
        <w:t>202</w:t>
      </w:r>
      <w:r>
        <w:rPr>
          <w:rFonts w:hint="eastAsia" w:ascii="方正仿宋_GBK" w:hAnsi="方正仿宋_GBK" w:eastAsia="方正仿宋_GBK" w:cs="方正仿宋_GBK"/>
          <w:spacing w:val="6"/>
          <w:kern w:val="0"/>
          <w:sz w:val="32"/>
          <w:szCs w:val="32"/>
          <w:highlight w:val="none"/>
          <w:lang w:val="en-US" w:eastAsia="zh-CN"/>
        </w:rPr>
        <w:t>3</w:t>
      </w:r>
      <w:r>
        <w:rPr>
          <w:rFonts w:hint="eastAsia" w:ascii="方正仿宋_GBK" w:hAnsi="方正仿宋_GBK" w:eastAsia="方正仿宋_GBK" w:cs="方正仿宋_GBK"/>
          <w:spacing w:val="6"/>
          <w:kern w:val="0"/>
          <w:sz w:val="32"/>
          <w:szCs w:val="32"/>
          <w:highlight w:val="none"/>
        </w:rPr>
        <w:t>年1月</w:t>
      </w:r>
      <w:r>
        <w:rPr>
          <w:rFonts w:hint="eastAsia" w:ascii="方正仿宋_GBK" w:hAnsi="方正仿宋_GBK" w:eastAsia="方正仿宋_GBK" w:cs="方正仿宋_GBK"/>
          <w:spacing w:val="6"/>
          <w:kern w:val="0"/>
          <w:sz w:val="32"/>
          <w:szCs w:val="32"/>
          <w:highlight w:val="none"/>
          <w:lang w:val="en-US" w:eastAsia="zh-CN"/>
        </w:rPr>
        <w:t>5</w:t>
      </w:r>
      <w:r>
        <w:rPr>
          <w:rFonts w:hint="eastAsia" w:ascii="方正仿宋_GBK" w:hAnsi="方正仿宋_GBK" w:eastAsia="方正仿宋_GBK" w:cs="方正仿宋_GBK"/>
          <w:spacing w:val="6"/>
          <w:kern w:val="0"/>
          <w:sz w:val="32"/>
          <w:szCs w:val="32"/>
          <w:highlight w:val="none"/>
        </w:rPr>
        <w:t>日</w:t>
      </w:r>
    </w:p>
    <w:p>
      <w:pPr>
        <w:keepNext w:val="0"/>
        <w:keepLines w:val="0"/>
        <w:pageBreakBefore w:val="0"/>
        <w:widowControl w:val="0"/>
        <w:kinsoku/>
        <w:wordWrap/>
        <w:topLinePunct w:val="0"/>
        <w:bidi w:val="0"/>
        <w:spacing w:line="560" w:lineRule="exact"/>
        <w:ind w:firstLine="667" w:firstLineChars="200"/>
        <w:textAlignment w:val="auto"/>
        <w:rPr>
          <w:rStyle w:val="10"/>
          <w:rFonts w:hint="eastAsia" w:ascii="方正仿宋_GBK" w:hAnsi="方正仿宋_GBK" w:eastAsia="方正仿宋_GBK" w:cs="方正仿宋_GBK"/>
          <w:bCs w:val="0"/>
          <w:spacing w:val="6"/>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rPr>
      </w:pPr>
      <w:r>
        <w:rPr>
          <w:rFonts w:hint="eastAsia" w:ascii="方正黑体_GBK" w:hAnsi="方正黑体_GBK" w:eastAsia="方正黑体_GBK" w:cs="方正黑体_GBK"/>
          <w:b/>
          <w:color w:val="000000"/>
          <w:spacing w:val="6"/>
          <w:sz w:val="32"/>
          <w:szCs w:val="32"/>
        </w:rPr>
        <w:t>一、绩效目标分解下达情况</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color w:val="000000"/>
          <w:spacing w:val="6"/>
          <w:sz w:val="32"/>
          <w:szCs w:val="32"/>
        </w:rPr>
      </w:pPr>
      <w:r>
        <w:rPr>
          <w:rFonts w:hint="eastAsia" w:ascii="方正楷体_GBK" w:hAnsi="方正楷体_GBK" w:eastAsia="方正楷体_GBK" w:cs="方正楷体_GBK"/>
          <w:b/>
          <w:bCs/>
          <w:color w:val="000000"/>
          <w:spacing w:val="6"/>
          <w:sz w:val="32"/>
          <w:szCs w:val="32"/>
          <w:lang w:eastAsia="zh-CN"/>
        </w:rPr>
        <w:t>（一）</w:t>
      </w:r>
      <w:r>
        <w:rPr>
          <w:rFonts w:hint="eastAsia" w:ascii="方正楷体_GBK" w:hAnsi="方正楷体_GBK" w:eastAsia="方正楷体_GBK" w:cs="方正楷体_GBK"/>
          <w:b/>
          <w:bCs/>
          <w:color w:val="000000"/>
          <w:spacing w:val="6"/>
          <w:sz w:val="32"/>
          <w:szCs w:val="32"/>
        </w:rPr>
        <w:t>财政专项</w:t>
      </w:r>
      <w:r>
        <w:rPr>
          <w:rFonts w:hint="eastAsia" w:ascii="方正楷体_GBK" w:hAnsi="方正楷体_GBK" w:eastAsia="方正楷体_GBK" w:cs="方正楷体_GBK"/>
          <w:b/>
          <w:bCs/>
          <w:color w:val="000000"/>
          <w:spacing w:val="6"/>
          <w:sz w:val="32"/>
          <w:szCs w:val="32"/>
          <w:lang w:eastAsia="zh-CN"/>
        </w:rPr>
        <w:t>乡村振兴有效衔接资金</w:t>
      </w:r>
      <w:r>
        <w:rPr>
          <w:rFonts w:hint="eastAsia" w:ascii="方正楷体_GBK" w:hAnsi="方正楷体_GBK" w:eastAsia="方正楷体_GBK" w:cs="方正楷体_GBK"/>
          <w:b/>
          <w:bCs/>
          <w:color w:val="000000"/>
          <w:spacing w:val="6"/>
          <w:sz w:val="32"/>
          <w:szCs w:val="32"/>
        </w:rPr>
        <w:t>资金下达预算及项目情况。</w:t>
      </w:r>
    </w:p>
    <w:p>
      <w:pPr>
        <w:pStyle w:val="2"/>
        <w:keepNext w:val="0"/>
        <w:keepLines w:val="0"/>
        <w:pageBreakBefore w:val="0"/>
        <w:widowControl w:val="0"/>
        <w:kinsoku/>
        <w:wordWrap/>
        <w:topLinePunct w:val="0"/>
        <w:bidi w:val="0"/>
        <w:spacing w:line="560" w:lineRule="exact"/>
        <w:ind w:firstLine="667" w:firstLineChars="200"/>
        <w:textAlignment w:val="auto"/>
        <w:rPr>
          <w:rStyle w:val="10"/>
          <w:rFonts w:hint="eastAsia" w:ascii="方正仿宋_GBK" w:hAnsi="方正仿宋_GBK" w:eastAsia="方正仿宋_GBK" w:cs="方正仿宋_GBK"/>
          <w:b/>
          <w:bCs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bCs w:val="0"/>
          <w:color w:val="auto"/>
          <w:spacing w:val="6"/>
          <w:kern w:val="2"/>
          <w:sz w:val="32"/>
          <w:szCs w:val="32"/>
          <w:highlight w:val="none"/>
          <w:lang w:val="en-US" w:eastAsia="zh-CN" w:bidi="ar-SA"/>
        </w:rPr>
        <w:t>1.下达预算情况</w:t>
      </w:r>
    </w:p>
    <w:p>
      <w:pPr>
        <w:pStyle w:val="2"/>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根据疏勒县乡村振兴有效衔接资金开发领导小组2022年2月23日下发的《关于疏勒县2022年巩固拓展脱贫攻坚成果同乡村振兴有效衔接项目计划的通知》（勒扶领字〔2022〕1号）文件，投资额为213.50万元。</w:t>
      </w:r>
    </w:p>
    <w:p>
      <w:pPr>
        <w:keepNext w:val="0"/>
        <w:keepLines w:val="0"/>
        <w:pageBreakBefore w:val="0"/>
        <w:widowControl w:val="0"/>
        <w:numPr>
          <w:ilvl w:val="0"/>
          <w:numId w:val="0"/>
        </w:numPr>
        <w:kinsoku/>
        <w:wordWrap/>
        <w:topLinePunct w:val="0"/>
        <w:bidi w:val="0"/>
        <w:spacing w:line="560" w:lineRule="exact"/>
        <w:ind w:firstLine="667" w:firstLineChars="200"/>
        <w:textAlignment w:val="auto"/>
        <w:rPr>
          <w:rStyle w:val="10"/>
          <w:rFonts w:hint="eastAsia" w:ascii="方正仿宋_GBK" w:hAnsi="方正仿宋_GBK" w:eastAsia="方正仿宋_GBK" w:cs="方正仿宋_GBK"/>
          <w:b w:val="0"/>
          <w:spacing w:val="6"/>
          <w:sz w:val="32"/>
          <w:szCs w:val="32"/>
          <w:highlight w:val="none"/>
        </w:rPr>
      </w:pPr>
      <w:r>
        <w:rPr>
          <w:rStyle w:val="10"/>
          <w:rFonts w:hint="eastAsia" w:ascii="方正仿宋_GBK" w:hAnsi="方正仿宋_GBK" w:eastAsia="方正仿宋_GBK" w:cs="方正仿宋_GBK"/>
          <w:b/>
          <w:bCs w:val="0"/>
          <w:spacing w:val="6"/>
          <w:sz w:val="32"/>
          <w:szCs w:val="32"/>
          <w:highlight w:val="none"/>
          <w:lang w:val="en-US" w:eastAsia="zh-CN"/>
        </w:rPr>
        <w:t>2.</w:t>
      </w:r>
      <w:r>
        <w:rPr>
          <w:rStyle w:val="10"/>
          <w:rFonts w:hint="eastAsia" w:ascii="方正仿宋_GBK" w:hAnsi="方正仿宋_GBK" w:eastAsia="方正仿宋_GBK" w:cs="方正仿宋_GBK"/>
          <w:b/>
          <w:bCs w:val="0"/>
          <w:spacing w:val="6"/>
          <w:sz w:val="32"/>
          <w:szCs w:val="32"/>
          <w:highlight w:val="none"/>
        </w:rPr>
        <w:t>项目情况</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本项目计划对我县实施的易地FP搬迁项目，由疏勒县利民城乡建设发展有限公司承贷的农发行贷款及利息由我县财政偿还。按季度偿还2022年度农发行贷款利息213.50万元。</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lang w:eastAsia="zh-CN"/>
        </w:rPr>
      </w:pPr>
      <w:r>
        <w:rPr>
          <w:rFonts w:hint="eastAsia" w:ascii="方正楷体_GBK" w:hAnsi="方正楷体_GBK" w:eastAsia="方正楷体_GBK" w:cs="方正楷体_GBK"/>
          <w:b/>
          <w:bCs/>
          <w:color w:val="000000"/>
          <w:spacing w:val="6"/>
          <w:sz w:val="32"/>
          <w:szCs w:val="32"/>
          <w:lang w:val="en-US" w:eastAsia="zh-CN"/>
        </w:rPr>
        <w:t>（二）</w:t>
      </w:r>
      <w:r>
        <w:rPr>
          <w:rFonts w:hint="eastAsia" w:ascii="方正楷体_GBK" w:hAnsi="方正楷体_GBK" w:eastAsia="方正楷体_GBK" w:cs="方正楷体_GBK"/>
          <w:b/>
          <w:bCs/>
          <w:color w:val="000000"/>
          <w:spacing w:val="6"/>
          <w:sz w:val="32"/>
          <w:szCs w:val="32"/>
          <w:lang w:eastAsia="zh-CN"/>
        </w:rPr>
        <w:t>财政专项乡村振兴有效衔接资金资金项目绩效目标设定情况</w:t>
      </w:r>
    </w:p>
    <w:p>
      <w:pPr>
        <w:keepNext w:val="0"/>
        <w:keepLines w:val="0"/>
        <w:pageBreakBefore w:val="0"/>
        <w:widowControl w:val="0"/>
        <w:kinsoku/>
        <w:wordWrap/>
        <w:topLinePunct w:val="0"/>
        <w:bidi w:val="0"/>
        <w:spacing w:line="560" w:lineRule="exact"/>
        <w:ind w:firstLine="667" w:firstLineChars="200"/>
        <w:textAlignment w:val="auto"/>
        <w:rPr>
          <w:rFonts w:hint="eastAsia" w:ascii="方正仿宋_GBK" w:hAnsi="方正仿宋_GBK" w:eastAsia="方正仿宋_GBK" w:cs="方正仿宋_GBK"/>
          <w:b/>
          <w:bCs/>
          <w:spacing w:val="6"/>
          <w:sz w:val="32"/>
          <w:szCs w:val="32"/>
          <w:highlight w:val="none"/>
          <w:lang w:val="en-US" w:eastAsia="zh-CN"/>
        </w:rPr>
      </w:pPr>
      <w:r>
        <w:rPr>
          <w:rFonts w:hint="eastAsia" w:ascii="方正仿宋_GBK" w:hAnsi="方正仿宋_GBK" w:eastAsia="方正仿宋_GBK" w:cs="方正仿宋_GBK"/>
          <w:b/>
          <w:bCs/>
          <w:spacing w:val="6"/>
          <w:sz w:val="32"/>
          <w:szCs w:val="32"/>
          <w:highlight w:val="none"/>
          <w:lang w:val="en-US" w:eastAsia="zh-CN"/>
        </w:rPr>
        <w:t>1.项目绩效总体目标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我县实施了易地FP搬迁项目，由疏勒县利民城乡建设发展有限公司承贷的农发行贷款及利息由我县财政偿还。按季度偿还2022年度农发行贷款利息213.50万元，提高了农民的收入。</w:t>
      </w:r>
    </w:p>
    <w:p>
      <w:pPr>
        <w:keepNext w:val="0"/>
        <w:keepLines w:val="0"/>
        <w:pageBreakBefore w:val="0"/>
        <w:widowControl w:val="0"/>
        <w:kinsoku/>
        <w:wordWrap/>
        <w:topLinePunct w:val="0"/>
        <w:bidi w:val="0"/>
        <w:spacing w:line="560" w:lineRule="exact"/>
        <w:ind w:firstLine="667" w:firstLineChars="200"/>
        <w:textAlignment w:val="auto"/>
        <w:rPr>
          <w:rFonts w:hint="eastAsia" w:ascii="方正仿宋_GBK" w:hAnsi="方正仿宋_GBK" w:eastAsia="方正仿宋_GBK" w:cs="方正仿宋_GBK"/>
          <w:b/>
          <w:bCs/>
          <w:spacing w:val="6"/>
          <w:sz w:val="32"/>
          <w:szCs w:val="32"/>
          <w:highlight w:val="none"/>
          <w:lang w:val="en-US" w:eastAsia="zh-CN"/>
        </w:rPr>
      </w:pPr>
      <w:r>
        <w:rPr>
          <w:rFonts w:hint="eastAsia" w:ascii="方正仿宋_GBK" w:hAnsi="方正仿宋_GBK" w:eastAsia="方正仿宋_GBK" w:cs="方正仿宋_GBK"/>
          <w:b/>
          <w:bCs/>
          <w:spacing w:val="6"/>
          <w:sz w:val="32"/>
          <w:szCs w:val="32"/>
          <w:highlight w:val="none"/>
          <w:lang w:val="en-US" w:eastAsia="zh-CN"/>
        </w:rPr>
        <w:t>2.具体绩效指标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根据《自治区财政专项乡村振兴有效衔接资金资金绩效管理操作指南》的通知（新财预〔2019〕170号）的规定，结合我单位的规章制度以及财务相关资料，评价小组对项目绩效目标进行了进一步的完善，完善后绩效目标如下：</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（1）项目产出目标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①数量指标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“搬迁户数（户）”指标，预期指标值为等于1701户；</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②质量指标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“资金使用合规率（%）”指标，预期指标值为等于100%；</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ab/>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 xml:space="preserve"> “项目验收合格率（%）”指标，预期指标值为大于等于95%；</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“信贷利率（%）”指标，预期指标值为大于等于4.35%。</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③时效指标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项目完成及时率（%），预期指标值为等于100%。</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④成本指标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“2022年度贷款贴息户均成本（元/户）”指标，预期指标值为小于等于1255.14元/户；</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（2）项目效益目标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①经济效益指标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“带动增加脱贫人口全年总收入（万元）”指标，预期指标值为大于等于0.2万元；</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②社会效益指标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“受益脱贫人口数（人）”指标，预期指标值为大于等于7066人；</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“脱贫户数（户）”指标，预期指标值为大于等于1701户；</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“促进社会稳定和长治久安”指标，预期指标值为有效促进；</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③生态效益指标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无</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④可持续影响</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“安置房使用年限（年）”指标，预期指标值为大于等于50年；</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（3）相关满意度目标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①满意度指标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“搬迁户满意度（%）”指标，预期指标值为大于等于95%；</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rPr>
      </w:pPr>
      <w:r>
        <w:rPr>
          <w:rFonts w:hint="eastAsia" w:ascii="方正黑体_GBK" w:hAnsi="方正黑体_GBK" w:eastAsia="方正黑体_GBK" w:cs="方正黑体_GBK"/>
          <w:b/>
          <w:color w:val="000000"/>
          <w:spacing w:val="6"/>
          <w:sz w:val="32"/>
          <w:szCs w:val="32"/>
        </w:rPr>
        <w:t>二、绩效自评工作开展情况</w:t>
      </w:r>
    </w:p>
    <w:p>
      <w:pPr>
        <w:keepNext w:val="0"/>
        <w:keepLines w:val="0"/>
        <w:pageBreakBefore w:val="0"/>
        <w:widowControl w:val="0"/>
        <w:numPr>
          <w:ilvl w:val="0"/>
          <w:numId w:val="1"/>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rPr>
        <w:t>自评工作</w:t>
      </w:r>
      <w:r>
        <w:rPr>
          <w:rFonts w:hint="eastAsia" w:ascii="方正楷体_GBK" w:hAnsi="方正楷体_GBK" w:eastAsia="方正楷体_GBK" w:cs="方正楷体_GBK"/>
          <w:b/>
          <w:bCs/>
          <w:spacing w:val="6"/>
          <w:sz w:val="32"/>
          <w:szCs w:val="32"/>
          <w:highlight w:val="none"/>
          <w:lang w:val="en-US" w:eastAsia="zh-CN"/>
        </w:rPr>
        <w:t>开展范围</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keepNext w:val="0"/>
        <w:keepLines w:val="0"/>
        <w:pageBreakBefore w:val="0"/>
        <w:widowControl w:val="0"/>
        <w:numPr>
          <w:ilvl w:val="0"/>
          <w:numId w:val="1"/>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rPr>
        <w:t>自评工作</w:t>
      </w:r>
      <w:r>
        <w:rPr>
          <w:rFonts w:hint="eastAsia" w:ascii="方正楷体_GBK" w:hAnsi="方正楷体_GBK" w:eastAsia="方正楷体_GBK" w:cs="方正楷体_GBK"/>
          <w:b/>
          <w:bCs/>
          <w:color w:val="000000"/>
          <w:spacing w:val="6"/>
          <w:sz w:val="32"/>
          <w:szCs w:val="32"/>
          <w:highlight w:val="none"/>
          <w:lang w:val="en-US" w:eastAsia="zh-CN"/>
        </w:rPr>
        <w:t>开展对象</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为易地FP搬迁债券贴息补助项目，评价核心为项目资金、项目产出、项目效益。</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（三）自评工作开展时间</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绩效自评开展时间2023年1月1日至5日。</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（四）自评工作开展方式</w:t>
      </w:r>
    </w:p>
    <w:p>
      <w:pPr>
        <w:keepNext w:val="0"/>
        <w:keepLines w:val="0"/>
        <w:pageBreakBefore w:val="0"/>
        <w:widowControl w:val="0"/>
        <w:kinsoku/>
        <w:wordWrap/>
        <w:topLinePunct w:val="0"/>
        <w:bidi w:val="0"/>
        <w:spacing w:line="560" w:lineRule="exact"/>
        <w:ind w:firstLine="667" w:firstLineChars="200"/>
        <w:textAlignment w:val="auto"/>
        <w:rPr>
          <w:rStyle w:val="10"/>
          <w:rFonts w:hint="eastAsia" w:ascii="方正仿宋_GBK" w:hAnsi="方正仿宋_GBK" w:eastAsia="方正仿宋_GBK" w:cs="方正仿宋_GBK"/>
          <w:b/>
          <w:bCs w:val="0"/>
          <w:spacing w:val="6"/>
          <w:sz w:val="32"/>
          <w:szCs w:val="32"/>
          <w:highlight w:val="none"/>
          <w:lang w:val="en-US" w:eastAsia="zh-CN"/>
        </w:rPr>
      </w:pPr>
      <w:r>
        <w:rPr>
          <w:rStyle w:val="10"/>
          <w:rFonts w:hint="eastAsia" w:ascii="方正仿宋_GBK" w:hAnsi="方正仿宋_GBK" w:eastAsia="方正仿宋_GBK" w:cs="方正仿宋_GBK"/>
          <w:b/>
          <w:bCs w:val="0"/>
          <w:spacing w:val="6"/>
          <w:sz w:val="32"/>
          <w:szCs w:val="32"/>
          <w:highlight w:val="none"/>
          <w:lang w:val="en-US" w:eastAsia="zh-CN"/>
        </w:rPr>
        <w:t>1.前期准备</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我单位于2023年1月1日，确定绩效评价工作小组，正式开始前期准备工作，通过对评价对象前期调研，确定了评价的目的、方法以及评价的原则，根据项目的内容和特征制定了评价指标体系及评价标准。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成立绩效评价小组，组长为：李淑芳，效评价工作职责为负责全盘工作</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副组长为：王伟，绩效评价工作职责为为对项目实施情况进行实地调查。</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成员：张昭鹏，绩效评价工作职责为负责资料审核等工作。</w:t>
      </w:r>
    </w:p>
    <w:p>
      <w:pPr>
        <w:keepNext w:val="0"/>
        <w:keepLines w:val="0"/>
        <w:pageBreakBefore w:val="0"/>
        <w:widowControl w:val="0"/>
        <w:kinsoku/>
        <w:wordWrap/>
        <w:topLinePunct w:val="0"/>
        <w:bidi w:val="0"/>
        <w:spacing w:line="560" w:lineRule="exact"/>
        <w:ind w:firstLine="667" w:firstLineChars="200"/>
        <w:textAlignment w:val="auto"/>
        <w:rPr>
          <w:rStyle w:val="10"/>
          <w:rFonts w:hint="eastAsia" w:ascii="方正仿宋_GBK" w:hAnsi="方正仿宋_GBK" w:eastAsia="方正仿宋_GBK" w:cs="方正仿宋_GBK"/>
          <w:b/>
          <w:bCs w:val="0"/>
          <w:spacing w:val="6"/>
          <w:sz w:val="32"/>
          <w:szCs w:val="32"/>
          <w:highlight w:val="none"/>
          <w:lang w:val="en-US" w:eastAsia="zh-CN"/>
        </w:rPr>
      </w:pPr>
      <w:r>
        <w:rPr>
          <w:rStyle w:val="10"/>
          <w:rFonts w:hint="eastAsia" w:ascii="方正仿宋_GBK" w:hAnsi="方正仿宋_GBK" w:eastAsia="方正仿宋_GBK" w:cs="方正仿宋_GBK"/>
          <w:b/>
          <w:bCs w:val="0"/>
          <w:spacing w:val="6"/>
          <w:sz w:val="32"/>
          <w:szCs w:val="32"/>
          <w:highlight w:val="none"/>
          <w:lang w:val="en-US" w:eastAsia="zh-CN"/>
        </w:rPr>
        <w:t>2.组织实施</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2023年1月1日-5日，评价小组整理单位前期提交的资料，与项目实施负责人沟通，了解资金的内容、操作流程、管理机制、资金使用方向等情况；进行信息采集，了解项目设置背景及资金使用等情况。</w:t>
      </w:r>
    </w:p>
    <w:p>
      <w:pPr>
        <w:pStyle w:val="11"/>
        <w:keepNext w:val="0"/>
        <w:keepLines w:val="0"/>
        <w:pageBreakBefore w:val="0"/>
        <w:widowControl w:val="0"/>
        <w:numPr>
          <w:ilvl w:val="0"/>
          <w:numId w:val="0"/>
        </w:numPr>
        <w:kinsoku/>
        <w:wordWrap/>
        <w:topLinePunct w:val="0"/>
        <w:bidi w:val="0"/>
        <w:spacing w:before="120" w:line="560" w:lineRule="exact"/>
        <w:ind w:leftChars="201" w:right="2" w:rightChars="1" w:firstLine="667" w:firstLineChars="200"/>
        <w:textAlignment w:val="auto"/>
        <w:rPr>
          <w:rFonts w:hint="eastAsia" w:ascii="方正仿宋_GBK" w:hAnsi="方正仿宋_GBK" w:eastAsia="方正仿宋_GBK" w:cs="方正仿宋_GBK"/>
          <w:spacing w:val="6"/>
          <w:sz w:val="32"/>
          <w:szCs w:val="32"/>
          <w:highlight w:val="none"/>
        </w:rPr>
      </w:pPr>
      <w:r>
        <w:rPr>
          <w:rFonts w:hint="eastAsia" w:ascii="方正仿宋_GBK" w:hAnsi="方正仿宋_GBK" w:eastAsia="方正仿宋_GBK" w:cs="方正仿宋_GBK"/>
          <w:spacing w:val="6"/>
          <w:sz w:val="32"/>
          <w:szCs w:val="32"/>
          <w:highlight w:val="none"/>
          <w:lang w:val="en-US" w:eastAsia="zh-CN"/>
        </w:rPr>
        <w:t>3.</w:t>
      </w:r>
      <w:r>
        <w:rPr>
          <w:rFonts w:hint="eastAsia" w:ascii="方正仿宋_GBK" w:hAnsi="方正仿宋_GBK" w:eastAsia="方正仿宋_GBK" w:cs="方正仿宋_GBK"/>
          <w:spacing w:val="6"/>
          <w:sz w:val="32"/>
          <w:szCs w:val="32"/>
          <w:highlight w:val="none"/>
        </w:rPr>
        <w:t>分析评价</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首先按照指标体系进行定量、定性分析。其次开展量化打分、综合评价工作，形成初步评价结论。最后归纳整体项目情况与存在问题，撰写绩效自评报告。</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（1）绩效自评指标体系</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按照《自治区财政专项FP资金绩效管理操作指南》（新财预〔2019〕170号）文件要求，并根据项目各项指标重要程度确定二级指标的分值，并对核心指标赋予更高的权重。其中：数量指标10分、质量指标20分，时效指标10分、成本指标10分、经济效益指标10分、社会效益指标15分、可持续影响指标5分、满意度指标10分、预算资金执行率10分，满分100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（2）绩效自评方法</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本次绩效自评采用比较法和综合分析法对项目资金的使用管理、项目产出、综合效益等进行评价。</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（3）绩效自评标准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（4）绩效自评等级</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绩效自评总分值100分，根据评分结果，90（含）-100分为优、80（含）-90分为良、60（含）-80分为中、60分以下为差。</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lang w:val="en-US" w:eastAsia="zh-CN"/>
        </w:rPr>
      </w:pPr>
      <w:r>
        <w:rPr>
          <w:rFonts w:hint="eastAsia" w:ascii="方正黑体_GBK" w:hAnsi="方正黑体_GBK" w:eastAsia="方正黑体_GBK" w:cs="方正黑体_GBK"/>
          <w:b/>
          <w:color w:val="000000"/>
          <w:spacing w:val="6"/>
          <w:sz w:val="32"/>
          <w:szCs w:val="32"/>
          <w:lang w:val="en-US" w:eastAsia="zh-CN"/>
        </w:rPr>
        <w:t>三、绩效目标自评完成情况分析</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(一）资金投入情况分析。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1、项目资金到位情况分析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本项目预算安排资金为213.5万元，资金来源为财政衔接推进乡村振兴补助资金。2022年实际收到预算资金213.5万元，预算资金到位率为100%。</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2、项目资金执行情况分析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本年实际支付金额213.5万元，预算执行率100%。本项目资金主要用于技术服务，项目无结余资金。</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预算资金执行情况总分10分，得10分。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3.项目资金管理情况分析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（二）绩效目标完成情况分析。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1.本项目已设置年度绩效目标，具体内容为“预计绩效目标根据国家六部委《中央财政衔接推进乡村振兴补助资金管理办法》：对规划内的易地FP搬迁贷款和调整规范后的地方政府债券按规定予以贴息补助。”政策精神。对疏勒县利民城乡建设发展有限公司负责承贷的易地FP搬迁项目贷款2021年利息按照贷款协议中规定，按季度支付2021年农发行贷款利息213.50万元”。</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Hans"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2.本项目实际工作为：预计绩效目标根据国家六部委《中央财政衔接推进乡村振兴补助资金管理办法》：对规划内的易地FP搬迁贷款和调整规范后的地方政府债券按规定予以贴息补助。”政策精神。对疏勒县利民城乡建设发展有限公司负责承贷的易地FP搬迁项目贷款2021年利息按照贷款协议中规定，按季度支付2021年农发行贷款利息213.50万元;</w:t>
      </w:r>
      <w:r>
        <w:rPr>
          <w:rStyle w:val="10"/>
          <w:rFonts w:hint="eastAsia" w:ascii="方正仿宋_GBK" w:hAnsi="方正仿宋_GBK" w:eastAsia="方正仿宋_GBK" w:cs="方正仿宋_GBK"/>
          <w:b w:val="0"/>
          <w:color w:val="auto"/>
          <w:spacing w:val="6"/>
          <w:kern w:val="2"/>
          <w:sz w:val="32"/>
          <w:szCs w:val="32"/>
          <w:highlight w:val="none"/>
          <w:lang w:val="en-US" w:eastAsia="zh-Hans" w:bidi="ar-SA"/>
        </w:rPr>
        <w:t>年度绩效目标完成，预期产出效益和效果符合正常的业绩水平。</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3.</w:t>
      </w:r>
      <w:r>
        <w:rPr>
          <w:rStyle w:val="10"/>
          <w:rFonts w:hint="eastAsia" w:ascii="方正仿宋_GBK" w:hAnsi="方正仿宋_GBK" w:eastAsia="方正仿宋_GBK" w:cs="方正仿宋_GBK"/>
          <w:b w:val="0"/>
          <w:color w:val="auto"/>
          <w:spacing w:val="6"/>
          <w:kern w:val="2"/>
          <w:sz w:val="32"/>
          <w:szCs w:val="32"/>
          <w:highlight w:val="none"/>
          <w:lang w:val="en-US" w:eastAsia="zh-Hans" w:bidi="ar-SA"/>
        </w:rPr>
        <w:t>经检查</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，我单位年初设置的</w:t>
      </w:r>
      <w:r>
        <w:rPr>
          <w:rStyle w:val="10"/>
          <w:rFonts w:hint="eastAsia" w:ascii="方正仿宋_GBK" w:hAnsi="方正仿宋_GBK" w:eastAsia="方正仿宋_GBK" w:cs="方正仿宋_GBK"/>
          <w:b w:val="0"/>
          <w:color w:val="auto"/>
          <w:spacing w:val="6"/>
          <w:kern w:val="2"/>
          <w:sz w:val="32"/>
          <w:szCs w:val="32"/>
          <w:highlight w:val="none"/>
          <w:lang w:val="en-US" w:eastAsia="zh-Hans" w:bidi="ar-SA"/>
        </w:rPr>
        <w:t>《绩效目标申报表》，得出如下结论：</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本项目共设置一级指标3个，二级指标8个，三级指标12个，</w:t>
      </w:r>
      <w:r>
        <w:rPr>
          <w:rStyle w:val="10"/>
          <w:rFonts w:hint="eastAsia" w:ascii="方正仿宋_GBK" w:hAnsi="方正仿宋_GBK" w:eastAsia="方正仿宋_GBK" w:cs="方正仿宋_GBK"/>
          <w:b w:val="0"/>
          <w:color w:val="auto"/>
          <w:spacing w:val="6"/>
          <w:kern w:val="2"/>
          <w:sz w:val="32"/>
          <w:szCs w:val="32"/>
          <w:highlight w:val="none"/>
          <w:lang w:val="en-US" w:eastAsia="zh-Hans" w:bidi="ar-SA"/>
        </w:rPr>
        <w:t>定量指标</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11</w:t>
      </w:r>
      <w:r>
        <w:rPr>
          <w:rStyle w:val="10"/>
          <w:rFonts w:hint="eastAsia" w:ascii="方正仿宋_GBK" w:hAnsi="方正仿宋_GBK" w:eastAsia="方正仿宋_GBK" w:cs="方正仿宋_GBK"/>
          <w:b w:val="0"/>
          <w:color w:val="auto"/>
          <w:spacing w:val="6"/>
          <w:kern w:val="2"/>
          <w:sz w:val="32"/>
          <w:szCs w:val="32"/>
          <w:highlight w:val="none"/>
          <w:lang w:val="en-US" w:eastAsia="zh-Hans" w:bidi="ar-SA"/>
        </w:rPr>
        <w:t>个，定性指标</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1</w:t>
      </w:r>
      <w:r>
        <w:rPr>
          <w:rStyle w:val="10"/>
          <w:rFonts w:hint="eastAsia" w:ascii="方正仿宋_GBK" w:hAnsi="方正仿宋_GBK" w:eastAsia="方正仿宋_GBK" w:cs="方正仿宋_GBK"/>
          <w:b w:val="0"/>
          <w:color w:val="auto"/>
          <w:spacing w:val="6"/>
          <w:kern w:val="2"/>
          <w:sz w:val="32"/>
          <w:szCs w:val="32"/>
          <w:highlight w:val="none"/>
          <w:lang w:val="en-US" w:eastAsia="zh-Hans" w:bidi="ar-SA"/>
        </w:rPr>
        <w:t>个，指标量化率为</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91.7</w:t>
      </w:r>
      <w:r>
        <w:rPr>
          <w:rStyle w:val="10"/>
          <w:rFonts w:hint="eastAsia" w:ascii="方正仿宋_GBK" w:hAnsi="方正仿宋_GBK" w:eastAsia="方正仿宋_GBK" w:cs="方正仿宋_GBK"/>
          <w:b w:val="0"/>
          <w:color w:val="auto"/>
          <w:spacing w:val="6"/>
          <w:kern w:val="2"/>
          <w:sz w:val="32"/>
          <w:szCs w:val="32"/>
          <w:highlight w:val="none"/>
          <w:lang w:val="en-US" w:eastAsia="zh-Hans" w:bidi="ar-SA"/>
        </w:rPr>
        <w:t>%</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；综上所述本项目所设置绩效目标合理，绩效指标明确。</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本项目实际已完成三级指标12个，指标完成率为100%。指标完成情况分析如下：</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b w:val="0"/>
          <w:bCs/>
          <w:spacing w:val="6"/>
          <w:sz w:val="32"/>
          <w:szCs w:val="32"/>
          <w:highlight w:val="none"/>
        </w:rPr>
      </w:pPr>
      <w:r>
        <w:rPr>
          <w:rFonts w:hint="eastAsia" w:ascii="方正仿宋_GBK" w:hAnsi="方正仿宋_GBK" w:eastAsia="方正仿宋_GBK" w:cs="方正仿宋_GBK"/>
          <w:b w:val="0"/>
          <w:bCs/>
          <w:spacing w:val="6"/>
          <w:sz w:val="32"/>
          <w:szCs w:val="32"/>
          <w:highlight w:val="none"/>
          <w:lang w:val="en-US" w:eastAsia="zh-CN"/>
        </w:rPr>
        <w:t>①</w:t>
      </w:r>
      <w:r>
        <w:rPr>
          <w:rFonts w:hint="eastAsia" w:ascii="方正仿宋_GBK" w:hAnsi="方正仿宋_GBK" w:eastAsia="方正仿宋_GBK" w:cs="方正仿宋_GBK"/>
          <w:b w:val="0"/>
          <w:bCs/>
          <w:spacing w:val="6"/>
          <w:sz w:val="32"/>
          <w:szCs w:val="32"/>
          <w:highlight w:val="none"/>
        </w:rPr>
        <w:t>产出指标完成情况分析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Style w:val="10"/>
          <w:rFonts w:hint="eastAsia" w:ascii="方正仿宋_GBK" w:hAnsi="方正仿宋_GBK" w:eastAsia="方正仿宋_GBK" w:cs="方正仿宋_GBK"/>
          <w:b w:val="0"/>
          <w:bCs/>
          <w:spacing w:val="6"/>
          <w:sz w:val="32"/>
          <w:szCs w:val="32"/>
          <w:highlight w:val="none"/>
          <w:lang w:val="en-US" w:eastAsia="zh-CN"/>
        </w:rPr>
        <w:t>a、</w:t>
      </w:r>
      <w:r>
        <w:rPr>
          <w:rStyle w:val="10"/>
          <w:rFonts w:hint="eastAsia" w:ascii="方正仿宋_GBK" w:hAnsi="方正仿宋_GBK" w:eastAsia="方正仿宋_GBK" w:cs="方正仿宋_GBK"/>
          <w:b w:val="0"/>
          <w:bCs/>
          <w:spacing w:val="6"/>
          <w:sz w:val="32"/>
          <w:szCs w:val="32"/>
          <w:highlight w:val="none"/>
        </w:rPr>
        <w:t>项目完成数量</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Hans" w:bidi="ar-SA"/>
        </w:rPr>
        <w:t>搬迁户数</w:t>
      </w: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预期值等于1701</w:t>
      </w:r>
      <w:r>
        <w:rPr>
          <w:rStyle w:val="10"/>
          <w:rFonts w:hint="eastAsia" w:ascii="方正仿宋_GBK" w:hAnsi="方正仿宋_GBK" w:eastAsia="方正仿宋_GBK" w:cs="方正仿宋_GBK"/>
          <w:b w:val="0"/>
          <w:bCs/>
          <w:color w:val="auto"/>
          <w:spacing w:val="6"/>
          <w:kern w:val="2"/>
          <w:sz w:val="32"/>
          <w:szCs w:val="32"/>
          <w:highlight w:val="none"/>
          <w:lang w:val="en-US" w:eastAsia="zh-Hans" w:bidi="ar-SA"/>
        </w:rPr>
        <w:t>户，偏差率为</w:t>
      </w: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0</w:t>
      </w:r>
      <w:r>
        <w:rPr>
          <w:rStyle w:val="10"/>
          <w:rFonts w:hint="eastAsia" w:ascii="方正仿宋_GBK" w:hAnsi="方正仿宋_GBK" w:eastAsia="方正仿宋_GBK" w:cs="方正仿宋_GBK"/>
          <w:b w:val="0"/>
          <w:bCs/>
          <w:color w:val="auto"/>
          <w:spacing w:val="6"/>
          <w:kern w:val="2"/>
          <w:sz w:val="32"/>
          <w:szCs w:val="32"/>
          <w:highlight w:val="none"/>
          <w:lang w:val="en-US" w:eastAsia="zh-Hans" w:bidi="ar-SA"/>
        </w:rPr>
        <w:t>% ，</w:t>
      </w: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与预期指标一致，为1701户。</w:t>
      </w:r>
      <w:r>
        <w:rPr>
          <w:rStyle w:val="10"/>
          <w:rFonts w:hint="eastAsia" w:ascii="方正仿宋_GBK" w:hAnsi="方正仿宋_GBK" w:eastAsia="方正仿宋_GBK" w:cs="方正仿宋_GBK"/>
          <w:b w:val="0"/>
          <w:bCs/>
          <w:color w:val="auto"/>
          <w:spacing w:val="6"/>
          <w:kern w:val="2"/>
          <w:sz w:val="32"/>
          <w:szCs w:val="32"/>
          <w:highlight w:val="none"/>
          <w:lang w:val="en-US" w:eastAsia="zh-Hans" w:bidi="ar-SA"/>
        </w:rPr>
        <w:t>根据评分标准，</w:t>
      </w: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Style w:val="10"/>
          <w:rFonts w:hint="eastAsia" w:ascii="方正仿宋_GBK" w:hAnsi="方正仿宋_GBK" w:eastAsia="方正仿宋_GBK" w:cs="方正仿宋_GBK"/>
          <w:b w:val="0"/>
          <w:bCs/>
          <w:spacing w:val="6"/>
          <w:sz w:val="32"/>
          <w:szCs w:val="32"/>
          <w:highlight w:val="none"/>
          <w:lang w:val="en-US" w:eastAsia="zh-CN"/>
        </w:rPr>
        <w:t>b、</w:t>
      </w:r>
      <w:r>
        <w:rPr>
          <w:rStyle w:val="10"/>
          <w:rFonts w:hint="eastAsia" w:ascii="方正仿宋_GBK" w:hAnsi="方正仿宋_GBK" w:eastAsia="方正仿宋_GBK" w:cs="方正仿宋_GBK"/>
          <w:b w:val="0"/>
          <w:bCs/>
          <w:spacing w:val="6"/>
          <w:sz w:val="32"/>
          <w:szCs w:val="32"/>
          <w:highlight w:val="none"/>
        </w:rPr>
        <w:t>项目完成质量</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“资金使用合规率”指标，指标标杆值为等于100%，指标完成值为100%,指标完成率为100%。指标确定依据为资金台账。该指标分值为10分，实际得分为10分。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“项目验收合格率（%）”指标，预期指标值为等于100%；指标完成值为100%,指标完成率为100%。该指标分值为5分，实际得分为5分。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“信贷利率（%）”指标，预期指标值为大于等于4.35%，指标标杆值为等于4.35%，指标完成值为100%,该指标分值为5分，实际得分为5分。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Style w:val="10"/>
          <w:rFonts w:hint="eastAsia" w:ascii="方正仿宋_GBK" w:hAnsi="方正仿宋_GBK" w:eastAsia="方正仿宋_GBK" w:cs="方正仿宋_GBK"/>
          <w:b w:val="0"/>
          <w:bCs/>
          <w:spacing w:val="6"/>
          <w:sz w:val="32"/>
          <w:szCs w:val="32"/>
          <w:highlight w:val="none"/>
          <w:lang w:val="en-US" w:eastAsia="zh-CN"/>
        </w:rPr>
        <w:t>c、</w:t>
      </w:r>
      <w:r>
        <w:rPr>
          <w:rStyle w:val="10"/>
          <w:rFonts w:hint="eastAsia" w:ascii="方正仿宋_GBK" w:hAnsi="方正仿宋_GBK" w:eastAsia="方正仿宋_GBK" w:cs="方正仿宋_GBK"/>
          <w:b w:val="0"/>
          <w:bCs/>
          <w:spacing w:val="6"/>
          <w:sz w:val="32"/>
          <w:szCs w:val="32"/>
          <w:highlight w:val="none"/>
        </w:rPr>
        <w:t>项目完成时效</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“项目完成及时率（%）”指标，指标标杆值为100%，指标完成值为100%,指标完成率为100%。指该指标分值为10分，实际得分为10分。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lang w:val="en-US" w:eastAsia="zh-CN"/>
        </w:rPr>
      </w:pPr>
      <w:r>
        <w:rPr>
          <w:rStyle w:val="10"/>
          <w:rFonts w:hint="eastAsia" w:ascii="方正仿宋_GBK" w:hAnsi="方正仿宋_GBK" w:eastAsia="方正仿宋_GBK" w:cs="方正仿宋_GBK"/>
          <w:b w:val="0"/>
          <w:bCs/>
          <w:spacing w:val="6"/>
          <w:sz w:val="32"/>
          <w:szCs w:val="32"/>
          <w:highlight w:val="none"/>
          <w:lang w:val="en-US" w:eastAsia="zh-CN"/>
        </w:rPr>
        <w:t>d、项目成本节约情况</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“2022年度贷款贴息户均成本（元/户）”指标，指标标杆值为小于等于1255.14元/户，实际完成值为1255.14元/户，指标完成率为100%。该指标分值为10分，实际得分为10分。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Fonts w:hint="eastAsia" w:ascii="方正仿宋_GBK" w:hAnsi="方正仿宋_GBK" w:eastAsia="方正仿宋_GBK" w:cs="方正仿宋_GBK"/>
          <w:b w:val="0"/>
          <w:bCs/>
          <w:spacing w:val="6"/>
          <w:sz w:val="32"/>
          <w:szCs w:val="32"/>
          <w:highlight w:val="none"/>
          <w:lang w:val="en-US" w:eastAsia="zh-CN"/>
        </w:rPr>
        <w:t>②</w:t>
      </w:r>
      <w:r>
        <w:rPr>
          <w:rStyle w:val="10"/>
          <w:rFonts w:hint="eastAsia" w:ascii="方正仿宋_GBK" w:hAnsi="方正仿宋_GBK" w:eastAsia="方正仿宋_GBK" w:cs="方正仿宋_GBK"/>
          <w:b w:val="0"/>
          <w:bCs/>
          <w:spacing w:val="6"/>
          <w:sz w:val="32"/>
          <w:szCs w:val="32"/>
          <w:highlight w:val="none"/>
        </w:rPr>
        <w:t>效益指标完成情况分析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Style w:val="10"/>
          <w:rFonts w:hint="eastAsia" w:ascii="方正仿宋_GBK" w:hAnsi="方正仿宋_GBK" w:eastAsia="方正仿宋_GBK" w:cs="方正仿宋_GBK"/>
          <w:b w:val="0"/>
          <w:bCs/>
          <w:spacing w:val="6"/>
          <w:sz w:val="32"/>
          <w:szCs w:val="32"/>
          <w:highlight w:val="none"/>
          <w:lang w:val="en-US" w:eastAsia="zh-CN"/>
        </w:rPr>
        <w:t>a、</w:t>
      </w:r>
      <w:r>
        <w:rPr>
          <w:rStyle w:val="10"/>
          <w:rFonts w:hint="eastAsia" w:ascii="方正仿宋_GBK" w:hAnsi="方正仿宋_GBK" w:eastAsia="方正仿宋_GBK" w:cs="方正仿宋_GBK"/>
          <w:b w:val="0"/>
          <w:bCs/>
          <w:spacing w:val="6"/>
          <w:sz w:val="32"/>
          <w:szCs w:val="32"/>
          <w:highlight w:val="none"/>
        </w:rPr>
        <w:t>项目实施的经济效益分析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带动增加脱贫人口全年总收入（万元）”指标，指标标杆值为大于等于0.2万元，实际完成值为0.2万元，指标完成率为100%。指标确定依据乡村振兴局统计易地FP搬迁搬迁户年收入情况说明，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Style w:val="10"/>
          <w:rFonts w:hint="eastAsia" w:ascii="方正仿宋_GBK" w:hAnsi="方正仿宋_GBK" w:eastAsia="方正仿宋_GBK" w:cs="方正仿宋_GBK"/>
          <w:b w:val="0"/>
          <w:bCs/>
          <w:spacing w:val="6"/>
          <w:sz w:val="32"/>
          <w:szCs w:val="32"/>
          <w:highlight w:val="none"/>
          <w:lang w:val="en-US" w:eastAsia="zh-CN"/>
        </w:rPr>
        <w:t>b、</w:t>
      </w:r>
      <w:r>
        <w:rPr>
          <w:rStyle w:val="10"/>
          <w:rFonts w:hint="eastAsia" w:ascii="方正仿宋_GBK" w:hAnsi="方正仿宋_GBK" w:eastAsia="方正仿宋_GBK" w:cs="方正仿宋_GBK"/>
          <w:b w:val="0"/>
          <w:bCs/>
          <w:spacing w:val="6"/>
          <w:sz w:val="32"/>
          <w:szCs w:val="32"/>
          <w:highlight w:val="none"/>
        </w:rPr>
        <w:t>项目实施的社会效益分析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“受益脱贫人口数（人）”指标，指标标杆值为大于等于7066人，实际完成值为7066人，指标完成率为100%。指标确定依据为《易地FP搬迁项目受益户名单》，该指标分值为5分，实际得分为5分。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“脱贫户数（户）”指标，指标标杆值为1701户，实际完成值为1701户，指标完成率为100%。指标确定依据为《易地FP搬迁项目受益户名单》，该指标分值为5分，实际得分为5分。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“促进社会稳定和长治久安”指标，指标标杆值为有效促进，实际完成值为有效促进，指标完成率为100%。该指标分值为5分，实际得分为5分。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Style w:val="10"/>
          <w:rFonts w:hint="eastAsia" w:ascii="方正仿宋_GBK" w:hAnsi="方正仿宋_GBK" w:eastAsia="方正仿宋_GBK" w:cs="方正仿宋_GBK"/>
          <w:b w:val="0"/>
          <w:bCs/>
          <w:spacing w:val="6"/>
          <w:sz w:val="32"/>
          <w:szCs w:val="32"/>
          <w:highlight w:val="none"/>
          <w:lang w:val="en-US" w:eastAsia="zh-CN"/>
        </w:rPr>
        <w:t>c、</w:t>
      </w:r>
      <w:r>
        <w:rPr>
          <w:rStyle w:val="10"/>
          <w:rFonts w:hint="eastAsia" w:ascii="方正仿宋_GBK" w:hAnsi="方正仿宋_GBK" w:eastAsia="方正仿宋_GBK" w:cs="方正仿宋_GBK"/>
          <w:b w:val="0"/>
          <w:bCs/>
          <w:spacing w:val="6"/>
          <w:sz w:val="32"/>
          <w:szCs w:val="32"/>
          <w:highlight w:val="none"/>
        </w:rPr>
        <w:t>项目实施的生态效益分析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lang w:val="en-US" w:eastAsia="zh-CN"/>
        </w:rPr>
      </w:pPr>
      <w:r>
        <w:rPr>
          <w:rStyle w:val="10"/>
          <w:rFonts w:hint="eastAsia" w:ascii="方正仿宋_GBK" w:hAnsi="方正仿宋_GBK" w:eastAsia="方正仿宋_GBK" w:cs="方正仿宋_GBK"/>
          <w:b w:val="0"/>
          <w:bCs/>
          <w:spacing w:val="6"/>
          <w:sz w:val="32"/>
          <w:szCs w:val="32"/>
          <w:highlight w:val="none"/>
          <w:lang w:val="en-US" w:eastAsia="zh-CN"/>
        </w:rPr>
        <w:t>无。</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Style w:val="10"/>
          <w:rFonts w:hint="eastAsia" w:ascii="方正仿宋_GBK" w:hAnsi="方正仿宋_GBK" w:eastAsia="方正仿宋_GBK" w:cs="方正仿宋_GBK"/>
          <w:b w:val="0"/>
          <w:bCs/>
          <w:spacing w:val="6"/>
          <w:sz w:val="32"/>
          <w:szCs w:val="32"/>
          <w:highlight w:val="none"/>
          <w:lang w:val="en-US" w:eastAsia="zh-CN"/>
        </w:rPr>
        <w:t>d、</w:t>
      </w:r>
      <w:r>
        <w:rPr>
          <w:rStyle w:val="10"/>
          <w:rFonts w:hint="eastAsia" w:ascii="方正仿宋_GBK" w:hAnsi="方正仿宋_GBK" w:eastAsia="方正仿宋_GBK" w:cs="方正仿宋_GBK"/>
          <w:b w:val="0"/>
          <w:bCs/>
          <w:spacing w:val="6"/>
          <w:sz w:val="32"/>
          <w:szCs w:val="32"/>
          <w:highlight w:val="none"/>
        </w:rPr>
        <w:t>项目实施的可持续影响分析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“安置房使用年限（年）”指标，指标标杆值为大于等于50年，根据项目说明可知，达成预期指标，指标完成率为100%。指标分值为5分，实际得分为5分。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bCs/>
          <w:spacing w:val="6"/>
          <w:sz w:val="32"/>
          <w:szCs w:val="32"/>
          <w:highlight w:val="none"/>
        </w:rPr>
      </w:pPr>
      <w:r>
        <w:rPr>
          <w:rFonts w:hint="eastAsia" w:ascii="方正仿宋_GBK" w:hAnsi="方正仿宋_GBK" w:eastAsia="方正仿宋_GBK" w:cs="方正仿宋_GBK"/>
          <w:b w:val="0"/>
          <w:bCs/>
          <w:spacing w:val="6"/>
          <w:sz w:val="32"/>
          <w:szCs w:val="32"/>
          <w:highlight w:val="none"/>
          <w:lang w:val="en-US" w:eastAsia="zh-Hans"/>
        </w:rPr>
        <w:t>③</w:t>
      </w:r>
      <w:r>
        <w:rPr>
          <w:rStyle w:val="10"/>
          <w:rFonts w:hint="eastAsia" w:ascii="方正仿宋_GBK" w:hAnsi="方正仿宋_GBK" w:eastAsia="方正仿宋_GBK" w:cs="方正仿宋_GBK"/>
          <w:b w:val="0"/>
          <w:bCs/>
          <w:spacing w:val="6"/>
          <w:sz w:val="32"/>
          <w:szCs w:val="32"/>
          <w:highlight w:val="none"/>
        </w:rPr>
        <w:t>满意度指标完成情况分析</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6"/>
          <w:kern w:val="2"/>
          <w:sz w:val="32"/>
          <w:szCs w:val="32"/>
          <w:highlight w:val="none"/>
          <w:lang w:val="en-US" w:eastAsia="zh-CN" w:bidi="ar-SA"/>
        </w:rPr>
        <w:t>“搬迁户满意度（%）”指标，指标标杆值为大于等于95%，根据满意度调查问卷可知，实际完成值为95%，指标完成率为100%。该指标分值为10分，实际得</w:t>
      </w: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分为10分。</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lang w:val="en-US" w:eastAsia="zh-CN"/>
        </w:rPr>
      </w:pPr>
      <w:r>
        <w:rPr>
          <w:rFonts w:hint="eastAsia" w:ascii="方正黑体_GBK" w:hAnsi="方正黑体_GBK" w:eastAsia="方正黑体_GBK" w:cs="方正黑体_GBK"/>
          <w:b/>
          <w:color w:val="000000"/>
          <w:spacing w:val="6"/>
          <w:sz w:val="32"/>
          <w:szCs w:val="32"/>
          <w:lang w:val="en-US" w:eastAsia="zh-CN"/>
        </w:rPr>
        <w:t>四、偏离绩效目标的原因和下一步改进措施</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未偏离绩效目标，不存在偏离绩效目标分析及下一步改进措施。</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lang w:val="en-US" w:eastAsia="zh-CN"/>
        </w:rPr>
      </w:pPr>
      <w:r>
        <w:rPr>
          <w:rFonts w:hint="eastAsia" w:ascii="方正黑体_GBK" w:hAnsi="方正黑体_GBK" w:eastAsia="方正黑体_GBK" w:cs="方正黑体_GBK"/>
          <w:b/>
          <w:color w:val="000000"/>
          <w:spacing w:val="6"/>
          <w:sz w:val="32"/>
          <w:szCs w:val="32"/>
          <w:lang w:val="en-US" w:eastAsia="zh-CN"/>
        </w:rPr>
        <w:t>五、绩效自评结果拟应用和公开情况</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本项目的实施，使易地FP搬迁户改善居住环境，激发脱贫人口内生动力，拓展增收渠道。本次评价通过文件研读、实地调研、数据采集、问卷调查等方式，全面了解易地FP搬迁债券贴息补助项目资金的使用效率和效果，项目自评得分为100分，评级为优。</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（一）对绩效自评结果拟应用情况进行说明</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其次，我单位将积极推进评价结果和评价报告等绩效信息的公开。按照政府信息公开有关规定，配合疏勒县财政局将本次绩效评价的结果信息进行公开，加强社会和舆论监督，提高财政资金使用透明度。</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（二）对项目、绩效公告公示情况进行说明</w:t>
      </w:r>
    </w:p>
    <w:p>
      <w:pPr>
        <w:keepNext w:val="0"/>
        <w:keepLines w:val="0"/>
        <w:pageBreakBefore w:val="0"/>
        <w:widowControl w:val="0"/>
        <w:kinsoku/>
        <w:wordWrap/>
        <w:topLinePunct w:val="0"/>
        <w:bidi w:val="0"/>
        <w:spacing w:line="560" w:lineRule="exact"/>
        <w:ind w:firstLine="664" w:firstLineChars="200"/>
        <w:textAlignment w:val="auto"/>
        <w:rPr>
          <w:rStyle w:val="10"/>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6"/>
          <w:kern w:val="2"/>
          <w:sz w:val="32"/>
          <w:szCs w:val="32"/>
          <w:highlight w:val="none"/>
          <w:lang w:val="en-US" w:eastAsia="zh-CN" w:bidi="ar-SA"/>
        </w:rPr>
        <w:t>按照《国务院办公厅关于印发2017年政务公开工作要点的通知》（国办发〔2017〕24号）、《新疆维吾尔自治区财政衔接推进乡村振兴补助资金管理办法》（新财规〔2021〕11号）文件要求，经批准后，由疏勒县财政局绩效股核对本项目资金及建设内容、由疏勒县财政局绩效股于2023年12月20日前对项目绩效目标在疏勒县人民政府网人民政府网www.shule.gov.cn进行公开。项目实施前在相关乡镇进行张榜公开，接受社会监督。</w:t>
      </w:r>
    </w:p>
    <w:p>
      <w:pPr>
        <w:keepNext w:val="0"/>
        <w:keepLines w:val="0"/>
        <w:pageBreakBefore w:val="0"/>
        <w:widowControl w:val="0"/>
        <w:numPr>
          <w:ilvl w:val="0"/>
          <w:numId w:val="0"/>
        </w:numPr>
        <w:pBdr>
          <w:bottom w:val="single" w:color="FFFFFF" w:sz="4" w:space="31"/>
        </w:pBdr>
        <w:kinsoku/>
        <w:wordWrap/>
        <w:overflowPunct w:val="0"/>
        <w:topLinePunct w:val="0"/>
        <w:autoSpaceDE w:val="0"/>
        <w:autoSpaceDN w:val="0"/>
        <w:bidi w:val="0"/>
        <w:adjustRightInd w:val="0"/>
        <w:snapToGrid w:val="0"/>
        <w:spacing w:line="560" w:lineRule="exact"/>
        <w:ind w:firstLine="664" w:firstLineChars="200"/>
        <w:textAlignment w:val="auto"/>
        <w:rPr>
          <w:rFonts w:hint="eastAsia" w:ascii="方正仿宋_GBK" w:hAnsi="方正仿宋_GBK" w:eastAsia="方正仿宋_GBK" w:cs="方正仿宋_GBK"/>
          <w:spacing w:val="6"/>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sz w:val="32"/>
          <w:szCs w:val="32"/>
        </w:rPr>
      </w:pPr>
    </w:p>
    <w:sectPr>
      <w:footerReference r:id="rId9"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419B23B-606D-4AFB-8992-3B4702E1BC4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embedRegular r:id="rId2" w:fontKey="{36F12D6B-BB09-4DC9-AA23-B88C0489B198}"/>
  </w:font>
  <w:font w:name="方正黑体_GBK">
    <w:altName w:val="微软雅黑"/>
    <w:panose1 w:val="03000509000000000000"/>
    <w:charset w:val="86"/>
    <w:family w:val="auto"/>
    <w:pitch w:val="default"/>
    <w:sig w:usb0="00000000" w:usb1="00000000" w:usb2="00000000" w:usb3="00000000" w:csb0="00040000" w:csb1="00000000"/>
    <w:embedRegular r:id="rId3" w:fontKey="{937CCE2F-9817-4FE2-A2A4-BADD2F4F314C}"/>
  </w:font>
  <w:font w:name="方正楷体_GBK">
    <w:altName w:val="微软雅黑"/>
    <w:panose1 w:val="03000509000000000000"/>
    <w:charset w:val="86"/>
    <w:family w:val="auto"/>
    <w:pitch w:val="default"/>
    <w:sig w:usb0="00000000" w:usb1="00000000" w:usb2="00000000" w:usb3="00000000" w:csb0="00040000" w:csb1="00000000"/>
    <w:embedRegular r:id="rId4" w:fontKey="{6B9EEC7D-E507-44D0-8F1B-6254BF3489F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C11FE6"/>
    <w:multiLevelType w:val="singleLevel"/>
    <w:tmpl w:val="50C11FE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0165255"/>
    <w:rsid w:val="029A4E0B"/>
    <w:rsid w:val="04E67E70"/>
    <w:rsid w:val="17024DB7"/>
    <w:rsid w:val="195C5947"/>
    <w:rsid w:val="1D2D7103"/>
    <w:rsid w:val="201A1A23"/>
    <w:rsid w:val="23871905"/>
    <w:rsid w:val="2D665DD9"/>
    <w:rsid w:val="2D806CE9"/>
    <w:rsid w:val="30F46739"/>
    <w:rsid w:val="320362A2"/>
    <w:rsid w:val="37D47AAF"/>
    <w:rsid w:val="45A52D18"/>
    <w:rsid w:val="465D46D3"/>
    <w:rsid w:val="53234805"/>
    <w:rsid w:val="5B6F28A3"/>
    <w:rsid w:val="5BFA7E97"/>
    <w:rsid w:val="5EE21DA8"/>
    <w:rsid w:val="64A0710F"/>
    <w:rsid w:val="746A11FE"/>
    <w:rsid w:val="77EB5308"/>
    <w:rsid w:val="7D3F0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4">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5">
    <w:name w:val="annotation text"/>
    <w:basedOn w:val="1"/>
    <w:unhideWhenUsed/>
    <w:qFormat/>
    <w:uiPriority w:val="99"/>
    <w:rPr>
      <w:rFonts w:ascii="Calibri" w:hAnsi="Calibri" w:cs="Times New Roman"/>
      <w:kern w:val="0"/>
      <w:sz w:val="20"/>
      <w:szCs w:val="20"/>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10">
    <w:name w:val="Strong"/>
    <w:basedOn w:val="9"/>
    <w:qFormat/>
    <w:uiPriority w:val="0"/>
    <w:rPr>
      <w:b/>
      <w:bCs/>
    </w:rPr>
  </w:style>
  <w:style w:type="paragraph" w:customStyle="1" w:styleId="11">
    <w:name w:val="FZ标题4"/>
    <w:basedOn w:val="4"/>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2">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 w:type="paragraph" w:customStyle="1" w:styleId="13">
    <w:name w:val="闻政-正文段落文字"/>
    <w:basedOn w:val="1"/>
    <w:qFormat/>
    <w:uiPriority w:val="3"/>
    <w:pPr>
      <w:spacing w:line="500" w:lineRule="exact"/>
      <w:ind w:firstLine="200"/>
    </w:pPr>
    <w:rPr>
      <w:rFonts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5055</Words>
  <Characters>5404</Characters>
  <Lines>0</Lines>
  <Paragraphs>0</Paragraphs>
  <TotalTime>0</TotalTime>
  <ScaleCrop>false</ScaleCrop>
  <LinksUpToDate>false</LinksUpToDate>
  <CharactersWithSpaces>5407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dcterms:modified xsi:type="dcterms:W3CDTF">2023-11-03T08:19:43Z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0549CE3B18954F73B13050647BBD359B</vt:lpwstr>
  </property>
</Properties>
</file>