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2022年审计中介服务费项目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疏勒县审计局（本级）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喀什地区财政局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封晓静</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为了规范项目执行，充分发挥县一般公共预算资金，根据{财税审计机关}依据国家法律，法规和政策规定，进一步提升审计质量，加强审计监督，经责审计审计中介服务费，在进行经责审计的同时，结合审计中介服务费项目，重点关注与工程结算相关的设计变更、现场签证、隐蔽工程验收等事项，认真分析竣工结算审计工作中容易出现的疏漏点和相关审计环节的重点与风险点，进一步规范工程管理，有效解决工程结算资料不实、管理不规范等问题，做到问题早发现早解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疏勒县审计局2022年审计中介服务费项目 主管单位：疏勒县审计局，项目牵头单位：疏勒县审计局，项目牵头单位负责人：陈志华，负责项目总体运行。 项目实施单位：疏勒县审计局，项目实施单位负责人：封晓静，项目实施单位科室主任：齐强负责项目实施过程。审计局为行政单位，编制人数18人，其中：行政人员编制8人、工勤1人、事业编制9人。实有在职人数14人，其中：行政在职4人、工勤1人、事业在职9人。离退休人员6人，其中：行政退休人员5人、工勤退休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审计中介服务费项目: 150万支付2022年审计中介服务费。本项目为一般公共预算资金项目，用150万一般公共预算资金支付2022审计中介服务费资金，为进一步提升审计质量，加强审计监督，经责审计中融入固定资产投资审计，在进行经责审计的同时，结合固定资产投资审计，重点关注与工程结算相关的设计变更、现场签证、隐蔽工程验收等事项，认真分析竣工结算审计工作中容易出现的疏漏点和相关审计环节的重点与风险点，进一步规范工程管理，有效解决工程结算资料不实、管理不规范等问题，做到问题早发现早解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该项目预算资金150万元，截至2022年12月31日，实际支出150万元，预算执行率100%。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疏勒县审计局2022年审计中介服务费项目项目总投资150万元，均为一般公共预算资金，通过项目实施进一步规范工程管理，有效解决工程结算资料不实、管理不规范等问题，做到问题早发现早解决。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该项目分三次支付，7月支付50万元，9月支付50万元，12月支付50万元，截至2022年12月31日全部资金支付完成。各阶段审计资金支付率100%，审计工作完成率100%。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本项目设置一级指标3个，二级指标6个，三级指标15个，指标量化率93.33%。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数量指标：聘用第三方造价咨询公司数量（家），年初目标值9家；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质量指标：资金审计合格率（%），年初目标值100%；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时效指标：资金支付及时率（%），年初目标值100%；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支付新疆新建联项目管理咨询有限公司审计中介费（元），年初目标值97,789元；支付新疆方中圆工程项目管理有限公司审计中介费（元），年初目标值188,481元；支付新疆新西部建设工程项目管理有限公司审计中介费（元），年初目标值679,183元；支付四川恒鑫工程管理咨询有限公司审计中介费（元），年初目标值105,586元；支付新疆惠文建设工程项目管理咨询有限公司审计中介费（元），年初目标值143,784元；支付新疆达峰建设项目管理有限公司审计中介费（元），年初目标值34,443元；支付新疆丰源建设工程项目管理咨询有限公司审计中介费（元），年初目标值142,144元；支付新疆西部中天工程项目管理咨询有限公司审计中介费（元），年初目标值23,059元；支付新疆博略工程造价咨询有限公司公司审计中介费（元），年初目标值85,531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社会效益指标：保障工作情况需要，年初目标值有效保障；问题整改落实率（%），年初目标值100%；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生态效益指标：无；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满意度指标：中介工作人员满意度（%），年初目标值95%。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本次绩效评价旨在评价审计项目实施前期、过程及效果，评价审计中介服务费资金使用的效率及效益。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第三方造价公司工程项目审计的规范性，审计过程的合理性、资金使用合规性、项目管理的规范性、项目目标的实现情况、服务对象的满意度等，通过本次部门绩效评价来总结经验和教训，促进项目合规高效完成。完成上级审计机关安排的审计项目任务，加大对地区重大政策措施落实情况的跟踪审计力度、深化财政审计、强化经济责任审计、抓好政府投资审计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陈志华任评价组组长，绩效评价工作职责为负责全盘工作。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封晓静任评价组副组长，绩效评价工作职责为为对项目实施情况进行实地调查。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齐强任评价组成员，绩效评价工作职责为负责资料审核等工作。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已完成100%，推动了审计工作产生良好的项目效益，不仅是项目出于积累资金自我发展的需要，而且更为重要的是能够促进社会进步、国审计服务的发展以及社会生产力的提高的效益。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局按照要求随同部门决算向本级财政部门报送绩效自评结果。我局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我局财政部门、预算部门按照要求将绩效评价结果分别编入政府决算和本部门决算，报送本级人民代表大会常务委员会，并依法予以公开。我局完全按此要求执行。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部门绩效档案应包括以下内容：我局制定的规章制度、项目的立项批复、部门目标申报表、行业部门预算表、部门绩效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（1）立项依据充分性：结合审计工作职责，并组织实施。围绕2022年度工作重点和工作计划制定经费预算，根据评分标准，该指标不扣分，得3分。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（1）资金到位率：财政资金足额拨付到位，牵头单位能够及时足额按照约定将专项资金拨付给第三方造价单位，根据评分标准，该指标不扣分，得5分。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（4）管理制度健全性：制定了审计工资相关管理办法，对财政专项资金进行严格管理，基本做到了专款专用，根据评分标准，该指标不扣分，得2分。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单位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项目产出类指标包括产出数量、产出质量、产出时效、产出成本四方面的内容，由15个三级指标构成，权重分为40分，实际得分40分，得分率为100%。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聘用第三方造价公司数量9家，根据《财务记账凭证及审计中介费项目表》可知，与预期目标一致，根据评分标准，该指标不扣分，得10分。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资金审计合规率100%，根据《财务记账凭证、中介费项目情况说明》可知，与预期目标一致，根据评分标准，该指标不扣分，得10分。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资金支付及时率100%，根据《财务记账凭证》可知，与预期目标一致，根据评分标准，该指标不扣分，得10分。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支付新疆新建联项目管理咨询有限公司审计中介费97789元，根据《财务记账凭证及附件》可知，与预期目标一致，根据评分标准，该指标不扣分，得2分。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支付新疆方中圆工程项目管理有限公司审计中介费188481元，根据《财务记账凭证及附件》可知，与预期目标一致，根据评分标准，该指标不扣分，得1分。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支付新疆新西部建设工程项目管理有限公司审计中介费679183元，根据《财务记账凭证及附件》可知，与预期目标一致，根据评分标准，该指标不扣分，得1分。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支付四川恒鑫工程管理咨询有限公司审计中介费105586元，根据《财务记账凭证及附件》可知，与预期目标一致，根据评分标准，该指标不扣分，得1分。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支付新疆惠文建设工程项目管理咨询有限公司审计中介费143784元，根据《财务记账凭证及附件》可知，与预期目标一致，根据评分标准，该指标不扣分，得1分。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支付新疆达峰建设项目管理有限公司审计中介费34443元，根据《财务记账凭证及附件》可知，与预期目标一致，根据评分标准，该指标不扣分，得1分。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支付新疆丰源建设工程项目管理咨询有限公司审计中介费142144元，根据《财务记账凭证及附件》可知，与预期目标一致，根据评分标准，该指标不扣分，得1分。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支付新疆西部中天工程项目管理咨询有限公司审计中介费23059元，根据《财务记账凭证及附件》可知，与预期目标一致，根据评分标准，该指标不扣分，得1分。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支付新疆博略工程造价咨询有限公司公司审计中介费85531元，根据《财务记账凭证及附件》可知，与预期目标一致，根据评分标准，该指标不扣分，得1分。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有效保障工作情况需要，根据《审计中介费调查问卷》可知，与预期指标一致，根据评分标准，该指标不扣分，得5分。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问题整改落实率，根据《审计中介费调查问卷》可知，与预期指标一致，根据评分标准，该指标不扣分，得5分。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对于“满意度指标：中介工作人员满意度95%，根据《审计中介费调查问卷》可知，与预期目标一致，根据评分标准，该指标不扣分,得10分。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项目效益指标合计得20分。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2022年审计中介服务费项目预算150万元，到位150万元，实际支出150万元，预算执行率为100%，项目绩效指标总体完成率为100%，偏差率为0%。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疏勒县审计局2022年审计中介费项目实施方案》执行，项目执行情况较好。二是加强组织领导，本项目绩效评价工作，有单位主要领导亲自挂帅，单位分管领导具体负责，从项目到资金，均能后很好的执行。三是加强对工程项目的阶段性跟踪监测，我单位分阶段跟踪工程项目建设进度，加强与第三方造价公司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一是审计人员队伍力量与审计任务不匹配。目前的审计人员多是财会及其他专业出身，知识结构较为单一，随着各种类型的审计工作出现，审计力量跟不上审计任务的要求。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二是绩效指标设置不够科学，无法全面体现项目的监测情况。</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一是加强对审计人员的培训，通过专项审计业务培训，提高审计人员业务知识水平，以适应当前的审计任务要求。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二是与其他行业部门之间加强交流学习，提高我单位绩效专员的绩效水平。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疏勒县审计局对上述项目支出绩效评价报告内反映内容的真实性、完整性负责，接受上级部门及社会公众监督。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C1ED309-6EE6-4D66-A996-00BCDDE01FF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13F8CB5-7514-4628-92BA-A8695D00B61D}"/>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B8A19477-A32C-4C88-95B3-F0226D79323B}"/>
  </w:font>
  <w:font w:name="楷体">
    <w:panose1 w:val="02010609060101010101"/>
    <w:charset w:val="86"/>
    <w:family w:val="modern"/>
    <w:pitch w:val="default"/>
    <w:sig w:usb0="800002BF" w:usb1="38CF7CFA" w:usb2="00000016" w:usb3="00000000" w:csb0="00040001" w:csb1="00000000"/>
    <w:embedRegular r:id="rId4" w:fontKey="{9DC01BC2-E999-460F-A0AF-8276C83946E9}"/>
  </w:font>
  <w:font w:name="方正仿宋_GBK">
    <w:panose1 w:val="02000000000000000000"/>
    <w:charset w:val="86"/>
    <w:family w:val="auto"/>
    <w:pitch w:val="default"/>
    <w:sig w:usb0="A00002BF" w:usb1="38CF7CFA" w:usb2="00082016" w:usb3="00000000" w:csb0="00040001" w:csb1="00000000"/>
    <w:embedRegular r:id="rId5" w:fontKey="{AB76B5C5-BA11-48D5-BECF-24F3FCD511D9}"/>
  </w:font>
  <w:font w:name="仿宋">
    <w:panose1 w:val="02010609060101010101"/>
    <w:charset w:val="86"/>
    <w:family w:val="modern"/>
    <w:pitch w:val="default"/>
    <w:sig w:usb0="800002BF" w:usb1="38CF7CFA" w:usb2="00000016" w:usb3="00000000" w:csb0="00040001" w:csb1="00000000"/>
    <w:embedRegular r:id="rId6" w:fontKey="{40DE6709-A496-4A23-938B-D638F2698104}"/>
  </w:font>
  <w:font w:name="方正楷体_GBK">
    <w:altName w:val="微软雅黑"/>
    <w:panose1 w:val="00000000000000000000"/>
    <w:charset w:val="86"/>
    <w:family w:val="auto"/>
    <w:pitch w:val="default"/>
    <w:sig w:usb0="00000000" w:usb1="00000000" w:usb2="00000000" w:usb3="00000000" w:csb0="00040000" w:csb1="00000000"/>
    <w:embedRegular r:id="rId7" w:fontKey="{FF8FE68C-4BE8-437F-975D-86F6B5F6CCA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6A4C5E83"/>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2023-11-03T08:16:14Z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5491A630E0CD495A932496F01C8F1301_12</vt:lpwstr>
  </property>
</Properties>
</file>