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2021年中央食品药品监管补助资金项目 （结转）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疏勒县市场监督管理局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迪丽拜尔·米吉提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2023年01月12日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2021年中央食品药品监管补助资金项目 （结转）项目实施前期、过程及效果，评价财政预算资金使用的效率及效益。通过该项目的实施，2022年疏勒县食品安全示范县创建成功，疏勒县食品安全监管联合检查2次数疏勒县食品安全培训5场次，疏勒县食品安全宣传1500人次。通过该项目实施，本县食品安全监管能力大幅提升，食品安全状况持续稳定良好，巩固食品安全稳定向好的态势，促进食品产业有序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市场监督管理局（本级）单位无下属预算单位，下设19个处室，分别是办公室、政策法规科、纪检监察室、计划财务装备科、市场主体行政审批科、消费者权益保护科、市场监督稽查科、食品安全监管科、药品和医疗器械监管科、保健品、化妆品监管科、质量与认证监管科、标准、计量管理科、特种设备安全监察科19个内设机构。疏勒县市场监督管理局机关行政编制40名，事业编制26名。其中：科级领导职数3名，机关工勤事业编制2名。实有人数74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本项目建设主要根据“互联网+食品安全”、“</w:t>
      </w:r>
      <w:r>
        <w:rPr>
          <w:rStyle w:val="18"/>
          <w:rFonts w:hint="eastAsia" w:ascii="仿宋" w:hAnsi="仿宋" w:eastAsia="仿宋" w:cs="仿宋"/>
          <w:b w:val="0"/>
          <w:bCs w:val="0"/>
          <w:spacing w:val="-4"/>
          <w:sz w:val="32"/>
          <w:szCs w:val="32"/>
          <w:lang w:eastAsia="zh-CN"/>
        </w:rPr>
        <w:t>平台</w:t>
      </w:r>
      <w:r>
        <w:rPr>
          <w:rStyle w:val="18"/>
          <w:rFonts w:hint="eastAsia" w:ascii="仿宋" w:hAnsi="仿宋" w:eastAsia="仿宋" w:cs="仿宋"/>
          <w:b w:val="0"/>
          <w:bCs w:val="0"/>
          <w:spacing w:val="-4"/>
          <w:sz w:val="32"/>
          <w:szCs w:val="32"/>
        </w:rPr>
        <w:t>+食品安全”新思路，改革餐饮食品安全监管新模式，全面提升食品安全监管效能，探索“机器换人、机器助人”智能监管新机制，用科技化、智慧化、信息化支撑监管，推动实现规监管、精准监管、联合监管，解决人民群众关心的食品安全问题。2022年疏勒县食品安全示范县创建成功，疏勒县食品安全监管联合检查2次数疏勒县食品安全培训5场次，疏勒县食品安全宣传1500人次。通过该项目实施，本县食品安全监管能力大幅提升，食品安全状况持续稳定良好，巩固食品安全稳定向好的态势，促进食品产业有序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喀地财行【2021】46号共安排下达资金4万元，为2021年中央食品药品监管补助上年结转资金，最终确定项目资金总数为4万元。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根据“互联网+食品安全”、“</w:t>
      </w:r>
      <w:r>
        <w:rPr>
          <w:rStyle w:val="18"/>
          <w:rFonts w:hint="eastAsia" w:ascii="仿宋" w:hAnsi="仿宋" w:eastAsia="仿宋" w:cs="仿宋"/>
          <w:b w:val="0"/>
          <w:bCs w:val="0"/>
          <w:spacing w:val="-4"/>
          <w:sz w:val="32"/>
          <w:szCs w:val="32"/>
          <w:lang w:eastAsia="zh-CN"/>
        </w:rPr>
        <w:t>平台</w:t>
      </w:r>
      <w:r>
        <w:rPr>
          <w:rStyle w:val="18"/>
          <w:rFonts w:hint="eastAsia" w:ascii="仿宋" w:hAnsi="仿宋" w:eastAsia="仿宋" w:cs="仿宋"/>
          <w:b w:val="0"/>
          <w:bCs w:val="0"/>
          <w:spacing w:val="-4"/>
          <w:sz w:val="32"/>
          <w:szCs w:val="32"/>
        </w:rPr>
        <w:t>+食品安全”新思路，改革餐饮食品安全监管新模式，全面提升食品安全监管效能，探索“机器换人、机器助人”智能监管新机制，用科技化、智慧化、信息化支撑监管，推动实现规监管、精准监管、联合监管，解决人民群众关心的食品安全问题。2022年疏勒县食品安全示范县创建成功，主要工作如下：疏勒县食品安全监管联合检查2次数疏勒县食品安全培训5场次，疏勒县食品安全宣传1500人次。通过该项目实施，本县食品安全监管能力大幅提升，食品安全状况持续稳定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本项目设置一级指标3个，二级指标9个，三级指标15个，指标量化率73.33%。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数量指标：疏勒县食品安全监管联合检查次数，年初目标值大于等于2次，疏勒县食品安全培训（场次），年初目标值大于等于5场次；疏勒县食品安全宣传人次，年初目标值大于等于1500人次。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质量指标：疏勒县联合检查合格率，年初目标值大于等于90%；疏勒县食品安全培训完成率，年初目标值大于等于90%；疏勒县食品安全宣传完成率，年初目标值大于等于90%。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时效指标：项目完成时间，年初目标值2022年12月；资金到付及时率，年初目标值100%。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成本指标：疏勒县食品安全宣传经费，年初目标值小于等于2万元；疏勒县食品安全培训经费，年初目标值小于等于2万元。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社会效益指标：提高食品安全社会共治能力，年初目标值稳步提升。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可持续影响指标：持续发挥示范作用，年初目标值持续提升；促进食品行业健康有序发展，年初目标值逐步提高。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满意度指标：受训人员满意度（%），年初目标值大于等于95%。抽检群众满意度，年初目标值大于等于95%。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齐尚东任评价组组长，绩效评价工作职责为负责全盘工作。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张淼任评价组副组长，绩效评价工作职责为为对项目实施情况进行实地调查。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迪力拜尔·米吉提、马丽任评价组成员，绩效评价工作职责为负责资料审核等工作。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2021年中央食品药品监管补助资金项目 （结转）已完成，推动食品安全监管能力大幅提升，食品安全状况持续稳定良好。该项目最终评分100分，绩效评级为“优”。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市场监督管理局按照要求随同部门决算向本级财政部门报送绩效自评结果。疏勒县市场监督管理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疏勒县市场监督管理局财政部门、预算部门按照要求将绩效评价结果分别编入政府决算和本部门决算，报送本级人民代表大会常务委员会，并依法予以公开。我局完全按此要求执行。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部门绩效档案应包括以下内容：疏勒县市场监督管理局制定的规章制度、项目的立项批复、部门目标申报表、行业部门预算表、部门绩效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（1）立项依据充分性：结合市场监管职责，并组织实施。围绕2022年度工作重点和工作计划制定经费预算，根据评分标准，该指标不扣分，得3分。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（2）立项程序规范性：根据决策依据编制工作计划和经费预算，经过与局分管领导进行沟通、筛选确定经费预算计划，上党组会研究确定最终预算方案，根据评分标准，该指标不扣分，得2分。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局分管领导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疏勒县食品安全监管联合检查次数大于等于2次，此数据依据我局食品安全培训汇总表得出，与预期目标一致，根据评分标准，该指标不扣分，得3分。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疏勒县食品安全培训（场次）大于等于5场次，此数据依据我局食品安全培训汇总表得出，与预期目标一致，根据评分标准，该指标不扣分，得3分。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疏勒县食品安全宣传人次大于等于1500人次，此数据依据我局食品安全宣传汇总表得出，与预期目标一致，根据评分标准，该指标不扣分，得4分。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疏勒县联合检查合格率大于等于90%，此数据依据我局食品安全检查汇总表得出，与预期目标一致，根据评分标准，该指标不扣分，得3分。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疏勒县食品安全培训完成率大于等于90%，此数据依据我局食品安全检查汇总表得出，与预期目标一致，根据评分标准，该指标不扣分，得3分。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疏勒县食品安全宣传完成率大于等于90%，此数据依据我局食品安全检查汇总表得出，与预期目标一致，根据评分标准，该指标不扣分，得4分。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资金到付及时率100%，此数据依据实际支出票据得出，与预期目标指标一致，根据评分标准，该指标不扣分，得5分。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项目完成时间2022年12月，此数据依据实际支出票据得出，与预期目标一致，根据评分标准，该指标不扣分，得5分。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疏勒县食品安全宣传经费小于等于2万元，此数据依据我局食品安全宣传支出票据得出，项目经费都能控制绩效目标范围内，根据评分标准，该指标不扣分，得5分。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疏勒县食品安全培训经费小于等于2万元，此数据依据我局食品安全宣传支出票据得出，项目经费都能控制绩效目标范围内，根据评分标准，该指标不扣分，得5分。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提高食品安全社会共治能力稳步提升，此数据依据我局食品安全示范县材料得出，与预期指标一致，根据评分标准，该指标不扣分，得5分。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持续发挥示范作用持续提升，此数据依据我局食品安全示范县材料得出，与预期指标一致，根据评分标准，该指标不扣分，得2分。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促进食品行业健康有序发展逐步提高，此数据依据我局食品安全示范县材料得出，与预期指标一致，根据评分标准，该指标不扣分，得3分。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对于“满意度指标：受训人员满意度大于等于95%,与预期目标一致，根据评分标准，该指标不扣分,得5分。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抽检群众满意度，年初目标值大于等于95%，与预期目标一致，根据评分标准，该指标不扣分,得5分。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2021年中央食品药品监管补助资金项目 （结转）项目预算4万元，到位4万元，实际支出4万元，预算执行率为100%，项目绩效指标总体完成率为100%，偏差率为0%。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领导组织部署本项目绩效评价工作，由单位主要领导亲自挂帅，分管局领导具体负责，各科室部门密切配合，从项目到资金，能够严格按照《项目实施方案》执行，项目执行情况较好。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一是项目基本资料不全，主要缺少实施方案，导致年末绩效评价依据不足。收集评价数据有一定的困难，对项目的产出、效果，社会影响力等绩效评价不够全面。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二是人员力量不足，缺乏专业性较强的技能储备，只能在工作中学习和积累，致使短期内工作停留在表面，难以深入推进。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1.优化项目支出绩效指标体系。项目启动时同步做好档案的归纳与整理，及时整理、收集、汇总，健全档案资料。项目后续管理有待进一步加强和跟踪。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2.组织预算单位工作人员学习绩效管理的规范要求及法律法规，通过绩效管理，发现实施中存在漏洞，以后加强管理，及时掌握与之相关的各类信息，减少成本，使资金效益最大化。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19C78A-7E62-4805-BDD2-EDF2C8DF35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08E4E7B-0B52-48A7-BEF0-CA1F092E7142}"/>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0C11EEC6-EF80-4490-ADB8-684477B17C45}"/>
  </w:font>
  <w:font w:name="仿宋_GB2312">
    <w:altName w:val="仿宋"/>
    <w:panose1 w:val="00000000000000000000"/>
    <w:charset w:val="86"/>
    <w:family w:val="modern"/>
    <w:pitch w:val="default"/>
    <w:sig w:usb0="00000000" w:usb1="00000000" w:usb2="00000000" w:usb3="00000000" w:csb0="00040000" w:csb1="00000000"/>
    <w:embedRegular r:id="rId4" w:fontKey="{326BDB94-ADA3-495D-BDD9-2F3BB344787A}"/>
  </w:font>
  <w:font w:name="楷体">
    <w:panose1 w:val="02010609060101010101"/>
    <w:charset w:val="86"/>
    <w:family w:val="modern"/>
    <w:pitch w:val="default"/>
    <w:sig w:usb0="800002BF" w:usb1="38CF7CFA" w:usb2="00000016" w:usb3="00000000" w:csb0="00040001" w:csb1="00000000"/>
    <w:embedRegular r:id="rId5" w:fontKey="{49091720-43AF-4755-8772-E9CF5BC93745}"/>
  </w:font>
  <w:font w:name="方正仿宋_GBK">
    <w:panose1 w:val="02000000000000000000"/>
    <w:charset w:val="86"/>
    <w:family w:val="auto"/>
    <w:pitch w:val="default"/>
    <w:sig w:usb0="A00002BF" w:usb1="38CF7CFA" w:usb2="00082016" w:usb3="00000000" w:csb0="00040001" w:csb1="00000000"/>
    <w:embedRegular r:id="rId6" w:fontKey="{5F2BCE65-DFCA-43B6-9050-9E73C4A9105B}"/>
  </w:font>
  <w:font w:name="仿宋">
    <w:panose1 w:val="02010609060101010101"/>
    <w:charset w:val="86"/>
    <w:family w:val="modern"/>
    <w:pitch w:val="default"/>
    <w:sig w:usb0="800002BF" w:usb1="38CF7CFA" w:usb2="00000016" w:usb3="00000000" w:csb0="00040001" w:csb1="00000000"/>
    <w:embedRegular r:id="rId7" w:fontKey="{ADDBFA55-FC14-424F-9990-2FC7133B48D0}"/>
  </w:font>
  <w:font w:name="方正楷体_GBK">
    <w:altName w:val="微软雅黑"/>
    <w:panose1 w:val="00000000000000000000"/>
    <w:charset w:val="86"/>
    <w:family w:val="auto"/>
    <w:pitch w:val="default"/>
    <w:sig w:usb0="00000000" w:usb1="00000000" w:usb2="00000000" w:usb3="00000000" w:csb0="00040000" w:csb1="00000000"/>
    <w:embedRegular r:id="rId8" w:fontKey="{43E415B1-1A6C-40F3-B4FF-A3BE8A9F1929}"/>
  </w:font>
  <w:font w:name="方正黑体_GBK">
    <w:altName w:val="微软雅黑"/>
    <w:panose1 w:val="00000000000000000000"/>
    <w:charset w:val="86"/>
    <w:family w:val="auto"/>
    <w:pitch w:val="default"/>
    <w:sig w:usb0="00000000" w:usb1="00000000" w:usb2="00000000" w:usb3="00000000" w:csb0="00040000" w:csb1="00000000"/>
    <w:embedRegular r:id="rId9" w:fontKey="{BA0C0C6D-FC18-468E-B165-19D9F618BEC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365752B"/>
    <w:rsid w:val="4609551D"/>
    <w:rsid w:val="4D2606A1"/>
    <w:rsid w:val="4DD42C22"/>
    <w:rsid w:val="56E61EA9"/>
    <w:rsid w:val="5DA303C4"/>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3E383611CB1A4F42B28B6F3BC7C994E1_12</vt:lpwstr>
  </property>
</Properties>
</file>