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全国自然灾害综合风险普查（结转）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疏勒县应急管理局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喀什地区应急管理局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姜军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2023年01月14日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全国自然灾害综合风险普查项目实施前期、过程及效果，评价财政预算资金使用的效率及效益。通过该项目的实施，摸清了自然灾害风险隐患底数，查明了承灾体及重点区域的抗灾能力，客观认识了我县自然灾害综合风险水平，为县政府有效开展自然灾害防治工作、切实保障经济社会可持续发展提供可靠的灾害风险信息和科学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疏勒县应急管理局为行政单位，纳入2021年部门决算编制范围的有3个办公室：应急办、安全生产办、综合办。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编制人数6人，其中：行政人员编制6人、工勤1人、参公0人、事业编制10人。实有在职人数14人，其中：行政在职7人、工勤1人、参公0人、事业在职6人。离退休人员3人，其中：行政退休人员3人、事业退休0人。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由疏勒县应急管理局牵头，联合住建局、水利局、自然资源局、交通运输局等相关部门，在疏勒县范围内，开展气象灾害、森林草原火灾、水旱灾害等自然灾害风险隐患底数，查明并摸清承灾体（房屋与市政设施、交通设施、公共设施）、历史灾害综合减灾资源（能力）、重点地区的抗灾能力，通过重点隐患调查、普查数据质检与核查、数据汇交、培训宣传、普查清查工作等工作阶段任务，客观认识我县自然灾害综合风险水平，为县政府有效开展自然灾害防治工作、切实保障经济社会可持续发展提供可靠的灾害风险信息和科学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喀地财建【2021】95号共安排下达资金34万元，为上级专项资金，最终确定项目资金总数为34万元。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用于气象灾害、森林草原火灾、水旱灾害、承灾体（房屋与市政设施、交通设施、公共设施）、历史灾害、综合减灾资源（能力）、重点隐患调查、普查数据质检与核查、数据汇交、培训宣传、普查清查工作等工作阶段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勒县应急管理局牵头，联合住建局、水利局、自然资源局、交通运输局等相关部门，在疏勒县范围内，开展气象灾害、森林草原火灾、水旱灾害等自然灾害风险隐患底数，查明并摸清承灾体（房屋与市政设施、交通设施、公共设施）、历史灾害综合减灾资源（能力）、重点地区的抗灾能力，通过重点隐患调查、普查数据质检与核查、数据汇交、培训宣传、普查清查工作等工作阶段任务，客观认识我县自然灾害综合风险水平，为县政府有效开展自然灾害防治工作、切实保障经济社会可持续发展提供可靠的灾害风险信息和科学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本项目设置一级指标3个，二级指标6个，三级指标10个，指标量化率80%。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数量指标：调整任务覆盖区数量（个），年初目标值5个；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质量指标：普查数据成果质检检查通过率（%），年初目标值90%；普查宣传工作覆盖率（%），年初目标值100%；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时效指标：资金下发及时率（%），年初目标值100%；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住房和城乡建设局用于房屋建筑和市政设施调查成本（万元），年初目标值18万元；应急管理局用于历史灾害、承载体调查、减灾能力调查成本（万元），年初目标值14万元；交通设施、公共服务设施调查成本（万元），年初目标值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社会效益指标：普查工作对提升基层自然灾害防治能力的作用，年初目标值效果显著；普查成果为自然灾害防治、应急管理等提供科学依据，减轻灾害损失，年初目标值效果显著；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满意度指标：行业部门满意度（%），年初目标值95%。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姜军任评价组组长，绩效评价工作职责为负责全盘工作。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阿卜杜凯尤木任评价组副组长，绩效评价工作职责为为对项目实施情况进行实地调查。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麦麦提艾力任评价组成员，绩效评价工作职责为负责资料审核等工作。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国自然灾害综合风险普查项目已完成项目资金支出40万元，对自然灾害隐患进行摸排，了解了全县防灾抗灾能力，为县政府有效开展自然灾害防治工作、切实保障经济社会可持续发展提供可靠的灾害风险信息和科学决策依据。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按照要求随同部门决算向本级财政部门报送绩效自评结果。我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（1）立项依据充分性：结合疏勒县应急管理局职责，并组织实施。围绕2022年度工作重点和工作计划制定经费预算，根据评分标准，该指标不扣分，得3分。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（2）立项程序规范性：根据决策依据编制工作计划和经费预算，经过与县分管领导进行沟通、筛选确定经费预算计划，上党委会研究确定最终预算方案，根据评分标准，该指标不扣分，得2分。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（4）管理制度健全性：制定了单位相关管理办法，对财政专项资金进行严格管理，基本做到了专款专用，根据评分标准，该指标不扣分，得2分。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项目产出类指标包括产出数量、产出质量、产出时效、产出成本四方面的内容，由7个三级指标构成，权重分为40分，实际得分40分，得分率为100%。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调整任务覆盖区数量5个，根据资金下拨文件可知，与预期目标一致，根据评分标准，该指标不扣分，得10分。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普查数据成果质检检查通过率90%，根据检查统计表可知，与预期目标一致，根据评分标准，该指标不扣分，得5分。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普查宣传工作覆盖率100%，根据检查统计表可知，与预期目标一致，根据评分标准，该指标不扣分，得5分。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资金下发及时率100%，根据资金拨付明细账可知，与预期目标一致，根据评分标准，该指标不扣分，得10分。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住房和城乡建设局用于房屋建筑和市政设施调查成本18万元，根据国库支付凭证可知，项目经费能控制绩效目标范围内，根据评分标准可知，该指标不扣分，得4分；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应急管理局用于历史灾害、承载体调查、减灾能力调查成本14万元，根据国库支付凭证可知，项目经费能控制绩效目标范围内，根据评分标准可知，该指标不扣分，得3分；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交通设施、公共服务设施调查成本2万元，根据国库支付凭证可知，项目经费能控制绩效目标范围内，根据评分标准可知，该指标不扣分，得3分；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普查工作对提升基层自然灾害防治能力的作用效果显著，根据满意度调查问卷可知，与预期指标一致，根据评分标准，该指标不扣分，得5分。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普查成果为自然灾害防治、应急管理等提供科学依据，减轻灾害损失效果显著，根据满意度调查问卷可知，与预期指标一致，根据评分标准，该指标不扣分，得5分。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对于“满意度指标”：行业部门满意度95%，根据满意度调查问卷可知，与预期目标一致，根据评分标准，该指标不扣分,得10分。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全国自然灾害综合风险普查项目预算34万元，到位34万元，实际支出34万元，预算执行率为100%，项目绩效指标总体完成率为100%，偏差率为0%。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是本项目能够严格按照《项目实施方案》执行，项目执行情况较好。二是加强组织领导，本项目绩效评价工作，由单位主要领导亲自挂帅，分管领导具体负责，专职干部进行盯办，从项目到资金，均能后很好的执行。三是加强沟通协调，我单位及时向上级主管部门、县财政局、住建局、交通局、自然资源局、水利局等多个相关单位进行沟通、确认，确保项目实施进度，确保项目实施合规合法、程序规范、行为真实，确保项目按期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制定绩效目标指标和具体量化值方面还不够细致；2.是自评价工作还存在不够全面的问题；3.是自评价工作的成果分析、运用方面还存在不足；4.是效益指标的设置和评价工作还不够广泛，缺乏针对性；5.项目负责人对绩效工作的认识还不足，经办人对于绩效工作的能力还有待提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1.项目实施有专人负责，已掌握项目实施的各项程序及规范，项目实施资料完备。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2.项目实施中的财务活动严格执行资金支付国库集中制度、会计法、会计准则等相关法律法规及制度，确保资金使用的合规性。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3.项目实施实行事前绩效评估、设置绩效目标、事中绩效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、事后绩效评价等绩效步骤，通过绩效管理，发现实施中存在漏洞，以后加强管理，及时掌握与之相关的各类信息，减少成本，使资金效益最大化。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4．项目负责人及经办人对项目绩效管理工作意识日益提高，评价工作从项目实施方案源头抓起，评价工作和意识贯穿项目整个过程。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28E6E2-E561-4438-82BD-07FA423AB3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C624C6B-5641-4C56-951F-1E2ACD8C213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5B93CF29-A5F2-4B9C-95D9-8C1A3378E680}"/>
  </w:font>
  <w:font w:name="仿宋_GB2312">
    <w:altName w:val="仿宋"/>
    <w:panose1 w:val="00000000000000000000"/>
    <w:charset w:val="86"/>
    <w:family w:val="modern"/>
    <w:pitch w:val="default"/>
    <w:sig w:usb0="00000000" w:usb1="00000000" w:usb2="00000000" w:usb3="00000000" w:csb0="00040000" w:csb1="00000000"/>
    <w:embedRegular r:id="rId4" w:fontKey="{E36EBC42-58AC-4AE9-9FCD-8274E2688948}"/>
  </w:font>
  <w:font w:name="楷体">
    <w:panose1 w:val="02010609060101010101"/>
    <w:charset w:val="86"/>
    <w:family w:val="modern"/>
    <w:pitch w:val="default"/>
    <w:sig w:usb0="800002BF" w:usb1="38CF7CFA" w:usb2="00000016" w:usb3="00000000" w:csb0="00040001" w:csb1="00000000"/>
    <w:embedRegular r:id="rId5" w:fontKey="{9C4F58F2-8A89-4BC9-8E73-46FD371F11BF}"/>
  </w:font>
  <w:font w:name="方正仿宋_GBK">
    <w:panose1 w:val="02000000000000000000"/>
    <w:charset w:val="86"/>
    <w:family w:val="auto"/>
    <w:pitch w:val="default"/>
    <w:sig w:usb0="A00002BF" w:usb1="38CF7CFA" w:usb2="00082016" w:usb3="00000000" w:csb0="00040001" w:csb1="00000000"/>
    <w:embedRegular r:id="rId6" w:fontKey="{23BBB994-D4E2-4626-A2A7-3E7F481D549D}"/>
  </w:font>
  <w:font w:name="仿宋">
    <w:panose1 w:val="02010609060101010101"/>
    <w:charset w:val="86"/>
    <w:family w:val="modern"/>
    <w:pitch w:val="default"/>
    <w:sig w:usb0="800002BF" w:usb1="38CF7CFA" w:usb2="00000016" w:usb3="00000000" w:csb0="00040001" w:csb1="00000000"/>
    <w:embedRegular r:id="rId7" w:fontKey="{0B7E6DC9-21AF-4CBD-9CA5-A6768D455AB4}"/>
  </w:font>
  <w:font w:name="方正楷体_GBK">
    <w:altName w:val="微软雅黑"/>
    <w:panose1 w:val="00000000000000000000"/>
    <w:charset w:val="86"/>
    <w:family w:val="auto"/>
    <w:pitch w:val="default"/>
    <w:sig w:usb0="00000000" w:usb1="00000000" w:usb2="00000000" w:usb3="00000000" w:csb0="00040000" w:csb1="00000000"/>
    <w:embedRegular r:id="rId8" w:fontKey="{2B140655-EBA5-4271-8A4E-AA2FE8A197A6}"/>
  </w:font>
  <w:font w:name="方正黑体_GBK">
    <w:altName w:val="微软雅黑"/>
    <w:panose1 w:val="00000000000000000000"/>
    <w:charset w:val="86"/>
    <w:family w:val="auto"/>
    <w:pitch w:val="default"/>
    <w:sig w:usb0="00000000" w:usb1="00000000" w:usb2="00000000" w:usb3="00000000" w:csb0="00040000" w:csb1="00000000"/>
    <w:embedRegular r:id="rId9" w:fontKey="{3AA18F21-3719-4663-B968-83A08FB16F3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5F2D5069"/>
    <w:rsid w:val="716B6B6A"/>
    <w:rsid w:val="7C7B6554"/>
    <w:rsid w:val="7DFD1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2023-11-03T09:26:19Z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56B3E87C72D3429CBD9F0B9B74D2A7CE_12</vt:lpwstr>
  </property>
</Properties>
</file>