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疏勒县疫情防控山岗伙食保障</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疏勒县塔孜洪乡人民政府(本级)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疏勒县塔孜洪乡人民政府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赵天琛</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疏勒县疫情防控山岗伙食保障项目实施前期、过程及效果，评价财政预算资金使用的效率及效益。通过该项目的实施，很好的解决了疫情期间隔离点人员三餐问题，保障疫情防控后勤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塔孜洪乡人民政府由“五办六中心”构成，具体有：党政办公室、党建办公室、经济发展办公室、社会事务办公室、综合执法办公室、农业（畜牧业）发展服务中心、文体广电旅游服务中心、社会保障（民政）服务中心（退役军人服务站）、农村合作经济（统计）发展中心（财政所）、村镇规划建设发展中心（生态环境工作站）、综治中心（网格化服务中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编制人数100人，其中：行政人员编制62人、事业编制38人。实有在职人数136人（在2022年12月在职人数变为134人），其中：行政在职65人、参公28人、事业在职38人、自聘在职3人。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主要是疫情期间维持疫情防控后勤保供点的正常运转，三餐食材采购正常运行，送餐车辆正常运行，人员配备正常运行以及其他临时支出，该项目经费用于保障保供点正常运转,为山岗医学观察点2000人提供伙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勒财预字【2022】35号共安排下达资金50万元，为疏勒县疫情防控山岗伙食保障项目资金，最终确定项目资金总数为50万元。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截至2022年12月31日，实际支出50万元，预算执行率100%。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投入50万元，用于疏勒县山岗隔离点疫情防控后勤保障工作，我乡疏勒汇丰农商建设发展服务有限公司承接山岗医学观察点2000人的日常三餐配送，该项目解决隔离点人员三餐问题，保障疫情防控后勤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本项目设置一级指标3个，二级指标7个，三级指标9个，指标量化率为77.78%。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数量指标：保障隔离点数量，年度指标值等于1个；保障人员数量，年度指标值等于2000个；人员伙食保障天数，年度指标值等于11天；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质量指标：资金使用合格率，年度指标值等于100%；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时效指标：送餐及时率，年度指标值大于等于98%；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成本指标：每日采购物资费用，年度指标值等于45454.55元；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社会效益指标：解决隔离点人员三餐问题，年度指标值有效解决；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可持续影响指标：保障隔离点疫情防控后勤正常运行，年度指标值持续保障；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满意度指标：隔离点人员满意度，年初目标值大于等于95%。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本项目绩效评价体系为根据财预﹝2020﹞10号个性化指标设置，个性指标下设产出、效益和满意度3个一级指标，其中产出下设产出数量、产出质量、产出时效、产出成本4个2级指标，效益下设项目效益2个二级指标，满意度下设满意度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阿卜杜凯尤木·阿卜杜热合曼任评价组组长，绩效评价工作职责为负责全盘工作。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常翔任评价组副组长，绩效评价工作职责为为对项目实施情况进行实地调查。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马凡凡任评价组成员，绩效评价工作职责为负责资料审核、填报等工作。通过与相关成员前期沟通，明确评价目标、识别重要评价事项和履行的评价责任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经评价组通过、综合分析法、问卷调查法等方式，主要采用综合分析法对项目的决策、实施、产出、效益进行综合评价分析，最终评分100分。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疏勒县疫情防控山岗伙食保障项目已完成100%，在疫情期间很好的解决了隔离点人员的三餐问题，保障了疫情防控后勤工作的正常运转。该项目最终评分100分，绩效评级为“优”。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按照要求随同部门决算向本级财政部门报送绩效自评结果。我单位通过对自评结果的整理、分析，将自评结果作为我单位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部门绩效档案应包括以下内容：我单位制定的规章制度、项目的立项批复、部门目标申报表、行业部门预算表、部门绩效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（1）资金到位率：财政资金足额拨付到位，我单位能够及时足额按照合同约定将专项资金拨付给疏勒县惠丰农商建设发展服务有限公司，根据评分标准，该指标不扣分，得5分。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项目产出类指标包括产出数量、产出质量、产出时效、产出成本四方面的内容，由9个三级指标构成，权重分为40分，实际得分40分，得分率为100%。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保障隔离点数量等于1个，根据项目实施方案和支付凭证可得预期目标一致，根据评分标准，该指标不扣分，得3分。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保障人员数量等于2000人，根据项目实施方案和支付凭证可得与预期目标一致，根据评分标准，该指标不扣分，得3分。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人员伙食保障天数等于11天，根据项目实施方案和支付凭证可得与预期目标一致，根据评分标准，该指标不扣分，得4分。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资金使用合规率等于100%，根据资金支付凭证审批流程可得，与预期目标一致，根据评分标准，该指标不扣分，得10分。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送餐及时率大于等于98%，根据本项目满意度调查问卷和资金支付台账可得，与预期目标指标一致，根据评分标准，该指标不扣分，得10分。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每日采购物资费用等于45454.55元，根据资金支付台账、支付凭证和项目实施方案可得，项目经费都能控制绩效目标范围内，根据评分标准，该指标不扣分，得10分。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有效解决隔离点人员三餐问题，根据印证指标的印证资料可得，与预期指标一致，根据评分标准，该指标不扣分，得5分。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持续保障隔离点疫情防控后勤正常运转，根据印证指标的印证资料可得，与预期指标一致，根据评分标准，该指标不扣分，得5分。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对于“满意度指标：隔离点人员满意度大于等于95%，根据本项目满意度调查问卷可得，与预期目标一致，根据评分标准，该指标不扣分,得10分。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疏勒县疫情防控山岗伙食保障项目预算50万元，到位50万元，实际支出50万元，预算执行率为100%，项目绩效指标总体完成率为100%，无偏差。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疏勒县疫情防控山岗伙食保障项目实施方案》执行，项目执行情况较好。二是加强组织领导，本项目从开始实施至结束，有主要领导亲自负责，财务分管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前期项目实施方案的形成时，应严格做好相关实施性较强的计划，包括资金的使用以及项目的推进过程，特别是在做项目绩效目标表时，要对各项指标和指标值进一步优化、完善，主要在细化、量化上改进，为后续做绩效评价报告提供详细的数据支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前期做好可行性研究报告，更加细化实施方案，项目实施的过程严格按照相关程序进行规范，严格遵守我单位关于资金管理的相关制度和财政资金管理制度，严格按照项目实施方案稳步推进工作，项目实施的同时也要做好各种资料的归纳与整理，健全账务与档案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5364E16-A6E1-4EAF-8D52-FFAF8B54A08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C8E5084-ACAE-45F4-99A9-1F61AF954173}"/>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463FECF5-BCCC-4E89-9297-1368CA773B86}"/>
  </w:font>
  <w:font w:name="楷体">
    <w:panose1 w:val="02010609060101010101"/>
    <w:charset w:val="86"/>
    <w:family w:val="modern"/>
    <w:pitch w:val="default"/>
    <w:sig w:usb0="800002BF" w:usb1="38CF7CFA" w:usb2="00000016" w:usb3="00000000" w:csb0="00040001" w:csb1="00000000"/>
    <w:embedRegular r:id="rId4" w:fontKey="{40A00BE3-4A16-4556-AC3F-77F2E921C1B1}"/>
  </w:font>
  <w:font w:name="方正仿宋_GBK">
    <w:panose1 w:val="02000000000000000000"/>
    <w:charset w:val="86"/>
    <w:family w:val="auto"/>
    <w:pitch w:val="default"/>
    <w:sig w:usb0="A00002BF" w:usb1="38CF7CFA" w:usb2="00082016" w:usb3="00000000" w:csb0="00040001" w:csb1="00000000"/>
    <w:embedRegular r:id="rId5" w:fontKey="{747435B7-AF71-4A1E-9B18-BFBE61C8BED7}"/>
  </w:font>
  <w:font w:name="仿宋">
    <w:panose1 w:val="02010609060101010101"/>
    <w:charset w:val="86"/>
    <w:family w:val="modern"/>
    <w:pitch w:val="default"/>
    <w:sig w:usb0="800002BF" w:usb1="38CF7CFA" w:usb2="00000016" w:usb3="00000000" w:csb0="00040001" w:csb1="00000000"/>
    <w:embedRegular r:id="rId6" w:fontKey="{68037437-739A-4DE4-B578-753D1D01E8E4}"/>
  </w:font>
  <w:font w:name="方正楷体_GBK">
    <w:altName w:val="微软雅黑"/>
    <w:panose1 w:val="00000000000000000000"/>
    <w:charset w:val="86"/>
    <w:family w:val="auto"/>
    <w:pitch w:val="default"/>
    <w:sig w:usb0="00000000" w:usb1="00000000" w:usb2="00000000" w:usb3="00000000" w:csb0="00040000" w:csb1="00000000"/>
    <w:embedRegular r:id="rId7" w:fontKey="{780CED08-B132-4458-A1E2-ABED36BAF1A2}"/>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ACA74A3"/>
    <w:rsid w:val="2AE11386"/>
    <w:rsid w:val="2D4C6AD2"/>
    <w:rsid w:val="2D5A6638"/>
    <w:rsid w:val="340D5924"/>
    <w:rsid w:val="3AA1517B"/>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2023-11-03T09:26:15Z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3CE4C9FA90C14F4DA4B2F9217E067670_12</vt:lpwstr>
  </property>
</Properties>
</file>