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乡镇工作经费项目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疏勒县巴仁乡人民政府(本级)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疏勒县巴仁乡人民政府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玉素甫·麦麦提图尔荪</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巴仁乡工作经费项目实施前期、过程及效果，评价财政预算资金使用的效率及效益。通过该项目的实施，有效提高了辖区社会综合治理能力，长期维护了社会稳定和乡镇干部人员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疏勒县巴仁乡人民政府为全额行政单位，纳入2022年部门决算编制范围的有5个办公室：党政办公室、党建办公室、经济发展办公室、社会事务办公室、综合执法办公室。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107人，其中：行政人员编制64人、工勤2人、事业编制41人（其中全额事业编36人，自收自支5人）。实有在职人数136人，其中：行政在职77人（其中行政工勤4人）、参公26人、事业在职35人。离退休人员36人，其中：行政退休人员23人、事业退休13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本项目计划安排工作经费50万元，保障机关办公、伙食费、取暖、维修及其他方面的运转，有力保障本年度各项工作的正常开展，有效提高政府公共服务能力，持续创建和谐乡镇，不断提高干部满意度。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勒财预字【2022】6号共安排下达资金50万元，为一般公共预算资金，最终确定项目资金总数为50万元。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截至2022年12月31日，实际支出50万元，预算执行率100%。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本项目计划安排工作经费50万元，保障机关办公、伙食费、取暖、维修及其他方面的运转，有力保障本年度各项工作的正常开展，有效提高政府公共服务能力，持续创建和谐乡镇，不断提高干部满意度。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实施保障了132人的生活及办公所需，维持了机关正常运转及其他支出。其中，办公费支出15万元、伙食费支出15万元、其他运转支出20万元，项目已验收，质量验收合格率达到100%。通过实施本项目有效提高了辖区社会综合治理能力，长期维护了社会稳定和乡镇干部人员稳定，充分调动工作人员的积极性，营造和谐、舒适的工作生活环境，确保干部群众安心工作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如：本项目设置一级指标3个，二级指标6个，三级指标12个，指标量化率100%。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数量指标：保障车辆数（辆），年初目标值大于等于9辆，保障干部人数（人），年初目标值大于等于132人；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质量指标：资金使用合规率（%），年初目标值等于100%，商品质量验收合格率（%），年初目标值等于100%；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时效指标：资金支付及时率（%），年初目标值等于100%，项目完成时间，年初目标值2022年12月；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成本指标：办公费成本控制数（万元），年初目标值小于等于15万元，伙食费成本控制数（万元），年初目标值小于等于15万元，其他支出成本控制数（万元），年初目标值小于等于20万元；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社会效益指标：提升干部工作积极性，年初目标值有效提升，保障乡镇工作正常开展，年初目标值有效保障；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2个二级指标；过程下设资金管理和组织实施2个二级指标。个性指标下设产出、效益和满意度2个一级指标，其中产出下设产出数量、产出质量、产出时效、产出成本3个二级指标，效益下设项目效益2个二级指标，满意度下设项目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刘琳任评价组组长，绩效评价工作职责为负责全盘工作。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徐爱娣任评价组副组长，绩效评价工作职责为为对项目实施情况进行实地调查。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疏勒县巴仁乡已完成工作经费项目支出，共执行预算50万元，有效保障了巴仁乡各项工作正常开展，提高了干部工作积极性。该项目最终评分100分，绩效评级为“优”。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项目决策类指标包括项目立项、绩效目标和资金投入三方面的内容，由4个三级指标构成，权重分为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（1）立项依据充分性：结合巴仁乡部门职责，并组织实施。围绕2022年度工作重点和工作计划制定经费预算，根据评分标准，该指标不扣分，得3分。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4个三级指标构成，权重分为20分，实际得分20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（4）管理制度健全性：制定了疏勒县巴仁乡人民政府相关管理办法，对财政专项资金进行严格管理，基本做到了专款专用，根据评分标准，该指标不扣分，得2分。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保障车辆数大于等于9辆，根据疏勒县巴仁乡公务用车登记表，与预期目标一致，根据评分标准，该指标不扣分，得5分。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保障干部人数大于等于132人，根据2022年度预算单位人员信息表，与预期目标一致，根据评分标准，该指标不扣分，得5分。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资金使用合规率等于100%，根据资金使用证明，与预期目标一致，根据评分标准，该指标不扣分，得5分。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购置商品质量验收合格率等于100%，根据商品质量验收证明，与预期目标一致，根据评分标准，该指标不扣分，得5分。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资金支付及时率等于100%，根据资金拨付证明，与预期目标一致，根据评分标准，该指标不扣分，得5分。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项目完成时间2022年12月，根据实际资金支出明细，与预期目标一致，根据评分标准，该指标不扣分，得5分。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办公费成本控制数小于等于15万元，根据《财务记账凭证及附件》，与预期目标一致，根据评分标准，该指标不扣分，得1.5分。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伙食费成本控制数小于等于15万元，根据《财务记账凭证及附件》，与预期目标一致，根据评分标准，该指标不扣分，得1.5分。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其他支出成本控制数小于等于20万元，根据《财务记账凭证及附件》，与预期目标一致，根据评分标准，该指标不扣分，得2.5分。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有效提升干部工作积极性，根据《巴仁乡工作经费满意度问卷》，与预期指标一致，根据评分标准，该指标不扣分，得5分。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有效保障乡镇工作正常开展，根据《巴仁乡工作经费满意度问卷》，与预期指标一致，根据评分标准，该指标不扣分，得5分。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受益干部满意度大于等于95%，根据《巴仁乡工作经费满意度问卷》，与预期目标一致，根据评分标准，该指标不扣分,得10分。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疏勒县巴仁乡工作经费项目预算50万元，到位50万元，实际支出50万元，预算执行率为100%，项目绩效指标总体完成率为100%，偏差率为0%。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于该项经费的使用，我镇倡导勤俭节约的原则，为规范财务管理，严格制定了财务支出审批流程，按照1000元以下支出由分管财务的领导签支；1000元至10000元的支出由镇财经领导小组会议研究同意后支出；10000元以上的支出及特别重大的事项，需经镇财经领导小组讨论决定后，由镇党委会议研究决定后支出，确保资金合理合规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二是采购类走正常的采购程序，财务人员办理采购手续，做到应采尽采，尽可能达到节支经费的目的。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三是乡镇政府资金紧缺，办公经费不足，无论是财政资金，还是专项资金都用于解燃眉之急；财务人员业务水平有待提升；镇工作运转经费支出情况公开公示不够及时。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1、建立健全资金管理制度，加强对财政资金使用的监管力度。加强对镇级各部门办公资金使用的监管。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2、首先加强预算指标管理，强调各部门安排的支出要在年初下达的预算指标范围内安排本年度支出，对未在指标范围内的支出不予拨付。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3、对财务人员应加强财务专业知识的培训，保证财务人员的专业技能水平。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4、建立收支台账，并对镇工作运转经费支出情况定期进行公开公示，做到每一项支出受人民监督。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E9B169-239F-4C5A-8DCA-CCDA7FDEAD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25131FB-75A6-4124-8ED3-333324450C68}"/>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91EE113D-6418-4F6E-B413-6359114ED9C7}"/>
  </w:font>
  <w:font w:name="楷体">
    <w:panose1 w:val="02010609060101010101"/>
    <w:charset w:val="86"/>
    <w:family w:val="modern"/>
    <w:pitch w:val="default"/>
    <w:sig w:usb0="800002BF" w:usb1="38CF7CFA" w:usb2="00000016" w:usb3="00000000" w:csb0="00040001" w:csb1="00000000"/>
    <w:embedRegular r:id="rId4" w:fontKey="{76F99047-5D96-4FF6-B99C-CBC4751FE0E9}"/>
  </w:font>
  <w:font w:name="方正仿宋_GBK">
    <w:panose1 w:val="02000000000000000000"/>
    <w:charset w:val="86"/>
    <w:family w:val="auto"/>
    <w:pitch w:val="default"/>
    <w:sig w:usb0="A00002BF" w:usb1="38CF7CFA" w:usb2="00082016" w:usb3="00000000" w:csb0="00040001" w:csb1="00000000"/>
    <w:embedRegular r:id="rId5" w:fontKey="{153E598F-E259-482C-BEA9-225AD2A66FFA}"/>
  </w:font>
  <w:font w:name="仿宋">
    <w:panose1 w:val="02010609060101010101"/>
    <w:charset w:val="86"/>
    <w:family w:val="modern"/>
    <w:pitch w:val="default"/>
    <w:sig w:usb0="800002BF" w:usb1="38CF7CFA" w:usb2="00000016" w:usb3="00000000" w:csb0="00040001" w:csb1="00000000"/>
    <w:embedRegular r:id="rId6" w:fontKey="{9CCD2015-4028-44C8-BAB1-70AA8B95425B}"/>
  </w:font>
  <w:font w:name="方正楷体_GBK">
    <w:altName w:val="微软雅黑"/>
    <w:panose1 w:val="00000000000000000000"/>
    <w:charset w:val="86"/>
    <w:family w:val="auto"/>
    <w:pitch w:val="default"/>
    <w:sig w:usb0="00000000" w:usb1="00000000" w:usb2="00000000" w:usb3="00000000" w:csb0="00040000" w:csb1="00000000"/>
    <w:embedRegular r:id="rId7" w:fontKey="{080DB4F1-1D51-4351-B352-EF30D014A5D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C060A5C"/>
    <w:rsid w:val="2AE11386"/>
    <w:rsid w:val="2B312ABE"/>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619229B417A74442AA675D0202350DF8_12</vt:lpwstr>
  </property>
</Properties>
</file>