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牙甫泉镇工作经费项目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疏勒县牙甫泉镇人民政府(本级)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疏勒县牙甫泉镇人民政府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田廷璀</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牙甫泉镇工作经费项目实施前期、过程及效果，评价财政预算资金使用的效率及效益。通过该项目的实施，有效提高了辖区社会综合治理能力，长期维护了社会稳定和乡镇干部人员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疏勒县牙甫泉镇人民政府为全额行政单位，纳入2022年部门决算编制范围的有5个办公室：党政办公室、党建办公室、经济发展办公室、社会事务办公室、综合执法办公室。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编制数104人，其中：行政人员编制59人、行政工勤3人、事业编制42人。实有在职人数127人，其中：行政在职96人、事业在职31人。离退休人员17人，遗属人员11人，县自聘人员3人。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本项目计划安排工作经费29.15万元，保障机关办公、伙食费、取暖、维修及其他方面的运转，有力保障本年度各项工作的正常开展，有效提高政府公共服务能力，持续创建和谐乡镇，不断提高干部满意度。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勒财预字【2022】6号共安排下达资金50万元，为一般公共预算资金，年中调减20.85万元，最终确定项目资金总数为29.15万元。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截至2022年12月31日，实际支出29.15万元，预算执行率100%。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本项目计划安排工作经费29.15万元，保障机关办公、伙食费、取暖、维修及其他方面的运转，有力保障本年度各项工作的正常开展，有效提高政府公共服务能力，持续创建和谐乡镇，不断提高干部满意度。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实施保障了130人的生活及办公所需，维持了机关正常运转及其他支出。其中，办公费2.89万元、伙食费12.67万元、劳务费8.84万元、维修费2.45万元、小麦补贴支出1.3万元，其他支出1万元，项目已验收，质量验收合格率达到100%。通过实施本项目有效提高了辖区社会综合治理能力，长期维护了社会稳定和乡镇干部人员稳定，充分调动工作人员的积极性，营造和谐、舒适的工作生活环境，确保干部群众安心工作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如：本项目设置一级指标3个，二级指标6个，三级指标12个，指标量化率100%。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数量指标：保障干部人数（人），年初目标值130人；保障行政用车车辆数（辆），年初目标值11辆；保障单位数量（个），年初目标值1个；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质量指标：资金使用合规率（%），年初目标值100%，商品质量验收合格率（%），年初目标值100%；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时效指标：资金支付及时率（%），年初目标值100%，项目完成时间，年初目标值2022年12月；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成本指标：其他运转支出成本（万元），年初目标值27.76万元，保障“三公经费”成本控制数（万元），年初目标值1.39万元；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社会效益指标：提升干部工作积极性，年初目标值有效提升，保障乡镇工作正常开展，年初目标值有效保障；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满意度指标：乡镇受益干部满意度（%），年初目标值95%。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效益和满意度3个一级指标，其中产出下设产出数量、产出质量、产出时效、产出成本4个二级指标，效益下设项目效益1个二级指标，满意度下设项目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刘琳任评价组组长，绩效评价工作职责为负责全盘工作。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徐爱娣任评价组副组长，绩效评价工作职责为为对项目实施情况进行实地调查。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疏勒县牙甫泉镇已完成工作经费项目支出，共执行预算29.15万元，有效保障了牙甫泉镇各项工作正常开展，提高了干部工作积极性。该项目最终评分100分，绩效评级为“优”。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部门决算向本级财政部门报送绩效自评结果。我单位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（1）立项依据充分性：结合牙甫泉镇部门职责，并组织实施。围绕2022年度工作重点和工作计划制定经费预算，根据评分标准，该指标不扣分，得3分。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（2）立项程序规范性：根据决策依据编制工作计划和经费预算，经过与财务分管领导进行沟通、筛选确定经费预算计划，上党委会研究确定最终预算方案，根据评分标准，该指标不扣分，得2分。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项目产出类指标包括产出数量、产出质量、产出时效、产出成本四方面的内容，由12个三级指标构成，权重分为40分，实际得分40分，得分率为100%。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保障干部人数130人，根据2022年度预算单位人员信息表，与预期目标一致，根据评分标准，该指标不扣分，得3分。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保障行政用车车辆数11辆，根据疏勒县牙甫泉镇公务用车登记表，与预期目标一致，根据评分标准，该指标不扣分，得3分。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保障单位数1个，根据2022年度预算单位信息表，与预期目标一致，根据评分标准，该指标不扣分，得4分。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资金使用合规率100%，根据资金使用证明，与预期目标一致，根据评分标准，该指标不扣分，得5分。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商品质量验收合格率100%，根据商品质量验收证明，与预期目标一致，根据评分标准，该指标不扣分，得5分。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资金支付及时率100%，根据资金拨付证明，与预期目标一致，根据评分标准，该指标不扣分，得5分。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项目完成时间2022年12月，根据实际资金支出明细，与预期目标一致，根据评分标准，该指标不扣分，得5分。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其他运转支出成本27.76万元，根据《财务记账凭证及附件》，与预期目标一致，根据评分标准，该指标不扣分，得5分。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保障“三公经费”成本控制数1.39万元，根据《财务记账凭证及附件》，与预期目标一致，根据评分标准，该指标不扣分，得5分。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有效提升干部工作积极性，根据《牙甫泉镇工作经费满意度问卷》，与预期指标一致，根据评分标准，该指标不扣分，得5分。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有效保障乡镇工作正常开展，根据《牙甫泉镇工作经费满意度问卷》，与预期指标一致，根据评分标准，该指标不扣分，得5分。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受益干部满意度95%，根据《牙甫泉镇工作经费满意度问卷》，与预期目标一致，根据评分标准，该指标不扣分,得10分。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疏勒县牙甫泉镇工作经费项目预算29.15万元，到位29.15万元，实际支出29.15万元，预算执行率为100%，项目绩效指标总体完成率为100%，偏差率为0%。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对于该项经费的使用，我镇倡导勤俭节约的原则，为规范财务管理，严格制定了财务支出审批流程，按照1000元以下支出由分管财务的领导签支；1000元至10000元的支出由镇财经领导小组会议研究同意后支出；10000元以上的支出及特别重大的事项，需经镇财经领导小组讨论决定后，由镇党委会议研究决定后支出，确保资金合理合规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二是采购类走正常的采购程序，财务人员办理采购手续，做到应采尽采，尽可能达到节支经费的目的。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三是乡镇政府资金紧缺，办公经费不足，无论是财政资金，还是专项资金都用于解燃眉之急；财务人员业务水平有待提升；镇工作运转经费支出情况公开公示不够及时。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1、建立健全资金管理制度，加强对财政资金使用的监管力度。加强对镇级各部门办公资金使用的监管。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2、首先加强预算指标管理，强调各部门安排的支出要在年初下达的预算指标范围内安排本年度支出，对未在指标范围内的支出不予拨付。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3、对财务人员应加强财务专业知识的培训，保证财务人员的专业技能水平。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4、建立收支台账，并对镇工作运转经费支出情况定期进行公开公示，做到每一项支出受人民监督。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3C515A-7B1A-44C6-BA68-E627EAE7D7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4EA4A08-52F5-4C55-8B62-EB11B35846B2}"/>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03541F6C-192A-48AF-A1F9-7EB1B73284D3}"/>
  </w:font>
  <w:font w:name="楷体">
    <w:panose1 w:val="02010609060101010101"/>
    <w:charset w:val="86"/>
    <w:family w:val="modern"/>
    <w:pitch w:val="default"/>
    <w:sig w:usb0="800002BF" w:usb1="38CF7CFA" w:usb2="00000016" w:usb3="00000000" w:csb0="00040001" w:csb1="00000000"/>
    <w:embedRegular r:id="rId4" w:fontKey="{EC145D9D-874B-4579-8316-25AB5A147F84}"/>
  </w:font>
  <w:font w:name="方正仿宋_GBK">
    <w:panose1 w:val="02000000000000000000"/>
    <w:charset w:val="86"/>
    <w:family w:val="auto"/>
    <w:pitch w:val="default"/>
    <w:sig w:usb0="A00002BF" w:usb1="38CF7CFA" w:usb2="00082016" w:usb3="00000000" w:csb0="00040001" w:csb1="00000000"/>
    <w:embedRegular r:id="rId5" w:fontKey="{7ED51D05-82F9-44EF-B150-742AE5C68F84}"/>
  </w:font>
  <w:font w:name="仿宋">
    <w:panose1 w:val="02010609060101010101"/>
    <w:charset w:val="86"/>
    <w:family w:val="modern"/>
    <w:pitch w:val="default"/>
    <w:sig w:usb0="800002BF" w:usb1="38CF7CFA" w:usb2="00000016" w:usb3="00000000" w:csb0="00040001" w:csb1="00000000"/>
    <w:embedRegular r:id="rId6" w:fontKey="{BAC243E2-A0C6-4DF7-B455-F14F34B965FE}"/>
  </w:font>
  <w:font w:name="方正楷体_GBK">
    <w:altName w:val="微软雅黑"/>
    <w:panose1 w:val="00000000000000000000"/>
    <w:charset w:val="86"/>
    <w:family w:val="auto"/>
    <w:pitch w:val="default"/>
    <w:sig w:usb0="00000000" w:usb1="00000000" w:usb2="00000000" w:usb3="00000000" w:csb0="00040000" w:csb1="00000000"/>
    <w:embedRegular r:id="rId7" w:fontKey="{9C9C90FD-4C34-45BA-9360-42AF924388A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95B4DA2"/>
    <w:rsid w:val="2AE11386"/>
    <w:rsid w:val="2D4C6AD2"/>
    <w:rsid w:val="2D5A6638"/>
    <w:rsid w:val="340D5924"/>
    <w:rsid w:val="395E05B5"/>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2023-11-03T09:26:48Z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A7C30396E23740019AC9207B1ED43128_12</vt:lpwstr>
  </property>
</Properties>
</file>