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疏勒镇各社区工作经费及服务群众经费项目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疏勒县疏勒镇人民政府(本级)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疏勒县疏勒镇人民政府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屈丽丽</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疏勒镇各社区工作经费及服务群众经费项目实施前期、过程及效果，评价财政预算资金使用的效率及效益。通过该项目的实施，增强基层政府提供基本公共服务能力，缩小城乡经济发展，有效解决部分居民的生活困难和困难诉求。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疏勒县疏勒镇人民政府为全额事业单位，纳入2022年部门决算编制范围的有五个办公室：党政办、党建办、社会事务办、经济发展办、综合执法办。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134人，其中：行政人员编制70人、工勤2人、参公0人、事业编制62人。实有在职人数254人，其中：行政在职94人、工勤1人、参公86人、事业在职73人。离退休人员28人，其中：行政退休人员26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经费类项目，资金主要用于保障疏勒镇21个社区日常工作的正常开展。2022年社区办公经费主要用于：社区水费、电费、暖气费及购置办公用品等，服务群众专项经费主要用于向孤寡老人、老党员、老军人、低收入家庭和因遭受意外、大病造成生活严重困难家庭提供的生活、就医、上学等慰问求助；对辖区居民点进行环境整治、治安防控，以及对相关公共设施的维护维修；通过资金的使用强化社区服务群众职能，构建服务群众第一平台，努力实现“三个坚决”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喀组电明字【2017】28号共安排下达资金315万元，为经费类资金，2022年该项目最终确定项目资金总数为164.86万元。截至2022年12月31日，该项目实际支出164.86万元，预算执行率100%。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镇各社区工作经费及服务群众经费项目，预计投入164.86万元。其中：社区办公经费不超过135.23万元，服务群众工作经费不超过29.62万元，计划保障21个社区基本的办公运转及群众工作，通过项目实施增强基层政府提供基本公共服务能力，缩小城乡经济发展，有效解决部分居民的生活困难和困难诉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本项目设置一级指标3个，二级指标6个，三级指标10个，指标量化率70%。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数量指标：保障社区数量，年初目标值等于21个；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时效指标：项目完成时间，年初目标值2022年12月；资金支付及时率，年初目标值等于100%；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成本指标：社区群众工作经费，年初目标值小于等于29.62万元；社区办公经费，年初目标值小于等于135.23万元；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社会效益指标：维护生活和谐稳定，年初目标值有效维护；提高工作效率，年初目标值有效提高；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满意度指标：受益辖区群众满意度，年初目标值大于等于98%；受益乡镇干部满意度，年初目标值大于等于98%。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翟玉亮任评价组组长，绩效评价工作职责为负责全盘工作。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屈丽丽任评价组副组长，绩效评价工作职责为为对项目实施情况进行实地调查。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刘璐璐任评价组成员，绩效评价工作职责为负责资料审核等工作。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疏勒县疏勒镇已完成各社区工作经费及服务群众经费项目支出，共执行预算164.86万元，有效保障了疏勒镇21 个社区各项工作正常开展，提高了干部工作积极性。该项目最终评分100分，绩效评级为“优”。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社区工作的职能，围绕社区年度工作重点和工作计划，根据喀组电明字〔2017〕28号《关于进一步规范社区设置和运行管理工作的通知》，制定经费预算，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（2）立项程序规范性：根据资金拨付的文件为决策依据编制工作计划和经费预算，上县财政经济委员会研究确定最终预算方案，根据评分标准，该指标不扣分，得3分。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勒财经委纪字〔2022〕1号《疏勒县2022年第一次财政经济委员会会议纪要》经费拨付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项目拨付金额与工作任务相匹配，根据评分标准，该指标不扣分，得5分。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（4）管理制度健全性：制定了社区经费使用相关管理办法，对财政专项资金进行严格管理，基本做到了专款专用，根据评分标准，该指标不扣分，得2分。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（5）制度执行有效性：由部门提出经费预算支出方案，财务对资金的使用合法合规性进行监督，年底对资金使用效果进行自评，根据评分标准，该指标不扣分，得3分。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保障社区数量等于21个，根据疏勒镇村（社区）花名册可知，与预期目标一致，根据评分标准，该指标不扣分，得10分。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资金使用合规率等于100%，根据资金使用证明，与预期目标一致，根据评分标准，该指标不扣分，得10分。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项目完成时间2022年12月，根据实际资金支出明细，与预期目标指标一致，根据评分标准，该指标不扣分，得5分。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资金支付及时率等于100%，根据资金拨付证明，与预期目标一致，根据评分标准，该指标不扣分，得5分。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社区群众工作经费大于等于29.62万元，根据2022年疏勒镇群众工作经费使用情况表可知，项目经费都能控制绩效目标范围内，根据评分标准，该指标不扣分，得3分。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社区办公经费大于等于135.23万元，根据2022年疏勒镇社区办公经费使用情况表可知，项目经费都能控制绩效目标范围内，根据评分标准，该指标不扣分，得7分。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有效维护生活和谐稳定，根据《疏勒镇各社区工作经费及服务群众经费项目满意度问卷》可知，与预期指标一致，根据评分标准，该指标不扣分，得5分。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有效提高工作效率，根据《疏勒镇各社区工作经费及服务群众经费项目满意度问卷》可知，与预期指标一致，根据评分标准，该指标不扣分，得5分。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对于“满意度指标：受益辖区群众满意度100%，根据《疏勒镇各社区工作经费及服务群众经费项目满意度问卷》可知，与预期目标一致，根据评分标准，该指标不扣分,得5分。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对于“满意度指标：受益乡镇干部满意度100%，根据《疏勒镇各社区工作经费及服务群众经费项目满意度问卷》可知，与预期目标一致，根据评分标准，该指标不扣分,得5分。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疏勒镇各社区工作经费及服务群众经费项目预算164.86万元，到位164.86万元，实际支出164.86万元，预算执行率为100%，项目绩效指标总体完成率为100%，无偏差。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一是本项目能够严格按照《疏勒镇各社区工作经费及服务群众经费项目实施方案》执行，项目执行情况较好。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对于社区经费的使用，我镇倡导勤俭节约的原则，规范财务管理，严格制定财务支出审批流程，按照2000元以下支出由分管财务的领导签支；2000元至10000元的支出由镇财经领导小组会议研究同意后支出；10000元以上的支出及特别重大的事项，需经镇财经领导小组讨论决定后，由镇党委会议研究决定后支出，确保资金合理合规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三是采购类走正常的采购程序，财务人员办理采购手续，做到应采尽采，尽可能达到节支经费的目的。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1、社区未能在年初对资金做好规划，有的费用未做预算，导致有些需要开支的经费未实施，对社区居民生活造成一定影响。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2、财务人员业务水平有待提升，对社区经费支出情况公开公示不够及时，对一些核心指标选用共性指标体系中的指标较少，导致指标设置的不够规范，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3、对各项指标和指标值要进一步优化、细化、完善。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1、建立健全资金管理制度，加强对财政资金使用的监管力度。加强对镇级各部门办公资金使用的监管。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2、首先加强预算指标管理，强调各部门安排的支出要在年初下达的预算指标范围内安排本年度支出，合理规划好资金使用。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3、对财务人员应加强财务专业知识的培训，保证财务人员的专业技能水平。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4、资金下达时做好支出计划，当月发生的经费支出当月应进行报销，避免年底突击花钱和资金浪费。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5、财务室就社区报销的经费完成实际支付，及时告知社区，社区按照经费分类自行登记经费使用台账，每月月底与财务室进行对账。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10745C-7557-4366-9B63-D280E15A92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FE355E-2933-4F43-96D7-3819E1FA9278}"/>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FAFD8DD7-5D22-43D9-9A63-9A9FAD69EA76}"/>
  </w:font>
  <w:font w:name="楷体">
    <w:panose1 w:val="02010609060101010101"/>
    <w:charset w:val="86"/>
    <w:family w:val="modern"/>
    <w:pitch w:val="default"/>
    <w:sig w:usb0="800002BF" w:usb1="38CF7CFA" w:usb2="00000016" w:usb3="00000000" w:csb0="00040001" w:csb1="00000000"/>
    <w:embedRegular r:id="rId4" w:fontKey="{08EF1733-016D-4BD5-8708-DC4F65A1581E}"/>
  </w:font>
  <w:font w:name="方正仿宋_GBK">
    <w:panose1 w:val="02000000000000000000"/>
    <w:charset w:val="86"/>
    <w:family w:val="auto"/>
    <w:pitch w:val="default"/>
    <w:sig w:usb0="A00002BF" w:usb1="38CF7CFA" w:usb2="00082016" w:usb3="00000000" w:csb0="00040001" w:csb1="00000000"/>
    <w:embedRegular r:id="rId5" w:fontKey="{DC5E0D08-F354-4943-BE13-B61F97E5AA83}"/>
  </w:font>
  <w:font w:name="仿宋">
    <w:panose1 w:val="02010609060101010101"/>
    <w:charset w:val="86"/>
    <w:family w:val="modern"/>
    <w:pitch w:val="default"/>
    <w:sig w:usb0="800002BF" w:usb1="38CF7CFA" w:usb2="00000016" w:usb3="00000000" w:csb0="00040001" w:csb1="00000000"/>
    <w:embedRegular r:id="rId6" w:fontKey="{524DAFD4-5BE9-42A5-9C98-3CA79D82A37F}"/>
  </w:font>
  <w:font w:name="方正楷体_GBK">
    <w:altName w:val="微软雅黑"/>
    <w:panose1 w:val="00000000000000000000"/>
    <w:charset w:val="86"/>
    <w:family w:val="auto"/>
    <w:pitch w:val="default"/>
    <w:sig w:usb0="00000000" w:usb1="00000000" w:usb2="00000000" w:usb3="00000000" w:csb0="00040000" w:csb1="00000000"/>
    <w:embedRegular r:id="rId7" w:fontKey="{34513717-0125-4B17-97DD-C2143A8363B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843370F"/>
    <w:rsid w:val="6A4E7E2C"/>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FB18D323C6744F49BAFF318B7A669E5F_12</vt:lpwstr>
  </property>
</Properties>
</file>