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57884">
      <w:pPr>
        <w:spacing w:line="570" w:lineRule="exact"/>
        <w:jc w:val="center"/>
        <w:rPr>
          <w:rFonts w:ascii="华文中宋" w:hAnsi="华文中宋" w:eastAsia="华文中宋" w:cs="宋体"/>
          <w:b/>
          <w:kern w:val="0"/>
          <w:sz w:val="52"/>
          <w:szCs w:val="52"/>
        </w:rPr>
      </w:pPr>
    </w:p>
    <w:p w14:paraId="1BC8979B">
      <w:pPr>
        <w:spacing w:line="570" w:lineRule="exact"/>
        <w:jc w:val="center"/>
        <w:rPr>
          <w:rFonts w:ascii="华文中宋" w:hAnsi="华文中宋" w:eastAsia="华文中宋" w:cs="宋体"/>
          <w:b/>
          <w:kern w:val="0"/>
          <w:sz w:val="52"/>
          <w:szCs w:val="52"/>
        </w:rPr>
      </w:pPr>
    </w:p>
    <w:p w14:paraId="305A9490">
      <w:pPr>
        <w:spacing w:line="570" w:lineRule="exact"/>
        <w:jc w:val="center"/>
        <w:rPr>
          <w:rFonts w:ascii="华文中宋" w:hAnsi="华文中宋" w:eastAsia="华文中宋" w:cs="宋体"/>
          <w:b/>
          <w:kern w:val="0"/>
          <w:sz w:val="52"/>
          <w:szCs w:val="52"/>
        </w:rPr>
      </w:pPr>
    </w:p>
    <w:p w14:paraId="48CF466B">
      <w:pPr>
        <w:spacing w:line="570" w:lineRule="exact"/>
        <w:jc w:val="center"/>
        <w:rPr>
          <w:rFonts w:ascii="华文中宋" w:hAnsi="华文中宋" w:eastAsia="华文中宋" w:cs="宋体"/>
          <w:b/>
          <w:kern w:val="0"/>
          <w:sz w:val="52"/>
          <w:szCs w:val="52"/>
        </w:rPr>
      </w:pPr>
    </w:p>
    <w:p w14:paraId="49C6191A">
      <w:pPr>
        <w:spacing w:line="570" w:lineRule="exact"/>
        <w:jc w:val="both"/>
        <w:rPr>
          <w:rFonts w:ascii="华文中宋" w:hAnsi="华文中宋" w:eastAsia="华文中宋" w:cs="宋体"/>
          <w:b/>
          <w:kern w:val="0"/>
          <w:sz w:val="52"/>
          <w:szCs w:val="52"/>
        </w:rPr>
      </w:pPr>
    </w:p>
    <w:p w14:paraId="63D304D4">
      <w:pPr>
        <w:spacing w:line="570" w:lineRule="exact"/>
        <w:jc w:val="center"/>
        <w:rPr>
          <w:rFonts w:ascii="华文中宋" w:hAnsi="华文中宋" w:eastAsia="华文中宋" w:cs="宋体"/>
          <w:b/>
          <w:kern w:val="0"/>
          <w:sz w:val="52"/>
          <w:szCs w:val="52"/>
        </w:rPr>
      </w:pPr>
    </w:p>
    <w:p w14:paraId="7BEDF173">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8E4530D">
      <w:pPr>
        <w:spacing w:line="570" w:lineRule="exact"/>
        <w:jc w:val="center"/>
        <w:rPr>
          <w:rFonts w:ascii="华文中宋" w:hAnsi="华文中宋" w:eastAsia="华文中宋" w:cs="宋体"/>
          <w:b/>
          <w:kern w:val="0"/>
          <w:sz w:val="52"/>
          <w:szCs w:val="52"/>
        </w:rPr>
      </w:pPr>
    </w:p>
    <w:p w14:paraId="136360E8">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80DF7D8">
      <w:pPr>
        <w:spacing w:line="570" w:lineRule="exact"/>
        <w:jc w:val="center"/>
        <w:rPr>
          <w:rFonts w:hAnsi="宋体" w:eastAsia="仿宋_GB2312" w:cs="宋体"/>
          <w:kern w:val="0"/>
          <w:sz w:val="30"/>
          <w:szCs w:val="30"/>
        </w:rPr>
      </w:pPr>
    </w:p>
    <w:p w14:paraId="7AF313E8">
      <w:pPr>
        <w:spacing w:line="570" w:lineRule="exact"/>
        <w:jc w:val="center"/>
        <w:rPr>
          <w:rFonts w:hAnsi="宋体" w:eastAsia="仿宋_GB2312" w:cs="宋体"/>
          <w:kern w:val="0"/>
          <w:sz w:val="30"/>
          <w:szCs w:val="30"/>
        </w:rPr>
      </w:pPr>
    </w:p>
    <w:p w14:paraId="1121F34B">
      <w:pPr>
        <w:spacing w:line="570" w:lineRule="exact"/>
        <w:jc w:val="center"/>
        <w:rPr>
          <w:rFonts w:hAnsi="宋体" w:eastAsia="仿宋_GB2312" w:cs="宋体"/>
          <w:kern w:val="0"/>
          <w:sz w:val="30"/>
          <w:szCs w:val="30"/>
        </w:rPr>
      </w:pPr>
    </w:p>
    <w:p w14:paraId="720823D8">
      <w:pPr>
        <w:spacing w:line="570" w:lineRule="exact"/>
        <w:jc w:val="center"/>
        <w:rPr>
          <w:rFonts w:hAnsi="宋体" w:eastAsia="仿宋_GB2312" w:cs="宋体"/>
          <w:kern w:val="0"/>
          <w:sz w:val="30"/>
          <w:szCs w:val="30"/>
        </w:rPr>
      </w:pPr>
    </w:p>
    <w:p w14:paraId="48B0B55E">
      <w:pPr>
        <w:spacing w:line="570" w:lineRule="exact"/>
        <w:jc w:val="center"/>
        <w:rPr>
          <w:rFonts w:hAnsi="宋体" w:eastAsia="仿宋_GB2312" w:cs="宋体"/>
          <w:kern w:val="0"/>
          <w:sz w:val="30"/>
          <w:szCs w:val="30"/>
        </w:rPr>
      </w:pPr>
    </w:p>
    <w:p w14:paraId="772AE024">
      <w:pPr>
        <w:spacing w:line="570" w:lineRule="exact"/>
        <w:jc w:val="center"/>
        <w:rPr>
          <w:rFonts w:hAnsi="宋体" w:eastAsia="仿宋_GB2312" w:cs="宋体"/>
          <w:kern w:val="0"/>
          <w:sz w:val="30"/>
          <w:szCs w:val="30"/>
        </w:rPr>
      </w:pPr>
    </w:p>
    <w:p w14:paraId="00B45EB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2023年耕地地力保护补贴资金项目</w:t>
      </w:r>
    </w:p>
    <w:p w14:paraId="30B6F051">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疏勒县农业农村局(本级)</w:t>
      </w:r>
    </w:p>
    <w:p w14:paraId="2BBD0C46">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疏勒县农业农村局(本级）</w:t>
      </w:r>
    </w:p>
    <w:p w14:paraId="089778DA">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李翠梅</w:t>
      </w:r>
    </w:p>
    <w:p w14:paraId="34308DE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2024年04月24日</w:t>
      </w:r>
    </w:p>
    <w:p w14:paraId="4E88EFB7">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561C97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F589935">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F731F2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耕地地力保护补贴项目实施过程及效果，评价财政预算资金使用的效率及效益。通过该项目的实施，对促进当地农民增加收入作用突出，成为扶贫攻坚的重要抓手和平台，同时对当地生态环境的改善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疏勒县农业农村局为行政单位，纳入2022年部门决算编制范围的有10个办公室：农业农村局、疏勒县农业综合行政执法大队、疏勒县种业发展中心、疏勒县瓜（菜）果产业发展中心、疏勒县农业综合开发服务中心、疏勒县农业农村机械化发展中心、疏勒县种苗培育服务中心、疏勒县农产品质量安全检验检测中心、疏勒县农村能源服务站、人工影响天气领导小组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70人，其中：行政人员编制10人、工勤2人、参公43人、事业编制15人。实有在职人数90人，其中：行政在职15人、工勤1人、参公32人、事业在职35人，县自聘4人，单位自聘3人。离退休人员84人，其中：行政退休人员42人、事业退休42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农业生产的发展。通过落实耕地地力保护补贴政策，将保障粮食安全继续作为调整完善耕地地力保护补贴政策的首要任务，支持耕地地力保护和粮食适度规模经营，提高农民种粮积极性，促进粮食增产、农业增效和农民增收，确保粮食安全和社会稳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利用中央财政和自治区财政资金为全县15个乡镇和2个国有农场种植的小麦、玉米种植户发放耕地地力保护补贴及实际种粮一次性补贴，提高粮食种植收益，鼓励生产经营者多种粮，以保障粮食安全等重要农产品有效供给和促进农民持续增收为重点，完善耕地地力保护补贴政策体系，引导农民自觉提升耕地地力，推动粮食生产能力稳步提升，促进种植业结构合理调整，确保农业经济健康发展和民生持续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度下达疏勒县耕地地力保护补贴项目实际到位资金9035.714万元，其中：耕地地力保护补贴8881.3万元，种粮一次性补贴资金154.414万元为中央财政专项资金，自治区财政资金415万元.上年结转资金6.28万元。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截止到2023年11月20日, 2023年度用于耕地地力保护补贴的资金9041.99万元、共计执行8961.28万元，执行率99.11%,具体如下：2023年实际用于耕地地力保护补贴资金8961.28万元，其中：冬小麦补贴面积40.991097万亩，每亩补贴213元，补贴资金8731.1037万元；春小麦补贴面积0.9158万亩，每亩补贴230元，补贴资金210.634万元；截止2023年11月初我县实际兑付2023年补贴资金8961.28万元，完成率99.11%。</w:t>
      </w:r>
    </w:p>
    <w:p w14:paraId="28CA2C7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7248D61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落实耕地地力保护补贴政策，使4.8万余农户普遍受益，将保障粮食安全继续作为调整完善耕地地力保护补贴政策的首要任务，支持耕地地力保护和粮食适度规模经营，提高了农民种粮积极性，促进了粮食增产、农业增效和农民增收，确保了粮食安全和社会稳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前期准备阶段：按照预算指标，及时制定标准，统计需要发放补贴的人员清单，列好计划。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实施阶段：根据统计出的人员补贴清单，由财务人员按月按规定支付相关费用，确保补助资金发放无误。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项目实施效果评估阶段：由分管财务领导牵头组织干部和专业人员对该项目的产出指标、效益指标、满意度指标等按照时间节点开展绩效评估工作。</w:t>
      </w:r>
    </w:p>
    <w:p w14:paraId="66A2449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BC6772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29303C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970FD5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4EFC65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0CDCC2A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FDBB3D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赵守康任评价组组长，绩效评价工作职责为负责全盘工作。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张民梁、许明海任评价组副组长，绩效评价工作职责为为对项目实施情况进行实地调查。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刘世兰、孜巴切克热、张桂生、杨新霞、麦麦提江·吐拉甫、苟丽娜、谷桂红任评价组成员，绩效评价工作职责为负责资料审核等工作。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14:paraId="10214E5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5CD966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本项目遵循财政部《项目支出绩效评价管理办法》（财预〔2020〕10号）和自治区财政厅《自治区财政支出绩效评价管理暂行办法》（新财预〔2018〕189号）等相关政策文件与规定，旨在评价耕地地力保护补贴项目实施过程及效果，评价财政预算资金使用的效率及效益。通过该项目的实施，对促进当地农民增加收入作用突出，成为扶贫攻坚的重要抓手和平台，同时对当地生态环境的改善作用。结合我县实际制定实施。立项，项目实施符合立项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度下达疏勒县耕地地力保护补贴项目实际到位资金9035.714万元，其中：耕地地力保护补贴8881.3万元，种粮一次性补贴资金154.414万元为中央财政专项资金，自治区财政资金415万元.上年结转资金6.28万元。到位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该项目主要用于为各个符合资格的农户发放耕地地力补贴：通过实施此项目，保障了9158.16亩的春小麦补贴面积；432905.08亩的冬小麦补贴面积，11491.50亩的22年冬小麦补贴面积，补贴资金兑现率、资金使用合规率完成率均达到100%，公示时间为5田，补贴发放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项目效益：通过本项目的实施，提高农民种粮积极性、秸秆还田减少农药化肥用量，提高农户种植积极性。</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耕地地力保护补贴项目进行客观评价，最终评分结果：评价总分100分，绩效等级为“优”。</w:t>
      </w:r>
    </w:p>
    <w:p w14:paraId="53A9A60D">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A55313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2D2162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（1）立项依据充分性：结合农业农村局职责，并组织实施。围绕农业农村局年度工作重点和工作计划制定经费预算，根据评分标准，该指标不扣分，得3分。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（2）立项程序规范性：根据决策依据编制工作计划和经费预算，经过与农业农村局分管领导进行沟通、筛选确定经费预算计划，上党委会研究确定最终预算方案，根据评分标准，该指标不扣分，得2分。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17B9530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5FE551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（1）资金到位率：财政资金足额拨付到位，能够及时足额按照约定将专项资金拨付给单位，根据评分标准，该指标不扣分，得3分。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（4）管理制度健全性：制定了农业农村局相关管理办法，对财政专项资金进行严格管理，基本做到了专款专用，根据评分标准，该指标不扣分，得2分。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727842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F7237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冬小麦播种面积预期值为大于等于432905.08亩，实际完成值为432905.08亩，完成率为100%。根据种植面积台账与预期目标一致，根据评分标准，该指标不扣分，得4分。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春小麦播种面积预期值为大于等于9158.16亩，实际完成值为9158.16亩，完成率为100%。根据种植面积台账与预期目标一致，根据评分标准，该指标不扣分，得3分。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2022年冬小麦播种面积预期值为大于等于11491.50亩，实际完成值为11491.50亩，完成率为100%。根据种植面积台账得出，实际完成值为11491.50万亩，达到预期目标，根据评分标准，该指标不扣分，得3分。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补贴资金兑现率预期值为等于100%，实际完成值为100%，完成率为100%。根据种植粮食生产及问卷调查反馈与预期目标一致，根据评分标准，该指标不扣分，得5分。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资金使用合规率预期值为等于100%，实际完成值为100%，完成率为100%。根据资金支付单与预期目标一致，根据评分标准，该指标不扣分，得5分。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公示时间预期值为5天，实际完成值为5天，完成率为100%。根据公示情况，与预期目标指标一致，根据评分标准，该指标不扣分，得5分。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补贴发放及时率预期值为等于100%，实际完成值为100%，完成率为100%。根据支付清单资料，与预期目标一致，根据评分标准，该指标不扣分，得5分。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项目成本类指标包括经济成本、社会成本、生态成本三方面的内容，由3个三级指标构成，权重分为20分，实际得分20分，得分率为100%。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冬小麦补贴标准等于213元/亩，项目经费都能控制绩效目标范围内，根据评分标准，该指标不扣分，得8分。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春小麦补贴标准等于230元/亩，项目经费都能控制绩效目标范围内，根据评分标准，该指标不扣分，得8分。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2023年冬小麦补贴标准等于17元/亩，目经费都能控制绩效目标范围内，根据评分标准，该指标不扣分，得4分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049CC48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EF631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提高农民种粮积极性预期指标为有效提高，实际指标值为有效提高，完成率为100%。根据问卷调查表与预期指标一致，根据评分标准，该指标不扣分，得5分。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采取秸秆还田，减少农药化肥用量预期指标为有效减少，实际指标值为有效减少，完成率为100%。根据问卷调查表与预期指标一致，根据评分标准，该指标不扣分，得5分。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对于“满意度指标”：受益农户满意度大于等于95%，根据问卷调查表与预期目标一致，根据评分标准，该指标不扣分，得10分。</w:t>
      </w:r>
    </w:p>
    <w:p w14:paraId="1019745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5B8B4B1">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耕地地力保护补贴项目预算9041.99万元，到位9041.99万元，实际支出8961.28万元，预算执行率为99.11%，项目绩效指标总体完成率为100%，偏差率为0.05%，偏差原因为：因特殊原因，最后一笔资金未能及时支付。改进措施：后续将加快资金支付进度，保障项目能够按时完成。</w:t>
      </w:r>
    </w:p>
    <w:p w14:paraId="64B8EC7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7ED6A97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一是提高政治站位，加强组织领导。为确保项目的各项工作落到实处，县委、县政府高度重视，多次在农业生产推进会上着重强调了补贴政策的落实，各项目乡镇、国有农场在农业农村局专门召开动员会、座谈会对此项工作再落实，会议由种植业办负责人及科室负责人及17个乡镇、场负责人参加，广泛征求和听取服务对象的意见和建议，共对42个村进行检查核实，组织开展走访群众560 人，召开座谈会3次，座谈会由乡镇干部、村干部、农户及农业农村局领导及干部参加。明确工作任务和责任，专人负责，层层抓好项目各项工作的落实，确保耕地地力保护补贴政策有序开展。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政策宣传，切实提高群众知晓率。县委、县人民政府非常重视耕地地力政策的宣传力度，专门制作了各类惠农政策宣传汇编100余份，以及印发5000份《致广大农户的一封信》下发到各乡镇，年底通过开展冬季大培训对各村相关惠农政策进行大宣讲，积极组织县、乡（镇）、村以及惠民工作队、包户干部等深入农户，对今年的农业补贴类正播农作物种植情况进行逐户摸底、登记造册，并向农户广泛宣传国务院关于稳固粮食生产、使广大农民对这项惠农政策做到人人皆知，家喻户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抓好项目申报，落实补贴任务分解。各乡（镇）、国有农场根据统计核实上报的农业补贴类正播农作物种植面积，按补贴面积、补贴资金分解到村。再由村委会将乡（镇）分解到村的农作物种植面积、补贴资金分解落实到具体农户，并登记造册，填写明细表和汇总表，以村为单位对每一个农户的农作物实际种植面积和应享受的补贴金额进行7天以上的张榜公示，接受群众监督。公示无异议后，由所有种植农户在明细表上签字确认，由村支部书记签字加盖公章上报乡（镇）政府审核，乡（镇）政府审核汇总确认后，由主要领导签字加盖政府公章上报县农业农村局审核，再次公示无异议后，作为耕地地力保护补贴资金发放依据留存。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做好项目核查监督检查。各乡镇组织农办、农经、财政等相关科室成立核查小组，对补贴作物种植面积进行实地丈量核查。同时，县农业、农经、财政等相关部门抽调相关工作人员，成立县级督查组，多次对各乡（镇）、国有农场耕地地力政策落实情况进行督查。主要督查补贴面积核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五是落实代发银行发放项目资金工作。积极落实“一卡通”发放及银行卡发放制度，代发银行针对专项资金专门设立专项代发窗口，对每一项专项资金只要资金到位，第一时间做兑付业务，保证每项兑付资金在当日兑付到农民卡中，对农民负责，保证农民的利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是落实补贴政策公告制度。为了保证农民的切身利益，能够及时严格按照补贴要求进行事前公示和事后公示。由农民（种植户）据实向村委会申报符合条件的耕地补贴面积，村级全面核实，进行实名公示（公示内容主要包括申报品种、申报面积等，公示时间不得少于5个工作日），乡（镇）复核，县（市）农业农村部门核实认定。农业农村部门在耕地补贴面积核准后，再次由村委会进行公示（公示内容主要包括补贴面积、补贴金额等，公示时间不得少于5个工作日）。公示无异议后，由农业农村部门向财政部门提供补贴面积基础数据和补贴发放清册，并会同财政部门办理补贴兑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在实施2023年冬小麦补贴过程中，因2022年10月冬小麦开始种植中，通过核实补发提前发放补贴17元/亩，共1.15万亩，</w:t>
      </w:r>
    </w:p>
    <w:p w14:paraId="1B03C73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58A8C0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冬小麦补贴资金最好在次年根据核实后补贴面积发放，保证资金发放的准确率。避免再次出现此等情况。</w:t>
      </w:r>
    </w:p>
    <w:p w14:paraId="3553A8B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0943BF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314B59E">
        <w:pPr>
          <w:pStyle w:val="12"/>
          <w:jc w:val="center"/>
        </w:pPr>
        <w:r>
          <w:fldChar w:fldCharType="begin"/>
        </w:r>
        <w:r>
          <w:instrText xml:space="preserve">PAGE   \* MERGEFORMAT</w:instrText>
        </w:r>
        <w:r>
          <w:fldChar w:fldCharType="separate"/>
        </w:r>
        <w:r>
          <w:rPr>
            <w:lang w:val="zh-CN"/>
          </w:rPr>
          <w:t>1</w:t>
        </w:r>
        <w:r>
          <w:fldChar w:fldCharType="end"/>
        </w:r>
      </w:p>
    </w:sdtContent>
  </w:sdt>
  <w:p w14:paraId="0763B41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iZGUwNWM5NjQxODUyZjhjYWVlMWZjZWZmNTI5Mzg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28E54D4"/>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7658</Words>
  <Characters>8121</Characters>
  <Lines>5</Lines>
  <Paragraphs>1</Paragraphs>
  <TotalTime>1</TotalTime>
  <ScaleCrop>false</ScaleCrop>
  <LinksUpToDate>false</LinksUpToDate>
  <CharactersWithSpaces>8150</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2024-09-30T04:59:10Z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561AE174529B462F8AF87ECF935B1D2F_12</vt:lpwstr>
  </property>
</Properties>
</file>