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47D278">
      <w:r>
        <w:br w:type="page"/>
      </w:r>
    </w:p>
    <w:p w14:paraId="36CD1E3C">
      <w:pPr>
        <w:spacing w:line="640" w:lineRule="exact"/>
        <w:jc w:val="center"/>
        <w:outlineLvl w:val="1"/>
      </w:pPr>
      <w:r>
        <w:rPr>
          <w:rFonts w:ascii="黑体" w:hAnsi="黑体" w:eastAsia="黑体"/>
          <w:sz w:val="32"/>
        </w:rPr>
        <w:t>第一部分 单位概况</w:t>
      </w:r>
    </w:p>
    <w:p w14:paraId="6EDF8C57">
      <w:pPr>
        <w:spacing w:line="640" w:lineRule="exact"/>
        <w:ind w:firstLine="640"/>
        <w:jc w:val="both"/>
        <w:outlineLvl w:val="2"/>
      </w:pPr>
      <w:r>
        <w:rPr>
          <w:rFonts w:ascii="黑体" w:hAnsi="黑体" w:eastAsia="黑体"/>
          <w:sz w:val="32"/>
        </w:rPr>
        <w:t>一、主要职能</w:t>
      </w:r>
    </w:p>
    <w:p w14:paraId="38B374EB">
      <w:pPr>
        <w:spacing w:line="580" w:lineRule="exact"/>
        <w:ind w:firstLine="640"/>
        <w:jc w:val="both"/>
      </w:pPr>
      <w:r>
        <w:rPr>
          <w:rFonts w:ascii="仿宋_GB2312" w:hAnsi="仿宋_GB2312" w:eastAsia="仿宋_GB2312"/>
          <w:sz w:val="32"/>
        </w:rPr>
        <w:t>（1）院长室职责：依据“医疗机构管理条例”和党的方针政策全面领导医院的工作，加强管理，提高质量，促进发展。</w:t>
      </w:r>
    </w:p>
    <w:p w14:paraId="6098F07E">
      <w:pPr>
        <w:spacing w:line="580" w:lineRule="exact"/>
        <w:ind w:firstLine="640"/>
        <w:jc w:val="both"/>
      </w:pPr>
      <w:r>
        <w:rPr>
          <w:rFonts w:ascii="仿宋_GB2312" w:hAnsi="仿宋_GB2312" w:eastAsia="仿宋_GB2312"/>
          <w:sz w:val="32"/>
        </w:rPr>
        <w:t>（2）党委书记室职责：认真贯彻执行党的方针政策和医院党委的各项决议，领导制定并组织实施，定期检查、总结医院党务工作计划。</w:t>
      </w:r>
    </w:p>
    <w:p w14:paraId="275205C9">
      <w:pPr>
        <w:spacing w:line="580" w:lineRule="exact"/>
        <w:ind w:firstLine="640"/>
        <w:jc w:val="both"/>
      </w:pPr>
      <w:r>
        <w:rPr>
          <w:rFonts w:ascii="仿宋_GB2312" w:hAnsi="仿宋_GB2312" w:eastAsia="仿宋_GB2312"/>
          <w:sz w:val="32"/>
        </w:rPr>
        <w:t>（3）护理部职责：护理工作主管科室，负责制定护理发展规划方案，并组织实施，拟定护理工作计划并组织实施，负责制定医院护理查房工作制度和计划，完成检查结果评价工作，及时修订各项考核标准。</w:t>
      </w:r>
    </w:p>
    <w:p w14:paraId="451066D7">
      <w:pPr>
        <w:spacing w:line="580" w:lineRule="exact"/>
        <w:ind w:firstLine="640"/>
        <w:jc w:val="both"/>
      </w:pPr>
      <w:r>
        <w:rPr>
          <w:rFonts w:ascii="仿宋_GB2312" w:hAnsi="仿宋_GB2312" w:eastAsia="仿宋_GB2312"/>
          <w:sz w:val="32"/>
        </w:rPr>
        <w:t>（4）财务科职责：负责组织医院业务收支预算的编制、实施，并对预算执行情况进行监督，按照国家有关财经法律法规执行国家物价政策进行财务管理，实行财务核算。</w:t>
      </w:r>
    </w:p>
    <w:p w14:paraId="79448444">
      <w:pPr>
        <w:spacing w:line="580" w:lineRule="exact"/>
        <w:ind w:firstLine="640"/>
        <w:jc w:val="both"/>
      </w:pPr>
      <w:r>
        <w:rPr>
          <w:rFonts w:ascii="仿宋_GB2312" w:hAnsi="仿宋_GB2312" w:eastAsia="仿宋_GB2312"/>
          <w:sz w:val="32"/>
        </w:rPr>
        <w:t>（5）感染控制办公室的职责：负责对有关预防和控制医院传染病感染的规章制度，指导对医院感染突发事件以及其他医院感染相关危险因素进行调查、监测、分析、反馈。</w:t>
      </w:r>
    </w:p>
    <w:p w14:paraId="47A0BDD9">
      <w:pPr>
        <w:spacing w:line="580" w:lineRule="exact"/>
        <w:ind w:firstLine="640"/>
        <w:jc w:val="both"/>
      </w:pPr>
      <w:r>
        <w:rPr>
          <w:rFonts w:ascii="仿宋_GB2312" w:hAnsi="仿宋_GB2312" w:eastAsia="仿宋_GB2312"/>
          <w:sz w:val="32"/>
        </w:rPr>
        <w:t>（6）总务科职责：总务科是保证全院正常运转的需要。</w:t>
      </w:r>
    </w:p>
    <w:p w14:paraId="57289EB6">
      <w:pPr>
        <w:spacing w:line="580" w:lineRule="exact"/>
        <w:ind w:firstLine="640"/>
        <w:jc w:val="both"/>
      </w:pPr>
      <w:r>
        <w:rPr>
          <w:rFonts w:ascii="仿宋_GB2312" w:hAnsi="仿宋_GB2312" w:eastAsia="仿宋_GB2312"/>
          <w:sz w:val="32"/>
        </w:rPr>
        <w:t>（7）工会职责：依据工会法和有关工人运动的方针、政策要求，切实维护医院职工利益并接受职代会和职工监督。</w:t>
      </w:r>
    </w:p>
    <w:p w14:paraId="737CAE80">
      <w:pPr>
        <w:spacing w:line="580" w:lineRule="exact"/>
        <w:ind w:firstLine="640"/>
        <w:jc w:val="both"/>
      </w:pPr>
      <w:r>
        <w:rPr>
          <w:rFonts w:ascii="仿宋_GB2312" w:hAnsi="仿宋_GB2312" w:eastAsia="仿宋_GB2312"/>
          <w:sz w:val="32"/>
        </w:rPr>
        <w:t>（8）保卫科职责：维护医院非医疗、护理安全保卫工作。</w:t>
      </w:r>
    </w:p>
    <w:p w14:paraId="7AD537AD">
      <w:pPr>
        <w:spacing w:line="580" w:lineRule="exact"/>
        <w:ind w:firstLine="640"/>
        <w:jc w:val="both"/>
      </w:pPr>
      <w:r>
        <w:rPr>
          <w:rFonts w:ascii="仿宋_GB2312" w:hAnsi="仿宋_GB2312" w:eastAsia="仿宋_GB2312"/>
          <w:sz w:val="32"/>
        </w:rPr>
        <w:t>（9）医务部的职责：制定和监督医疗质量规章制度与标准，涵盖诊断、治疗、护理等全流程；定期评估医疗质量，通过病历分析、患者满意度调查等手段发现问题并提出改进措施，监督医疗核心制度执行，如首诊负责制、三级查房制、手术分级管理等，确保医疗安全。</w:t>
      </w:r>
    </w:p>
    <w:p w14:paraId="71036F27">
      <w:pPr>
        <w:spacing w:line="640" w:lineRule="exact"/>
        <w:ind w:firstLine="640"/>
        <w:jc w:val="both"/>
        <w:outlineLvl w:val="2"/>
      </w:pPr>
      <w:r>
        <w:rPr>
          <w:rFonts w:ascii="黑体" w:hAnsi="黑体" w:eastAsia="黑体"/>
          <w:sz w:val="32"/>
        </w:rPr>
        <w:t>二、机构设置及人员情况</w:t>
      </w:r>
    </w:p>
    <w:p w14:paraId="268D0C47">
      <w:pPr>
        <w:spacing w:line="580" w:lineRule="exact"/>
        <w:ind w:firstLine="640"/>
        <w:jc w:val="both"/>
      </w:pPr>
      <w:r>
        <w:rPr>
          <w:rFonts w:ascii="仿宋_GB2312" w:hAnsi="仿宋_GB2312" w:eastAsia="仿宋_GB2312"/>
          <w:sz w:val="32"/>
        </w:rPr>
        <w:t>疏勒县人民医院2024年度，实有人数426人，其中：在职人员307人，增加43人；离休人员0人，减少1人；退休人员119人,增加2人。</w:t>
      </w:r>
    </w:p>
    <w:p w14:paraId="3D00D068">
      <w:pPr>
        <w:spacing w:line="580" w:lineRule="exact"/>
        <w:ind w:firstLine="640"/>
        <w:jc w:val="both"/>
      </w:pPr>
      <w:r>
        <w:rPr>
          <w:rFonts w:ascii="仿宋_GB2312" w:hAnsi="仿宋_GB2312" w:eastAsia="仿宋_GB2312"/>
          <w:sz w:val="32"/>
        </w:rPr>
        <w:t>疏勒县人民医院无下属预算单位，下设6</w:t>
      </w:r>
      <w:r>
        <w:rPr>
          <w:rFonts w:hint="eastAsia" w:ascii="仿宋_GB2312" w:hAnsi="仿宋_GB2312" w:eastAsia="仿宋_GB2312"/>
          <w:sz w:val="32"/>
          <w:lang w:val="en-US" w:eastAsia="zh-CN"/>
        </w:rPr>
        <w:t>7</w:t>
      </w:r>
      <w:r>
        <w:rPr>
          <w:rFonts w:ascii="仿宋_GB2312" w:hAnsi="仿宋_GB2312" w:eastAsia="仿宋_GB2312"/>
          <w:sz w:val="32"/>
        </w:rPr>
        <w:t>个科室，分别是：党委办公室、医院办公室（安全生产管理办公室）、组织人事科（职工关爱中心）、工会、财务科、招标采购办公室、文化宣传科(病人服务中心客服调度中心）、纪检监察室、质管中心（等级医院创评办公室静配中心10s管理办公室）、医务部、护理部、医院感染管理科、医共体综合办公室、科教科、医学装备科、信息科、医保物价办公室、病案科、门诊部（发热门诊、肠道门诊）、卫材管理办公室、公共卫生科（严重精神障碍管理项目办公室）、总务科、消防安全科、安全保卫科、营养膳食科、爱国卫生管理办公室、医患关系办公室、急诊医学科（120指挥调度中心）、重症医学一科（EICU)、重症医学二科(ICU)、呼吸与危重症医学一科、呼吸与危重症医学二科、心血管内科、神经内科、内分泌（肾内）科、消化内科、感染性疾病管理科、结核科、临床心理医学科、肝胆外科（胸心外科）、胃肠外科、肿瘤科、脊柱外科、关节外科、手足显微外科、泌尿外科、神经外科、肾病（风湿免疫）科、五官科、妇科、产科（孕产妇关爱中心）、手麻科、儿科、新生儿科、中医康复中心、介入诊疗中心、健康管理科、综合科、医学影像科、医学检验科、超声科、特检科、病理科、输血科、药学部（药剂科临床药学室中药房）、消毒供应中心、高压氧治疗中心。</w:t>
      </w:r>
    </w:p>
    <w:p w14:paraId="1EBACB70">
      <w:r>
        <w:br w:type="page"/>
      </w:r>
    </w:p>
    <w:p w14:paraId="4B62D676">
      <w:pPr>
        <w:spacing w:line="240" w:lineRule="auto"/>
        <w:jc w:val="center"/>
        <w:outlineLvl w:val="1"/>
      </w:pPr>
      <w:r>
        <w:rPr>
          <w:rFonts w:ascii="黑体" w:hAnsi="黑体" w:eastAsia="黑体"/>
          <w:sz w:val="32"/>
        </w:rPr>
        <w:t>第二部分 部门决算情况说明</w:t>
      </w:r>
    </w:p>
    <w:p w14:paraId="6BE5EF2F">
      <w:pPr>
        <w:spacing w:line="640" w:lineRule="exact"/>
        <w:ind w:firstLine="640"/>
        <w:jc w:val="both"/>
        <w:outlineLvl w:val="2"/>
      </w:pPr>
      <w:r>
        <w:rPr>
          <w:rFonts w:ascii="黑体" w:hAnsi="黑体" w:eastAsia="黑体"/>
          <w:sz w:val="32"/>
        </w:rPr>
        <w:t>一、收入支出决算总体情况说明</w:t>
      </w:r>
    </w:p>
    <w:p w14:paraId="1A1A1794">
      <w:pPr>
        <w:spacing w:line="580" w:lineRule="exact"/>
        <w:ind w:firstLine="640"/>
        <w:jc w:val="both"/>
      </w:pPr>
      <w:r>
        <w:rPr>
          <w:rFonts w:ascii="仿宋_GB2312" w:hAnsi="仿宋_GB2312" w:eastAsia="仿宋_GB2312"/>
          <w:b/>
          <w:sz w:val="32"/>
        </w:rPr>
        <w:t>2024年度收入总计39,550.43万元，</w:t>
      </w:r>
      <w:r>
        <w:rPr>
          <w:rFonts w:ascii="仿宋_GB2312" w:hAnsi="仿宋_GB2312" w:eastAsia="仿宋_GB2312"/>
          <w:b w:val="0"/>
          <w:sz w:val="32"/>
        </w:rPr>
        <w:t>其中：本年收入合计31,346.71万元，使用非财政拨款结余（含专用结余）0.00万元，年初结转和结余8,203.71万元。</w:t>
      </w:r>
    </w:p>
    <w:p w14:paraId="660F8A6E">
      <w:pPr>
        <w:spacing w:line="580" w:lineRule="exact"/>
        <w:ind w:firstLine="640"/>
        <w:jc w:val="both"/>
      </w:pPr>
      <w:r>
        <w:rPr>
          <w:rFonts w:ascii="仿宋_GB2312" w:hAnsi="仿宋_GB2312" w:eastAsia="仿宋_GB2312"/>
          <w:b/>
          <w:sz w:val="32"/>
        </w:rPr>
        <w:t>2024年度支出总计39,550.43万元，</w:t>
      </w:r>
      <w:r>
        <w:rPr>
          <w:rFonts w:ascii="仿宋_GB2312" w:hAnsi="仿宋_GB2312" w:eastAsia="仿宋_GB2312"/>
          <w:b w:val="0"/>
          <w:sz w:val="32"/>
        </w:rPr>
        <w:t>其中：本年支出合计34,608.53万元，结余分配0.00万元，年末结转和结余4,941.90万元。</w:t>
      </w:r>
    </w:p>
    <w:p w14:paraId="27371B0C">
      <w:pPr>
        <w:spacing w:line="580" w:lineRule="exact"/>
        <w:ind w:firstLine="640"/>
        <w:jc w:val="both"/>
      </w:pPr>
      <w:r>
        <w:rPr>
          <w:rFonts w:ascii="仿宋_GB2312" w:hAnsi="仿宋_GB2312" w:eastAsia="仿宋_GB2312"/>
          <w:b w:val="0"/>
          <w:sz w:val="32"/>
        </w:rPr>
        <w:t>收入支出总体与上年相比，减少992.81万元，下降2.45%，主要原因是：本年2023年健康疏勒项目（援疆资金）资金减少，减少疏勒县2023年自治区医务人员临时性工作补助项目。</w:t>
      </w:r>
    </w:p>
    <w:p w14:paraId="028A2BAB">
      <w:pPr>
        <w:spacing w:line="640" w:lineRule="exact"/>
        <w:ind w:firstLine="640"/>
        <w:jc w:val="both"/>
        <w:outlineLvl w:val="2"/>
      </w:pPr>
      <w:r>
        <w:rPr>
          <w:rFonts w:ascii="黑体" w:hAnsi="黑体" w:eastAsia="黑体"/>
          <w:sz w:val="32"/>
        </w:rPr>
        <w:t>二、收入决算情况说明</w:t>
      </w:r>
    </w:p>
    <w:p w14:paraId="480EE192">
      <w:pPr>
        <w:spacing w:line="580" w:lineRule="exact"/>
        <w:ind w:firstLine="640"/>
        <w:jc w:val="both"/>
      </w:pPr>
      <w:r>
        <w:rPr>
          <w:rFonts w:ascii="仿宋_GB2312" w:hAnsi="仿宋_GB2312" w:eastAsia="仿宋_GB2312"/>
          <w:b/>
          <w:sz w:val="32"/>
        </w:rPr>
        <w:t>本年收入31,346.71万元，</w:t>
      </w:r>
      <w:r>
        <w:rPr>
          <w:rFonts w:ascii="仿宋_GB2312" w:hAnsi="仿宋_GB2312" w:eastAsia="仿宋_GB2312"/>
          <w:b w:val="0"/>
          <w:sz w:val="32"/>
        </w:rPr>
        <w:t>其中：财政拨款收入4,811.92万元，占15.35%；上级补助收入0.00万元，占0.00%；事业收入24,908.42万元，占79.46%；经营收入0.00万元，占0.00%；附属单位上缴收入0.00万元，占0.00%；其他收入1,626.38万元，占5.19%。</w:t>
      </w:r>
    </w:p>
    <w:p w14:paraId="224C5705">
      <w:pPr>
        <w:spacing w:line="640" w:lineRule="exact"/>
        <w:ind w:firstLine="640"/>
        <w:jc w:val="both"/>
        <w:outlineLvl w:val="2"/>
      </w:pPr>
      <w:r>
        <w:rPr>
          <w:rFonts w:ascii="黑体" w:hAnsi="黑体" w:eastAsia="黑体"/>
          <w:sz w:val="32"/>
        </w:rPr>
        <w:t>三、支出决算情况说明</w:t>
      </w:r>
    </w:p>
    <w:p w14:paraId="729CD442">
      <w:pPr>
        <w:spacing w:line="580" w:lineRule="exact"/>
        <w:ind w:firstLine="640"/>
        <w:jc w:val="both"/>
      </w:pPr>
      <w:r>
        <w:rPr>
          <w:rFonts w:ascii="仿宋_GB2312" w:hAnsi="仿宋_GB2312" w:eastAsia="仿宋_GB2312"/>
          <w:b/>
          <w:sz w:val="32"/>
        </w:rPr>
        <w:t>本年支出34,608.53万元，</w:t>
      </w:r>
      <w:r>
        <w:rPr>
          <w:rFonts w:ascii="仿宋_GB2312" w:hAnsi="仿宋_GB2312" w:eastAsia="仿宋_GB2312"/>
          <w:b w:val="0"/>
          <w:sz w:val="32"/>
        </w:rPr>
        <w:t>其中：基本支出29,624.06万元，占85.60%；项目支出4,984.47万元，占14.40%；上缴上级支出0.00万元，占0.00%；经营支出0.00万元，占0.00%；对附属单位补助支出0.00万元，占0.00%。</w:t>
      </w:r>
    </w:p>
    <w:p w14:paraId="76D8A7D3">
      <w:pPr>
        <w:spacing w:line="640" w:lineRule="exact"/>
        <w:ind w:firstLine="640"/>
        <w:jc w:val="both"/>
        <w:outlineLvl w:val="2"/>
      </w:pPr>
      <w:r>
        <w:rPr>
          <w:rFonts w:ascii="黑体" w:hAnsi="黑体" w:eastAsia="黑体"/>
          <w:sz w:val="32"/>
        </w:rPr>
        <w:t>四、财政拨款收入支出决算总体情况说明</w:t>
      </w:r>
    </w:p>
    <w:p w14:paraId="34116340">
      <w:pPr>
        <w:spacing w:line="580" w:lineRule="exact"/>
        <w:ind w:firstLine="640"/>
        <w:jc w:val="both"/>
      </w:pPr>
      <w:r>
        <w:rPr>
          <w:rFonts w:ascii="仿宋_GB2312" w:hAnsi="仿宋_GB2312" w:eastAsia="仿宋_GB2312"/>
          <w:b/>
          <w:sz w:val="32"/>
        </w:rPr>
        <w:t>2024年度财政拨款收入总计4,811.92万元，</w:t>
      </w:r>
      <w:r>
        <w:rPr>
          <w:rFonts w:ascii="仿宋_GB2312" w:hAnsi="仿宋_GB2312" w:eastAsia="仿宋_GB2312"/>
          <w:b w:val="0"/>
          <w:sz w:val="32"/>
        </w:rPr>
        <w:t>其中：年初财政拨款结转和结余0.00万元，本年财政拨款收入4,811.92万元。</w:t>
      </w:r>
      <w:r>
        <w:rPr>
          <w:rFonts w:ascii="仿宋_GB2312" w:hAnsi="仿宋_GB2312" w:eastAsia="仿宋_GB2312"/>
          <w:b/>
          <w:sz w:val="32"/>
        </w:rPr>
        <w:t>财政拨款支出总计4,811.92万元，</w:t>
      </w:r>
      <w:r>
        <w:rPr>
          <w:rFonts w:ascii="仿宋_GB2312" w:hAnsi="仿宋_GB2312" w:eastAsia="仿宋_GB2312"/>
          <w:b w:val="0"/>
          <w:sz w:val="32"/>
        </w:rPr>
        <w:t>其中：年末财政拨款结转和结余0.00万元，本年财政拨款支出4,811.92万元。</w:t>
      </w:r>
    </w:p>
    <w:p w14:paraId="328C836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951.44万元，增长24.65%，主要原因是：本年在职人员增加，在职人员工资调增、社保、公积金基数调增，人员经费增加；本年增加2024年新疆人才发展基金项目、2023年乡村医生补助项目县级配套项目、2023年自治区医疗服务与保障能力提升（卫生健康人才培养）项目、2022年自治区医疗服务能力提升（卫生健康人才队伍建设）补助项目（回补）、2024年自治区医疗服务与保障能力提升[卫生健康人才队伍建设]补助项目、2023年度自治区人才发展基金第一批重大人才计划项目，财政项目拨款收入增加。</w:t>
      </w:r>
      <w:r>
        <w:rPr>
          <w:rFonts w:ascii="仿宋_GB2312" w:hAnsi="仿宋_GB2312" w:eastAsia="仿宋_GB2312"/>
          <w:b/>
          <w:sz w:val="32"/>
        </w:rPr>
        <w:t>与年初预算相比，</w:t>
      </w:r>
      <w:r>
        <w:rPr>
          <w:rFonts w:ascii="仿宋_GB2312" w:hAnsi="仿宋_GB2312" w:eastAsia="仿宋_GB2312"/>
          <w:b w:val="0"/>
          <w:sz w:val="32"/>
        </w:rPr>
        <w:t>年初预算数3,734.81万元，决算数4,811.92万元，预决算差异率28.84%，主要原因是：年中追加2024年新疆人才发展基金项目、2023年乡村医生补助项目县级配套项目、2023年自治区医疗服务与保障能力提升（卫生健康人才培养）项目、2022年自治区医疗服务能力提升（卫生健康人才队伍建设）补助项目（回补）、2024年自治区医疗服务与保障能力提升[卫生健康人才队伍建设]补助项目、2023年度自治区人才发展基金第一批重大人才计划项目，导致预决算产生差异。</w:t>
      </w:r>
    </w:p>
    <w:p w14:paraId="18BD400F">
      <w:pPr>
        <w:spacing w:line="640" w:lineRule="exact"/>
        <w:ind w:firstLine="640"/>
        <w:jc w:val="both"/>
        <w:outlineLvl w:val="2"/>
      </w:pPr>
      <w:r>
        <w:rPr>
          <w:rFonts w:ascii="黑体" w:hAnsi="黑体" w:eastAsia="黑体"/>
          <w:sz w:val="32"/>
        </w:rPr>
        <w:t>五、一般公共预算财政拨款支出决算情况说明</w:t>
      </w:r>
    </w:p>
    <w:p w14:paraId="4852D725">
      <w:pPr>
        <w:spacing w:line="640" w:lineRule="exact"/>
        <w:ind w:firstLine="640"/>
        <w:jc w:val="both"/>
        <w:outlineLvl w:val="3"/>
      </w:pPr>
      <w:r>
        <w:rPr>
          <w:rFonts w:ascii="楷体_GB2312" w:hAnsi="楷体_GB2312" w:eastAsia="楷体_GB2312"/>
          <w:b/>
          <w:sz w:val="32"/>
        </w:rPr>
        <w:t>（一）一般公共预算财政拨款支出决算总体情况</w:t>
      </w:r>
    </w:p>
    <w:p w14:paraId="73419F39">
      <w:pPr>
        <w:spacing w:line="580" w:lineRule="exact"/>
        <w:ind w:firstLine="640"/>
        <w:jc w:val="both"/>
      </w:pPr>
      <w:r>
        <w:rPr>
          <w:rFonts w:ascii="仿宋_GB2312" w:hAnsi="仿宋_GB2312" w:eastAsia="仿宋_GB2312"/>
          <w:b/>
          <w:sz w:val="32"/>
        </w:rPr>
        <w:t>2024年度一般公共预算财政拨款支出4,811.92万元，</w:t>
      </w:r>
      <w:r>
        <w:rPr>
          <w:rFonts w:ascii="仿宋_GB2312" w:hAnsi="仿宋_GB2312" w:eastAsia="仿宋_GB2312"/>
          <w:b w:val="0"/>
          <w:sz w:val="32"/>
        </w:rPr>
        <w:t>占本年支出合计的13.90%。</w:t>
      </w:r>
      <w:r>
        <w:rPr>
          <w:rFonts w:ascii="仿宋_GB2312" w:hAnsi="仿宋_GB2312" w:eastAsia="仿宋_GB2312"/>
          <w:b/>
          <w:sz w:val="32"/>
        </w:rPr>
        <w:t>与上年相比，</w:t>
      </w:r>
      <w:r>
        <w:rPr>
          <w:rFonts w:ascii="仿宋_GB2312" w:hAnsi="仿宋_GB2312" w:eastAsia="仿宋_GB2312"/>
          <w:b w:val="0"/>
          <w:sz w:val="32"/>
        </w:rPr>
        <w:t>增加951.44万元，增长24.65%，主要原因是：本年在职人员增加，在职人员工资调增、社保、公积金基数调增，人员经费增加；本年增加2024年新疆人才发展基金项目、2023年乡村医生补助项目县级配套项目、2023年自治区医疗服务与保障能力提升（卫生健康人才培养）项目、2022年自治区医疗服务能力提升（卫生健康人才队伍建设）补助项目（回补）、2024年自治区医疗服务与保障能力提升[卫生健康人才队伍建设]补助项目、2023年度自治区人才发展基金第一批重大人才计划项目，财政项目拨款收入增加。</w:t>
      </w:r>
      <w:r>
        <w:rPr>
          <w:rFonts w:ascii="仿宋_GB2312" w:hAnsi="仿宋_GB2312" w:eastAsia="仿宋_GB2312"/>
          <w:b/>
          <w:sz w:val="32"/>
        </w:rPr>
        <w:t>与年初预算相比,</w:t>
      </w:r>
      <w:r>
        <w:rPr>
          <w:rFonts w:ascii="仿宋_GB2312" w:hAnsi="仿宋_GB2312" w:eastAsia="仿宋_GB2312"/>
          <w:b w:val="0"/>
          <w:sz w:val="32"/>
        </w:rPr>
        <w:t>年初预算数3,734.81万元，决算数4,811.92万元，预决算差异率28.84%，主要原因是：年中追加2024年新疆人才发展基金项目、2023年乡村医生补助项目县级配套项目、2023年自治区医疗服务与保障能力提升（卫生健康人才培养）项目、2022年自治区医疗服务能力提升（卫生健康人才队伍建设）补助项目（回补）、2024年自治区医疗服务与保障能力提升[卫生健康人才队伍建设]补助项目、2023年度自治区人才发展基金第一批重大人才计划项目，导致预决算产生差异。</w:t>
      </w:r>
    </w:p>
    <w:p w14:paraId="4F439FBA">
      <w:pPr>
        <w:spacing w:line="640" w:lineRule="exact"/>
        <w:ind w:firstLine="640"/>
        <w:jc w:val="both"/>
        <w:outlineLvl w:val="3"/>
      </w:pPr>
      <w:r>
        <w:rPr>
          <w:rFonts w:ascii="楷体_GB2312" w:hAnsi="楷体_GB2312" w:eastAsia="楷体_GB2312"/>
          <w:b/>
          <w:sz w:val="32"/>
        </w:rPr>
        <w:t>（二）一般公共预算财政拨款支出决算结构情况</w:t>
      </w:r>
    </w:p>
    <w:p w14:paraId="33A7FD51">
      <w:pPr>
        <w:spacing w:line="580" w:lineRule="exact"/>
        <w:ind w:firstLine="640"/>
        <w:jc w:val="both"/>
      </w:pPr>
      <w:r>
        <w:rPr>
          <w:rFonts w:ascii="仿宋_GB2312" w:hAnsi="仿宋_GB2312" w:eastAsia="仿宋_GB2312"/>
          <w:b w:val="0"/>
          <w:sz w:val="32"/>
        </w:rPr>
        <w:t>1.一般公共服务支出(类)93.32万元,占1.94%。</w:t>
      </w:r>
    </w:p>
    <w:p w14:paraId="00ED668F">
      <w:pPr>
        <w:spacing w:line="580" w:lineRule="exact"/>
        <w:ind w:firstLine="640"/>
        <w:jc w:val="both"/>
      </w:pPr>
      <w:r>
        <w:rPr>
          <w:rFonts w:ascii="仿宋_GB2312" w:hAnsi="仿宋_GB2312" w:eastAsia="仿宋_GB2312"/>
          <w:b w:val="0"/>
          <w:sz w:val="32"/>
        </w:rPr>
        <w:t>2.社会保障和就业支出(类)767.68万元,占15.95%。</w:t>
      </w:r>
    </w:p>
    <w:p w14:paraId="0DF29996">
      <w:pPr>
        <w:spacing w:line="580" w:lineRule="exact"/>
        <w:ind w:firstLine="640"/>
        <w:jc w:val="both"/>
      </w:pPr>
      <w:r>
        <w:rPr>
          <w:rFonts w:ascii="仿宋_GB2312" w:hAnsi="仿宋_GB2312" w:eastAsia="仿宋_GB2312"/>
          <w:b w:val="0"/>
          <w:sz w:val="32"/>
        </w:rPr>
        <w:t>3.卫生健康支出(类)3,944.28万元,占81.97%。</w:t>
      </w:r>
    </w:p>
    <w:p w14:paraId="0057AC02">
      <w:pPr>
        <w:spacing w:line="580" w:lineRule="exact"/>
        <w:ind w:firstLine="640"/>
        <w:jc w:val="both"/>
      </w:pPr>
      <w:r>
        <w:rPr>
          <w:rFonts w:ascii="仿宋_GB2312" w:hAnsi="仿宋_GB2312" w:eastAsia="仿宋_GB2312"/>
          <w:b w:val="0"/>
          <w:sz w:val="32"/>
        </w:rPr>
        <w:t>4.农林水支出(类)6.64万元,占0.14%。</w:t>
      </w:r>
    </w:p>
    <w:p w14:paraId="1549BAB1">
      <w:pPr>
        <w:spacing w:line="640" w:lineRule="exact"/>
        <w:ind w:firstLine="640"/>
        <w:jc w:val="both"/>
        <w:outlineLvl w:val="3"/>
      </w:pPr>
      <w:r>
        <w:rPr>
          <w:rFonts w:ascii="楷体_GB2312" w:hAnsi="楷体_GB2312" w:eastAsia="楷体_GB2312"/>
          <w:b/>
          <w:sz w:val="32"/>
        </w:rPr>
        <w:t>（三）一般公共预算财政拨款支出决算具体情况</w:t>
      </w:r>
    </w:p>
    <w:p w14:paraId="020CE231">
      <w:pPr>
        <w:spacing w:line="580" w:lineRule="exact"/>
        <w:ind w:firstLine="640"/>
        <w:jc w:val="both"/>
      </w:pPr>
      <w:r>
        <w:rPr>
          <w:rFonts w:ascii="仿宋_GB2312" w:hAnsi="仿宋_GB2312" w:eastAsia="仿宋_GB2312"/>
          <w:b w:val="0"/>
          <w:sz w:val="32"/>
        </w:rPr>
        <w:t>1.一般公共服务支出(类)组织事务(款)其他组织事务支出(项):支出决算数为93.32万元，比上年决算增加93.32万元，增长100.00%,主要原因是：2024年新增新疆人才发展基金项目。</w:t>
      </w:r>
    </w:p>
    <w:p w14:paraId="354378E8">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159.24万元，比上年决算增加15.38万元，增长10.69%,主要原因是：2024年退休人员增加2人，退休人员基础绩效增加，事业单位离退休支出增加。</w:t>
      </w:r>
    </w:p>
    <w:p w14:paraId="65C5075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405.63万元，比上年决算增加94.22万元，增长30.26%,主要原因是：本年在职人员增加43人，养老保险缴费较上年增加。</w:t>
      </w:r>
    </w:p>
    <w:p w14:paraId="60FCEFF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202.81万元，比上年决算增加47.10万元，增长30.25%,主要原因是：本年新增在职人员43人，职业年金缴费支出增加。</w:t>
      </w:r>
    </w:p>
    <w:p w14:paraId="6412AD21">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437.04万元，比上年决算增加437.04万元，增长100.00%,主要原因是：本年新增2023年乡村医生补助项目县级配套项目、2023年自治区医疗服务与保障能力提升（卫生健康人才培养）项目、2022年自治区医疗服务能力提升（卫生健康人才队伍建设）补助项目（回补）、2024年自治区医疗服务与保障能力提升[卫生健康人才队伍建设]补助项目。</w:t>
      </w:r>
    </w:p>
    <w:p w14:paraId="70253BA8">
      <w:pPr>
        <w:spacing w:line="580" w:lineRule="exact"/>
        <w:ind w:firstLine="640"/>
        <w:jc w:val="both"/>
      </w:pPr>
      <w:r>
        <w:rPr>
          <w:rFonts w:ascii="仿宋_GB2312" w:hAnsi="仿宋_GB2312" w:eastAsia="仿宋_GB2312"/>
          <w:b w:val="0"/>
          <w:sz w:val="32"/>
        </w:rPr>
        <w:t>6.卫生健康支出(类)公立医院(款)综合医院(项):支出决算数为3,221.90万元，比上年决算增加212.29万元，增长7.05%,主要原因是：本年在职人员增加，人员经费增加，2023年度自治区人才发展基金第一批重大人才计划项目支出增加。</w:t>
      </w:r>
    </w:p>
    <w:p w14:paraId="5953D13B">
      <w:pPr>
        <w:spacing w:line="580" w:lineRule="exact"/>
        <w:ind w:firstLine="640"/>
        <w:jc w:val="both"/>
      </w:pPr>
      <w:r>
        <w:rPr>
          <w:rFonts w:ascii="仿宋_GB2312" w:hAnsi="仿宋_GB2312" w:eastAsia="仿宋_GB2312"/>
          <w:b w:val="0"/>
          <w:sz w:val="32"/>
        </w:rPr>
        <w:t>7.卫生健康支出(类)公立医院(款)其他公立医院支出(项):支出决算数为120.09万元，比上年决算增加120.09万元，增长100.00%,主要原因是：本年新增2023年中央医院服务与保障能力提升（公立医院综合改革）补助项目第二批、2024年度医疗服务与保障能力提升（公立医院综合改革）补助项目。</w:t>
      </w:r>
    </w:p>
    <w:p w14:paraId="77F8BA43">
      <w:pPr>
        <w:spacing w:line="580" w:lineRule="exact"/>
        <w:ind w:firstLine="640"/>
        <w:jc w:val="both"/>
      </w:pPr>
      <w:r>
        <w:rPr>
          <w:rFonts w:ascii="仿宋_GB2312" w:hAnsi="仿宋_GB2312" w:eastAsia="仿宋_GB2312"/>
          <w:b w:val="0"/>
          <w:sz w:val="32"/>
        </w:rPr>
        <w:t>8.卫生健康支出(类)基层医疗卫生机构(款)其他基层医疗卫生机构支出(项):支出决算数为38.78万元，比上年决算增加38.78万元，增长100.00%,主要原因是：本年新增医疗服务与保障能力提升（医疗卫生机构能力建设）项目。</w:t>
      </w:r>
    </w:p>
    <w:p w14:paraId="66A0FD82">
      <w:pPr>
        <w:spacing w:line="580" w:lineRule="exact"/>
        <w:ind w:firstLine="640"/>
        <w:jc w:val="both"/>
      </w:pPr>
      <w:r>
        <w:rPr>
          <w:rFonts w:ascii="仿宋_GB2312" w:hAnsi="仿宋_GB2312" w:eastAsia="仿宋_GB2312"/>
          <w:b w:val="0"/>
          <w:sz w:val="32"/>
        </w:rPr>
        <w:t>9.卫生健康支出(类)公共卫生(款)重大公共卫生服务(项):支出决算数为29.03万元，比上年决算增加16.59万元，增长133.36%,主要原因是：2024年重大传染病防控项目经费增加。</w:t>
      </w:r>
    </w:p>
    <w:p w14:paraId="37ECB932">
      <w:pPr>
        <w:spacing w:line="580" w:lineRule="exact"/>
        <w:ind w:firstLine="640"/>
        <w:jc w:val="both"/>
      </w:pPr>
      <w:r>
        <w:rPr>
          <w:rFonts w:ascii="仿宋_GB2312" w:hAnsi="仿宋_GB2312" w:eastAsia="仿宋_GB2312"/>
          <w:b w:val="0"/>
          <w:sz w:val="32"/>
        </w:rPr>
        <w:t>10.卫生健康支出(类)公共卫生(款)突发公共卫生事件应急处理(项):支出决算数为0.00万元，比上年决算减少189.17万元，下降100.00%,主要原因是：本年减少疏勒县2023年自治区医务人员临时性工作补助项目。</w:t>
      </w:r>
    </w:p>
    <w:p w14:paraId="050AF6B6">
      <w:pPr>
        <w:spacing w:line="580" w:lineRule="exact"/>
        <w:ind w:firstLine="640"/>
        <w:jc w:val="both"/>
      </w:pPr>
      <w:r>
        <w:rPr>
          <w:rFonts w:ascii="仿宋_GB2312" w:hAnsi="仿宋_GB2312" w:eastAsia="仿宋_GB2312"/>
          <w:b w:val="0"/>
          <w:sz w:val="32"/>
        </w:rPr>
        <w:t>11.卫生健康支出(类)公共卫生(款)其他公共卫生支出(项):支出决算数为97.44万元，比上年决算增加97.44万元，增长100.00%,主要原因是：本年新增自治区公共卫生服务（地方公共卫生）补助项目。</w:t>
      </w:r>
    </w:p>
    <w:p w14:paraId="384643A0">
      <w:pPr>
        <w:spacing w:line="580" w:lineRule="exact"/>
        <w:ind w:firstLine="640"/>
        <w:jc w:val="both"/>
      </w:pPr>
      <w:r>
        <w:rPr>
          <w:rFonts w:ascii="仿宋_GB2312" w:hAnsi="仿宋_GB2312" w:eastAsia="仿宋_GB2312"/>
          <w:b w:val="0"/>
          <w:sz w:val="32"/>
        </w:rPr>
        <w:t>12.卫生健康支出(类)其他卫生健康支出(款)其他卫生健康支出(项):支出决算数为0.00万元，比上年决算减少20.10万元，下降100.00%,主要原因是：本年减少疏勒县2023年度自治区人才发展基金第一批重大人才项目。</w:t>
      </w:r>
    </w:p>
    <w:p w14:paraId="204149C4">
      <w:pPr>
        <w:spacing w:line="580" w:lineRule="exact"/>
        <w:ind w:firstLine="640"/>
        <w:jc w:val="both"/>
      </w:pPr>
      <w:r>
        <w:rPr>
          <w:rFonts w:ascii="仿宋_GB2312" w:hAnsi="仿宋_GB2312" w:eastAsia="仿宋_GB2312"/>
          <w:b w:val="0"/>
          <w:sz w:val="32"/>
        </w:rPr>
        <w:t>13.农林水支出(类)农业农村(款)其他农业农村支出(项):支出决算数为6.64万元，比上年决算减少11.55万元，下降63.50%,主要原因是：本年工作队为民办实事经费项目资金减少。</w:t>
      </w:r>
    </w:p>
    <w:p w14:paraId="552A19A3">
      <w:pPr>
        <w:spacing w:line="640" w:lineRule="exact"/>
        <w:ind w:firstLine="640"/>
        <w:jc w:val="both"/>
        <w:outlineLvl w:val="2"/>
      </w:pPr>
      <w:r>
        <w:rPr>
          <w:rFonts w:ascii="黑体" w:hAnsi="黑体" w:eastAsia="黑体"/>
          <w:sz w:val="32"/>
        </w:rPr>
        <w:t>六、一般公共预算财政拨款基本支出决算情况说明</w:t>
      </w:r>
    </w:p>
    <w:p w14:paraId="21993C58">
      <w:pPr>
        <w:spacing w:line="580" w:lineRule="exact"/>
        <w:ind w:firstLine="640"/>
        <w:jc w:val="both"/>
      </w:pPr>
      <w:r>
        <w:rPr>
          <w:rFonts w:ascii="仿宋_GB2312" w:hAnsi="仿宋_GB2312" w:eastAsia="仿宋_GB2312"/>
          <w:b w:val="0"/>
          <w:sz w:val="32"/>
        </w:rPr>
        <w:t>2024年度一般公共预算财政拨款基本支出3,909.68万元，其中：</w:t>
      </w:r>
      <w:r>
        <w:rPr>
          <w:rFonts w:ascii="仿宋_GB2312" w:hAnsi="仿宋_GB2312" w:eastAsia="仿宋_GB2312"/>
          <w:b/>
          <w:sz w:val="32"/>
        </w:rPr>
        <w:t>人员经费3,909.68万元，</w:t>
      </w:r>
      <w:r>
        <w:rPr>
          <w:rFonts w:ascii="仿宋_GB2312" w:hAnsi="仿宋_GB2312" w:eastAsia="仿宋_GB2312"/>
          <w:b w:val="0"/>
          <w:sz w:val="32"/>
        </w:rPr>
        <w:t>包括：基本工资、津贴补贴、奖金、绩效工资、机关事业单位基本养老保险缴费、职业年金缴费、离休费、退休费、抚恤金、生活补助。</w:t>
      </w:r>
    </w:p>
    <w:p w14:paraId="7F35A39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788B273">
      <w:pPr>
        <w:spacing w:line="640" w:lineRule="exact"/>
        <w:ind w:firstLine="640"/>
        <w:jc w:val="both"/>
        <w:outlineLvl w:val="2"/>
      </w:pPr>
      <w:r>
        <w:rPr>
          <w:rFonts w:ascii="黑体" w:hAnsi="黑体" w:eastAsia="黑体"/>
          <w:sz w:val="32"/>
        </w:rPr>
        <w:t>七、政府性基金预算财政拨款收入支出决算情况说明</w:t>
      </w:r>
    </w:p>
    <w:p w14:paraId="5B3E97C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9CBC947">
      <w:pPr>
        <w:spacing w:line="640" w:lineRule="exact"/>
        <w:ind w:firstLine="640"/>
        <w:jc w:val="both"/>
        <w:outlineLvl w:val="2"/>
      </w:pPr>
      <w:r>
        <w:rPr>
          <w:rFonts w:ascii="黑体" w:hAnsi="黑体" w:eastAsia="黑体"/>
          <w:sz w:val="32"/>
        </w:rPr>
        <w:t>八、国有资本经营预算财政拨款收入支出决算情况说明</w:t>
      </w:r>
    </w:p>
    <w:p w14:paraId="3099105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68467D7">
      <w:pPr>
        <w:spacing w:line="640" w:lineRule="exact"/>
        <w:ind w:firstLine="640"/>
        <w:jc w:val="both"/>
        <w:outlineLvl w:val="2"/>
      </w:pPr>
      <w:r>
        <w:rPr>
          <w:rFonts w:ascii="黑体" w:hAnsi="黑体" w:eastAsia="黑体"/>
          <w:sz w:val="32"/>
        </w:rPr>
        <w:t>九、财政拨款“三公”经费支出决算情况说明</w:t>
      </w:r>
    </w:p>
    <w:p w14:paraId="76C8359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2EF931">
      <w:pPr>
        <w:spacing w:line="580" w:lineRule="exact"/>
        <w:ind w:firstLine="640"/>
        <w:jc w:val="both"/>
      </w:pPr>
      <w:r>
        <w:rPr>
          <w:rFonts w:ascii="仿宋_GB2312" w:hAnsi="仿宋_GB2312" w:eastAsia="仿宋_GB2312"/>
          <w:b/>
          <w:sz w:val="32"/>
        </w:rPr>
        <w:t>具体情况如下：</w:t>
      </w:r>
    </w:p>
    <w:p w14:paraId="7142962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6EAAE0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19辆，与公务用车保有量差异原因是：本单位差异车辆19辆，为应急保障用车10辆、特种专业技术用车6辆、其他用车3辆，车辆费用未使用财政拨款公务用车运行维护费支付，由单位自有资金经费保障。</w:t>
      </w:r>
    </w:p>
    <w:p w14:paraId="0BBB4CD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D9CA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CE47861">
      <w:pPr>
        <w:spacing w:line="640" w:lineRule="exact"/>
        <w:ind w:firstLine="640"/>
        <w:jc w:val="both"/>
        <w:outlineLvl w:val="2"/>
      </w:pPr>
      <w:r>
        <w:rPr>
          <w:rFonts w:ascii="黑体" w:hAnsi="黑体" w:eastAsia="黑体"/>
          <w:sz w:val="32"/>
        </w:rPr>
        <w:t>十、其他重要事项的情况说明</w:t>
      </w:r>
    </w:p>
    <w:p w14:paraId="1A60D73B">
      <w:pPr>
        <w:spacing w:line="640" w:lineRule="exact"/>
        <w:ind w:firstLine="640"/>
        <w:jc w:val="both"/>
        <w:outlineLvl w:val="3"/>
      </w:pPr>
      <w:r>
        <w:rPr>
          <w:rFonts w:ascii="楷体_GB2312" w:hAnsi="楷体_GB2312" w:eastAsia="楷体_GB2312"/>
          <w:b/>
          <w:sz w:val="32"/>
        </w:rPr>
        <w:t>（一）机关运行经费及公用经费支出情况</w:t>
      </w:r>
    </w:p>
    <w:p w14:paraId="0D02C6FE">
      <w:pPr>
        <w:spacing w:line="580" w:lineRule="exact"/>
        <w:ind w:firstLine="640"/>
        <w:jc w:val="both"/>
      </w:pPr>
      <w:r>
        <w:rPr>
          <w:rFonts w:ascii="仿宋_GB2312" w:hAnsi="仿宋_GB2312" w:eastAsia="仿宋_GB2312"/>
          <w:b w:val="0"/>
          <w:sz w:val="32"/>
        </w:rPr>
        <w:t>2024年度疏勒县人民医院（事业单位）公用经费支出0.00万元，比上年增加0.00万元，增长0.00%，主要原因是：2023年与2024年均未安排公用经费支出。</w:t>
      </w:r>
    </w:p>
    <w:p w14:paraId="36039118">
      <w:pPr>
        <w:spacing w:line="640" w:lineRule="exact"/>
        <w:ind w:firstLine="640"/>
        <w:jc w:val="both"/>
        <w:outlineLvl w:val="3"/>
      </w:pPr>
      <w:r>
        <w:rPr>
          <w:rFonts w:ascii="楷体_GB2312" w:hAnsi="楷体_GB2312" w:eastAsia="楷体_GB2312"/>
          <w:b/>
          <w:sz w:val="32"/>
        </w:rPr>
        <w:t>（二）政府采购情况</w:t>
      </w:r>
    </w:p>
    <w:p w14:paraId="53CD6618">
      <w:pPr>
        <w:spacing w:line="580" w:lineRule="exact"/>
        <w:ind w:firstLine="640"/>
        <w:jc w:val="both"/>
      </w:pPr>
      <w:r>
        <w:rPr>
          <w:rFonts w:ascii="仿宋_GB2312" w:hAnsi="仿宋_GB2312" w:eastAsia="仿宋_GB2312"/>
          <w:b w:val="0"/>
          <w:sz w:val="32"/>
        </w:rPr>
        <w:t>2024年度政府采购支出总额3,714.19万元，其中：政府采购货物支出2,497.53万元、政府采购工程支出220.15万元、政府采购服务支出996.50万元。</w:t>
      </w:r>
    </w:p>
    <w:p w14:paraId="4ABF4AFE">
      <w:pPr>
        <w:spacing w:line="580" w:lineRule="exact"/>
        <w:ind w:firstLine="640"/>
        <w:jc w:val="both"/>
      </w:pPr>
      <w:r>
        <w:rPr>
          <w:rFonts w:ascii="仿宋_GB2312" w:hAnsi="仿宋_GB2312" w:eastAsia="仿宋_GB2312"/>
          <w:b w:val="0"/>
          <w:sz w:val="32"/>
        </w:rPr>
        <w:t>授予中小企业合同金额3,714.19万元，占政府采购支出总额的100.00%，其中：授予小微企业合同金额3,714.19万元，占政府采购支出总额的100.00%。</w:t>
      </w:r>
    </w:p>
    <w:p w14:paraId="35E4E1FA">
      <w:pPr>
        <w:spacing w:line="640" w:lineRule="exact"/>
        <w:ind w:firstLine="640"/>
        <w:jc w:val="both"/>
        <w:outlineLvl w:val="3"/>
      </w:pPr>
      <w:r>
        <w:rPr>
          <w:rFonts w:ascii="楷体_GB2312" w:hAnsi="楷体_GB2312" w:eastAsia="楷体_GB2312"/>
          <w:b/>
          <w:sz w:val="32"/>
        </w:rPr>
        <w:t>（三）国有资产占用情况说明</w:t>
      </w:r>
    </w:p>
    <w:p w14:paraId="3BF5796A">
      <w:pPr>
        <w:spacing w:line="580" w:lineRule="exact"/>
        <w:ind w:firstLine="640"/>
        <w:jc w:val="both"/>
      </w:pPr>
      <w:r>
        <w:rPr>
          <w:rFonts w:ascii="仿宋_GB2312" w:hAnsi="仿宋_GB2312" w:eastAsia="仿宋_GB2312"/>
          <w:b w:val="0"/>
          <w:sz w:val="32"/>
        </w:rPr>
        <w:t>截至2024年12月31日，房屋73,829.49平方米，价值7,510.81万元。车辆19辆，价值622.40万元，其中：副部（省）级及以上领导用车0辆、主要负责人用车0辆、机要通信用车0辆、应急保障用车10辆、执法执勤用车0辆、特种专业技术用车6辆、离退休干部服务用车0辆、其他用车3辆，其他用车主要是：运送资料用车。单价100万元（含）以上设备（不含车辆）31台（套）。</w:t>
      </w:r>
    </w:p>
    <w:p w14:paraId="07ABA04C">
      <w:pPr>
        <w:spacing w:line="640" w:lineRule="exact"/>
        <w:ind w:firstLine="640"/>
        <w:jc w:val="both"/>
        <w:outlineLvl w:val="2"/>
      </w:pPr>
      <w:r>
        <w:rPr>
          <w:rFonts w:ascii="黑体" w:hAnsi="黑体" w:eastAsia="黑体"/>
          <w:sz w:val="32"/>
        </w:rPr>
        <w:t>十一、预算绩效的情况说明</w:t>
      </w:r>
    </w:p>
    <w:p w14:paraId="44FBF8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39,550.42万元，实际执行总额34,608.53万元；预算绩效评价项目3个，全年预算数17,855.01万元，全年执行数17,855.01万元。预算绩效管理取得的成效：一是资金使用效益提升，避免了资金“撒胡椒面”式的分配，促使资金向高效益、高产出的领域倾斜，减少了闲置、浪费等问题；二是责任意识强化，明确了各部门、各单位在预算执行中的绩效责任，“花钱必问效、无效必问责”的机制逐步形成；三是预算编制科学性增强，绩效目标作为预算编制的重要依据，使预算安排更贴合实际需求，避免了盲目申报、虚报预算的情况；四是财政管理水平提高，建立了从目标设定、运行到结果评价、应用的全流程管理体系，使财政管理更加规范、透明。发现的问题及原因：一是绩效目标设定不科学：部分项目绩效目标模糊、量化不足，与实际工作脱节，比如仅笼统表述“提升服务质量”，缺乏具体指标和衡量标准；二是绩效评价质量不高：评价指标设计不合理，侧重合规性（如资金是否到位），忽视效益性（如项目实际效果）；评价过程存在形式化，数据支撑不足；三是结果应用不充分：绩效评价结果与预算调整、政策完善、责任追究的挂钩不够紧密，“评价归评价、预算归预算”的现象依然存在；四是全过程管理衔接不畅：预算编制、执行、评价各环节脱节，比如执行中发现绩效偏差却未及时调整，或评价结果未反馈到下一年度编制。具体原因一是思想认识不到位：部分部门仍存在“重投入、轻产出”“重分配、轻管理”的观念，对绩效管理的重视停留在表面，缺乏主动作为的意识；二是制度体系不完善：绩效指标库不健全，不同行业、领域的评价标准不统一；全过程管理的流程和机制（如预警、结果应用细则）尚未完全理顺；三是能力建设滞后：单位绩效管理专业人才不足，工作人员对绩效目标设定、指标设计、数据分析等技能掌握不够，影响工作质量；四是信息化平台建设滞后，预算数据与绩效数据未完全打通，难以实现精准分析，增加了管理难度。下一步改进措施：一是强化绩效目标管理，提升科学性，</w:t>
      </w:r>
      <w:r>
        <w:rPr>
          <w:rFonts w:ascii="仿宋_GB2312" w:hAnsi="仿宋_GB2312" w:eastAsia="仿宋_GB2312"/>
          <w:b w:val="0"/>
          <w:sz w:val="32"/>
        </w:rPr>
        <w:tab/>
      </w:r>
      <w:r>
        <w:rPr>
          <w:rFonts w:ascii="仿宋_GB2312" w:hAnsi="仿宋_GB2312" w:eastAsia="仿宋_GB2312"/>
          <w:b w:val="0"/>
          <w:sz w:val="32"/>
        </w:rPr>
        <w:t>建立绩效目标审核机制，对模糊、不合理的目标进行退回修改，从源头保障绩效管理的有效性，制定分行业、分领域的绩效目标编制指引，明确目标设定的具体要求，确保目标可量化、可衡量、与实际工作紧密关联，二是提高绩效评价质量，聚焦实际效益，完善绩效评价指标体系，减少对合规性指标的过度侧重，增加反映项目效果、群众满意度等效益性指标的权重。三是强化结果应用，形成闭环管理建立绩效评价结果与预算安排、政策调整的硬性挂钩机制，对评价优秀的项目优先保障资金，对低效、无效项目削减或取消预算，推动评价结果公开，接受社会监督，并将结果作为部门绩效考核、干部问责的重要依据，避免“评价与应用两张皮”；四是加强全过程衔接，实现动态跟踪，打通预算编制、执行、评价各环节的信息壁垒，利用信息化平台实现数据共享，对绩效目标实现情况进行实时跟踪。具体附整体支出绩效自评表，项目支出绩效自评表。</w:t>
      </w:r>
    </w:p>
    <w:p w14:paraId="355B05C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384BEA">
        <w:tblPrEx>
          <w:tblCellMar>
            <w:top w:w="0" w:type="dxa"/>
            <w:left w:w="108" w:type="dxa"/>
            <w:bottom w:w="0" w:type="dxa"/>
            <w:right w:w="108" w:type="dxa"/>
          </w:tblCellMar>
        </w:tblPrEx>
        <w:tc>
          <w:tcPr>
            <w:tcW w:w="8847" w:type="dxa"/>
            <w:gridSpan w:val="9"/>
            <w:vAlign w:val="center"/>
          </w:tcPr>
          <w:p w14:paraId="6C74C0A5">
            <w:pPr>
              <w:jc w:val="center"/>
            </w:pPr>
            <w:r>
              <w:rPr>
                <w:rFonts w:ascii="宋体" w:hAnsi="宋体" w:eastAsia="宋体"/>
                <w:sz w:val="24"/>
              </w:rPr>
              <w:t>单位整体支出绩效自评表</w:t>
            </w:r>
          </w:p>
        </w:tc>
      </w:tr>
      <w:tr w14:paraId="288A2401">
        <w:tblPrEx>
          <w:tblCellMar>
            <w:top w:w="0" w:type="dxa"/>
            <w:left w:w="108" w:type="dxa"/>
            <w:bottom w:w="0" w:type="dxa"/>
            <w:right w:w="108" w:type="dxa"/>
          </w:tblCellMar>
        </w:tblPrEx>
        <w:tc>
          <w:tcPr>
            <w:tcW w:w="8847" w:type="dxa"/>
            <w:gridSpan w:val="9"/>
            <w:vAlign w:val="center"/>
          </w:tcPr>
          <w:p w14:paraId="69E770EE">
            <w:pPr>
              <w:jc w:val="center"/>
            </w:pPr>
            <w:r>
              <w:rPr>
                <w:rFonts w:ascii="宋体" w:hAnsi="宋体" w:eastAsia="宋体"/>
                <w:sz w:val="24"/>
              </w:rPr>
              <w:t>（2024年度）</w:t>
            </w:r>
          </w:p>
        </w:tc>
      </w:tr>
      <w:tr w14:paraId="2EBED6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78C8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E0822F">
            <w:pPr>
              <w:jc w:val="center"/>
            </w:pPr>
            <w:r>
              <w:rPr>
                <w:rFonts w:ascii="宋体" w:hAnsi="宋体" w:eastAsia="宋体"/>
                <w:sz w:val="16"/>
              </w:rPr>
              <w:t>疏勒县人民医院</w:t>
            </w:r>
          </w:p>
        </w:tc>
      </w:tr>
      <w:tr w14:paraId="2B7DFD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92BB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C919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12A9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4B68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41D2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F14D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254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DEEA6">
            <w:pPr>
              <w:jc w:val="center"/>
            </w:pPr>
            <w:r>
              <w:rPr>
                <w:rFonts w:ascii="宋体" w:hAnsi="宋体" w:eastAsia="宋体"/>
                <w:sz w:val="16"/>
              </w:rPr>
              <w:t>得分</w:t>
            </w:r>
          </w:p>
        </w:tc>
      </w:tr>
      <w:tr w14:paraId="643AA3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837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39AF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5E9EE">
            <w:pPr>
              <w:jc w:val="center"/>
            </w:pPr>
            <w:r>
              <w:rPr>
                <w:rFonts w:ascii="宋体" w:hAnsi="宋体" w:eastAsia="宋体"/>
                <w:sz w:val="16"/>
              </w:rPr>
              <w:t>36,734.80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7B9BA">
            <w:pPr>
              <w:jc w:val="center"/>
            </w:pPr>
            <w:r>
              <w:rPr>
                <w:rFonts w:ascii="宋体" w:hAnsi="宋体" w:eastAsia="宋体"/>
                <w:sz w:val="16"/>
              </w:rPr>
              <w:t>39,550.42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60E67">
            <w:pPr>
              <w:jc w:val="center"/>
            </w:pPr>
            <w:r>
              <w:rPr>
                <w:rFonts w:ascii="宋体" w:hAnsi="宋体" w:eastAsia="宋体"/>
                <w:sz w:val="16"/>
              </w:rPr>
              <w:t>34,608.53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FEA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73E6A">
            <w:pPr>
              <w:jc w:val="center"/>
            </w:pPr>
            <w:r>
              <w:rPr>
                <w:rFonts w:ascii="宋体" w:hAnsi="宋体" w:eastAsia="宋体"/>
                <w:sz w:val="16"/>
              </w:rPr>
              <w:t>87.50%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BB649">
            <w:pPr>
              <w:jc w:val="center"/>
            </w:pPr>
            <w:r>
              <w:rPr>
                <w:rFonts w:ascii="宋体" w:hAnsi="宋体" w:eastAsia="宋体"/>
                <w:sz w:val="16"/>
              </w:rPr>
              <w:t>8.75</w:t>
            </w:r>
          </w:p>
        </w:tc>
      </w:tr>
      <w:tr w14:paraId="5B52C3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8A6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92CA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B96F3">
            <w:pPr>
              <w:jc w:val="center"/>
            </w:pPr>
            <w:r>
              <w:rPr>
                <w:rFonts w:ascii="宋体" w:hAnsi="宋体" w:eastAsia="宋体"/>
                <w:sz w:val="16"/>
              </w:rPr>
              <w:t>244.94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7F9BF">
            <w:pPr>
              <w:jc w:val="center"/>
            </w:pPr>
            <w:r>
              <w:rPr>
                <w:rFonts w:ascii="宋体" w:hAnsi="宋体" w:eastAsia="宋体"/>
                <w:sz w:val="16"/>
              </w:rPr>
              <w:t>608.95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15114">
            <w:pPr>
              <w:jc w:val="center"/>
            </w:pPr>
            <w:r>
              <w:rPr>
                <w:rFonts w:ascii="宋体" w:hAnsi="宋体" w:eastAsia="宋体"/>
                <w:sz w:val="16"/>
              </w:rPr>
              <w:t>608.95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D32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29E3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E2B10">
            <w:pPr>
              <w:jc w:val="center"/>
            </w:pPr>
            <w:r>
              <w:rPr>
                <w:rFonts w:ascii="宋体" w:hAnsi="宋体" w:eastAsia="宋体"/>
                <w:sz w:val="16"/>
              </w:rPr>
              <w:t>—</w:t>
            </w:r>
          </w:p>
        </w:tc>
      </w:tr>
      <w:tr w14:paraId="18F4FB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4C0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0EBF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62C48">
            <w:pPr>
              <w:jc w:val="center"/>
            </w:pPr>
            <w:r>
              <w:rPr>
                <w:rFonts w:ascii="宋体" w:hAnsi="宋体" w:eastAsia="宋体"/>
                <w:sz w:val="16"/>
              </w:rPr>
              <w:t>3,489.86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C5A4A">
            <w:pPr>
              <w:jc w:val="center"/>
            </w:pPr>
            <w:r>
              <w:rPr>
                <w:rFonts w:ascii="宋体" w:hAnsi="宋体" w:eastAsia="宋体"/>
                <w:sz w:val="16"/>
              </w:rPr>
              <w:t>4,202.97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2F661">
            <w:pPr>
              <w:jc w:val="center"/>
            </w:pPr>
            <w:r>
              <w:rPr>
                <w:rFonts w:ascii="宋体" w:hAnsi="宋体" w:eastAsia="宋体"/>
                <w:sz w:val="16"/>
              </w:rPr>
              <w:t>4,202.97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213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DCDB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67758">
            <w:pPr>
              <w:jc w:val="center"/>
            </w:pPr>
            <w:r>
              <w:rPr>
                <w:rFonts w:ascii="宋体" w:hAnsi="宋体" w:eastAsia="宋体"/>
                <w:sz w:val="16"/>
              </w:rPr>
              <w:t>—</w:t>
            </w:r>
          </w:p>
        </w:tc>
      </w:tr>
      <w:tr w14:paraId="5A6B92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9D3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F85F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6232">
            <w:pPr>
              <w:jc w:val="center"/>
            </w:pPr>
            <w:r>
              <w:rPr>
                <w:rFonts w:ascii="宋体" w:hAnsi="宋体" w:eastAsia="宋体"/>
                <w:sz w:val="16"/>
              </w:rPr>
              <w:t>33,000.00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9E2A7">
            <w:pPr>
              <w:jc w:val="center"/>
            </w:pPr>
            <w:r>
              <w:rPr>
                <w:rFonts w:ascii="宋体" w:hAnsi="宋体" w:eastAsia="宋体"/>
                <w:sz w:val="16"/>
              </w:rPr>
              <w:t>34,738.50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52175">
            <w:pPr>
              <w:jc w:val="center"/>
            </w:pPr>
            <w:r>
              <w:rPr>
                <w:rFonts w:ascii="宋体" w:hAnsi="宋体" w:eastAsia="宋体"/>
                <w:sz w:val="16"/>
              </w:rPr>
              <w:t>29,796.61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FB2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3AFA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4AF59">
            <w:pPr>
              <w:jc w:val="center"/>
            </w:pPr>
            <w:r>
              <w:rPr>
                <w:rFonts w:ascii="宋体" w:hAnsi="宋体" w:eastAsia="宋体"/>
                <w:sz w:val="16"/>
              </w:rPr>
              <w:t>—</w:t>
            </w:r>
          </w:p>
        </w:tc>
      </w:tr>
      <w:tr w14:paraId="2CD508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B17C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1C508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E2BE21">
            <w:pPr>
              <w:jc w:val="center"/>
            </w:pPr>
            <w:r>
              <w:rPr>
                <w:rFonts w:ascii="宋体" w:hAnsi="宋体" w:eastAsia="宋体"/>
                <w:sz w:val="16"/>
              </w:rPr>
              <w:t>实际完成情况</w:t>
            </w:r>
          </w:p>
        </w:tc>
      </w:tr>
      <w:tr w14:paraId="0268DD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590B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529DBF">
            <w:pPr>
              <w:jc w:val="both"/>
            </w:pPr>
            <w:r>
              <w:rPr>
                <w:rFonts w:ascii="宋体" w:hAnsi="宋体" w:eastAsia="宋体"/>
                <w:sz w:val="16"/>
              </w:rPr>
              <w:t>根据医院的总体安排部署，按照党建引领，文化塑造的工作思路，认真抓好全院职工的思路教育，学习习近平新时代中国特色社会主义思想及</w:t>
            </w:r>
            <w:r>
              <w:rPr>
                <w:rFonts w:hint="eastAsia" w:ascii="宋体" w:hAnsi="宋体"/>
                <w:sz w:val="16"/>
                <w:lang w:eastAsia="zh-CN"/>
              </w:rPr>
              <w:t>党的路线方针政策</w:t>
            </w:r>
            <w:r>
              <w:rPr>
                <w:rFonts w:ascii="宋体" w:hAnsi="宋体" w:eastAsia="宋体"/>
                <w:sz w:val="16"/>
              </w:rPr>
              <w:t>，尤其是卫健系统的各项文件及会议精神，提高全院职工的政治理论水平，紧紧围绕当前医院建设和高质量发展的工作要求，找准工会工作的切入点和着力点，使工会组织在医院改革、发展、稳定的大局中，在医院的三个文明建设中的作用发挥得更好。努力提升医疗服务能力，深化医院制度建设，紧紧把握公立医院改革方向，推进医联体与医共体建设，助力</w:t>
            </w:r>
            <w:r>
              <w:rPr>
                <w:rFonts w:hint="eastAsia" w:ascii="宋体" w:hAnsi="宋体"/>
                <w:sz w:val="16"/>
                <w:lang w:eastAsia="zh-CN"/>
              </w:rPr>
              <w:t>脱贫攻坚</w:t>
            </w:r>
            <w:r>
              <w:rPr>
                <w:rFonts w:ascii="宋体" w:hAnsi="宋体" w:eastAsia="宋体"/>
                <w:sz w:val="16"/>
              </w:rPr>
              <w:t>，履责社会，用爱心筑建信任，用责任构建口碑，让改革的成果惠及疏勒县及周边群众，努力开创医院跨越发展新局面。</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CF4C8B">
            <w:pPr>
              <w:jc w:val="both"/>
            </w:pPr>
            <w:r>
              <w:rPr>
                <w:rFonts w:ascii="宋体" w:hAnsi="宋体" w:eastAsia="宋体"/>
                <w:sz w:val="16"/>
              </w:rPr>
              <w:t>2024年，在县委、县政府的正确领导下，在山东省、东营市两级援疆工作指挥部的大力支持下，疏勒县人民医院依托“组团式”医疗援疆工作优势，全院上下同心协力，坚持以病人为中心，努力提升医疗服务能力，深化医院制度建设，用爱心筑建信任，用责任构建口碑，紧紧把握公立医院改革方向，完成《医疗管理制度》的全面修订工作，</w:t>
            </w:r>
            <w:r>
              <w:rPr>
                <w:rFonts w:hint="eastAsia" w:ascii="宋体" w:hAnsi="宋体"/>
                <w:sz w:val="16"/>
                <w:lang w:eastAsia="zh-CN"/>
              </w:rPr>
              <w:t>进一步</w:t>
            </w:r>
            <w:r>
              <w:rPr>
                <w:rFonts w:ascii="宋体" w:hAnsi="宋体" w:eastAsia="宋体"/>
                <w:sz w:val="16"/>
              </w:rPr>
              <w:t>完善临床学科体系，5月20日肾病风湿免疫内科正式开科，7月1日中医国医堂正式开诊，8月29日静脉用药调配中心正式启用，全年累计开展免费义诊32次，接待就诊人次3200人次，有效提高公众健康意识帮助公众了解健康知识，义诊活动通过免费体检和筛查，帮助居民早期发现潜在健康问题，及时干预和治疗，缓解看病难问题，通过义诊活动，能够提升我院的社会影响力和品牌形象，吸引更多患者，弘扬公益精神，助力“健康中国”战略实施；开展援疆大讲堂授课次数71次，有效提高我院医护人员专业知识和技能水平，提升医疗服务质量，培训帮助医务人员掌握标准化操作流程，减少医疗差错，提高服务规范性，促进人才队伍建设；病人诉求解决率100%,有效提高患者满意度和医院声誉，减少医疗纠纷与投诉，提高了医务人员工作效率，优化了医院的资源配置，增加了医院的收入</w:t>
            </w:r>
            <w:r>
              <w:rPr>
                <w:rFonts w:hint="eastAsia" w:ascii="宋体" w:hAnsi="宋体"/>
                <w:sz w:val="16"/>
                <w:lang w:eastAsia="zh-CN"/>
              </w:rPr>
              <w:t>，为</w:t>
            </w:r>
            <w:r>
              <w:rPr>
                <w:rFonts w:ascii="宋体" w:hAnsi="宋体" w:eastAsia="宋体"/>
                <w:sz w:val="16"/>
              </w:rPr>
              <w:t>医院长期发展奠定坚实基础；引进人才数量83人，有效提高医疗服务效率和质量，能够推动医院技术创新，提升治疗效果，增强科研能力，推动临床研究和基础医学研究的发展</w:t>
            </w:r>
            <w:r>
              <w:rPr>
                <w:rFonts w:hint="eastAsia" w:ascii="宋体" w:hAnsi="宋体"/>
                <w:sz w:val="16"/>
                <w:lang w:eastAsia="zh-CN"/>
              </w:rPr>
              <w:t>，</w:t>
            </w:r>
            <w:r>
              <w:rPr>
                <w:rFonts w:ascii="宋体" w:hAnsi="宋体" w:eastAsia="宋体"/>
                <w:sz w:val="16"/>
              </w:rPr>
              <w:t>医护人员到上级医院培训人数41人，有效提高医护人员的专业技能，上级医院通常拥有更先进的医疗设备和技术，医护人员通过培训能够学习到最新的诊疗方法和操作技能，拓宽专业视野，增强职业竞争力；拓展新技术新项目39项，有效提高医院的医疗质量与患者体验，提高疾病诊断准确率，减少患者痛苦、缩短康复周期，提升就医满意度，促进学科发展，新技术推动专科细分，形成特色专科优势，支撑医院申报重点学科、临床研究中心或科研项目让改革的成果惠及疏勒县及周边群众,努力开创医院跨越发展新局面。</w:t>
            </w:r>
          </w:p>
        </w:tc>
      </w:tr>
      <w:tr w14:paraId="6430CC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468E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D5FC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3D03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150A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5A11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2B9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3A12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F8D4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128A0">
            <w:pPr>
              <w:jc w:val="center"/>
            </w:pPr>
            <w:r>
              <w:rPr>
                <w:rFonts w:ascii="宋体" w:hAnsi="宋体" w:eastAsia="宋体"/>
                <w:sz w:val="16"/>
              </w:rPr>
              <w:t>得分</w:t>
            </w:r>
          </w:p>
        </w:tc>
      </w:tr>
      <w:tr w14:paraId="40FF95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3C56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CEDC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087DE">
            <w:pPr>
              <w:jc w:val="center"/>
            </w:pPr>
            <w:r>
              <w:rPr>
                <w:rFonts w:ascii="宋体" w:hAnsi="宋体" w:eastAsia="宋体"/>
                <w:sz w:val="16"/>
              </w:rPr>
              <w:t>开展健康直通车免费义诊次数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34417">
            <w:pPr>
              <w:jc w:val="center"/>
            </w:pPr>
            <w:r>
              <w:rPr>
                <w:rFonts w:ascii="宋体" w:hAnsi="宋体" w:eastAsia="宋体"/>
                <w:sz w:val="16"/>
              </w:rPr>
              <w:t>&gt;=32次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5B728">
            <w:pPr>
              <w:jc w:val="center"/>
            </w:pPr>
            <w:r>
              <w:rPr>
                <w:rFonts w:ascii="宋体" w:hAnsi="宋体" w:eastAsia="宋体"/>
                <w:sz w:val="16"/>
              </w:rPr>
              <w:t>2023年度工作总结和2024年度工作计划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C60B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F1662">
            <w:pPr>
              <w:jc w:val="center"/>
            </w:pPr>
            <w:r>
              <w:rPr>
                <w:rFonts w:ascii="宋体" w:hAnsi="宋体" w:eastAsia="宋体"/>
                <w:sz w:val="16"/>
              </w:rPr>
              <w:t>32次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313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A66E8">
            <w:pPr>
              <w:jc w:val="center"/>
            </w:pPr>
            <w:r>
              <w:rPr>
                <w:rFonts w:ascii="宋体" w:hAnsi="宋体" w:eastAsia="宋体"/>
                <w:sz w:val="16"/>
              </w:rPr>
              <w:t>20</w:t>
            </w:r>
          </w:p>
        </w:tc>
      </w:tr>
      <w:tr w14:paraId="73C9EE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2C9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FCE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17349">
            <w:pPr>
              <w:jc w:val="center"/>
            </w:pPr>
            <w:r>
              <w:rPr>
                <w:rFonts w:ascii="宋体" w:hAnsi="宋体" w:eastAsia="宋体"/>
                <w:sz w:val="16"/>
              </w:rPr>
              <w:t>援疆专家业务授课次数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F3BDD">
            <w:pPr>
              <w:jc w:val="center"/>
            </w:pPr>
            <w:r>
              <w:rPr>
                <w:rFonts w:ascii="宋体" w:hAnsi="宋体" w:eastAsia="宋体"/>
                <w:sz w:val="16"/>
              </w:rPr>
              <w:t>&gt;=71次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E639A">
            <w:pPr>
              <w:jc w:val="center"/>
            </w:pPr>
            <w:r>
              <w:rPr>
                <w:rFonts w:ascii="宋体" w:hAnsi="宋体" w:eastAsia="宋体"/>
                <w:sz w:val="16"/>
              </w:rPr>
              <w:t>2023年度工作总结和2024年度工作计划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A965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EC60A">
            <w:pPr>
              <w:jc w:val="center"/>
            </w:pPr>
            <w:r>
              <w:rPr>
                <w:rFonts w:ascii="宋体" w:hAnsi="宋体" w:eastAsia="宋体"/>
                <w:sz w:val="16"/>
              </w:rPr>
              <w:t>71次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E77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693E2">
            <w:pPr>
              <w:jc w:val="center"/>
            </w:pPr>
            <w:r>
              <w:rPr>
                <w:rFonts w:ascii="宋体" w:hAnsi="宋体" w:eastAsia="宋体"/>
                <w:sz w:val="16"/>
              </w:rPr>
              <w:t>20</w:t>
            </w:r>
          </w:p>
        </w:tc>
      </w:tr>
      <w:tr w14:paraId="10C3B3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BB6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DC0A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843C5">
            <w:pPr>
              <w:jc w:val="center"/>
            </w:pPr>
            <w:r>
              <w:rPr>
                <w:rFonts w:ascii="宋体" w:hAnsi="宋体" w:eastAsia="宋体"/>
                <w:sz w:val="16"/>
              </w:rPr>
              <w:t>病人诉求解决率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5DD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2DB09">
            <w:pPr>
              <w:jc w:val="center"/>
            </w:pPr>
            <w:r>
              <w:rPr>
                <w:rFonts w:ascii="宋体" w:hAnsi="宋体" w:eastAsia="宋体"/>
                <w:sz w:val="16"/>
              </w:rPr>
              <w:t>2023年度工作总结和2024年度工作计划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B6D1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693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8F0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10D65">
            <w:pPr>
              <w:jc w:val="center"/>
            </w:pPr>
            <w:r>
              <w:rPr>
                <w:rFonts w:ascii="宋体" w:hAnsi="宋体" w:eastAsia="宋体"/>
                <w:sz w:val="16"/>
              </w:rPr>
              <w:t>15</w:t>
            </w:r>
          </w:p>
        </w:tc>
      </w:tr>
      <w:tr w14:paraId="68D785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D8D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EB8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35099">
            <w:pPr>
              <w:jc w:val="center"/>
            </w:pPr>
            <w:r>
              <w:rPr>
                <w:rFonts w:ascii="宋体" w:hAnsi="宋体" w:eastAsia="宋体"/>
                <w:sz w:val="16"/>
              </w:rPr>
              <w:t>引进人才数量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F191E">
            <w:pPr>
              <w:jc w:val="center"/>
            </w:pPr>
            <w:r>
              <w:rPr>
                <w:rFonts w:ascii="宋体" w:hAnsi="宋体" w:eastAsia="宋体"/>
                <w:sz w:val="16"/>
              </w:rPr>
              <w:t>&gt;=83人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DB5B4">
            <w:pPr>
              <w:jc w:val="center"/>
            </w:pPr>
            <w:r>
              <w:rPr>
                <w:rFonts w:ascii="宋体" w:hAnsi="宋体" w:eastAsia="宋体"/>
                <w:sz w:val="16"/>
              </w:rPr>
              <w:t>2023年度工作总结和2024年度工作计划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7263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54D01">
            <w:pPr>
              <w:jc w:val="center"/>
            </w:pPr>
            <w:r>
              <w:rPr>
                <w:rFonts w:ascii="宋体" w:hAnsi="宋体" w:eastAsia="宋体"/>
                <w:sz w:val="16"/>
              </w:rPr>
              <w:t>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911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6C335">
            <w:pPr>
              <w:jc w:val="center"/>
            </w:pPr>
            <w:r>
              <w:rPr>
                <w:rFonts w:ascii="宋体" w:hAnsi="宋体" w:eastAsia="宋体"/>
                <w:sz w:val="16"/>
              </w:rPr>
              <w:t>15</w:t>
            </w:r>
          </w:p>
        </w:tc>
      </w:tr>
      <w:tr w14:paraId="5ACEFD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76B4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0440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2CA39">
            <w:pPr>
              <w:jc w:val="center"/>
            </w:pPr>
            <w:r>
              <w:rPr>
                <w:rFonts w:ascii="宋体" w:hAnsi="宋体" w:eastAsia="宋体"/>
                <w:sz w:val="16"/>
              </w:rPr>
              <w:t>医护人员到上级医院培训人数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9FECC">
            <w:pPr>
              <w:jc w:val="center"/>
            </w:pPr>
            <w:r>
              <w:rPr>
                <w:rFonts w:ascii="宋体" w:hAnsi="宋体" w:eastAsia="宋体"/>
                <w:sz w:val="16"/>
              </w:rPr>
              <w:t>&gt;=41人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332D9">
            <w:pPr>
              <w:jc w:val="center"/>
            </w:pPr>
            <w:r>
              <w:rPr>
                <w:rFonts w:ascii="宋体" w:hAnsi="宋体" w:eastAsia="宋体"/>
                <w:sz w:val="16"/>
              </w:rPr>
              <w:t>2023年度工作总结和2024年度工作计划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4A5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42C15">
            <w:pPr>
              <w:jc w:val="center"/>
            </w:pPr>
            <w:r>
              <w:rPr>
                <w:rFonts w:ascii="宋体" w:hAnsi="宋体" w:eastAsia="宋体"/>
                <w:sz w:val="16"/>
              </w:rPr>
              <w:t>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929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181D5">
            <w:pPr>
              <w:jc w:val="center"/>
            </w:pPr>
            <w:r>
              <w:rPr>
                <w:rFonts w:ascii="宋体" w:hAnsi="宋体" w:eastAsia="宋体"/>
                <w:sz w:val="16"/>
              </w:rPr>
              <w:t>10</w:t>
            </w:r>
          </w:p>
        </w:tc>
      </w:tr>
      <w:tr w14:paraId="71B6B7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AD0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65A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C012">
            <w:pPr>
              <w:jc w:val="center"/>
            </w:pPr>
            <w:r>
              <w:rPr>
                <w:rFonts w:ascii="宋体" w:hAnsi="宋体" w:eastAsia="宋体"/>
                <w:sz w:val="16"/>
              </w:rPr>
              <w:t>拓展新技术新项目个数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B0B4F">
            <w:pPr>
              <w:jc w:val="center"/>
            </w:pPr>
            <w:r>
              <w:rPr>
                <w:rFonts w:ascii="宋体" w:hAnsi="宋体" w:eastAsia="宋体"/>
                <w:sz w:val="16"/>
              </w:rPr>
              <w:t>&gt;=39余项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D8580">
            <w:pPr>
              <w:jc w:val="center"/>
            </w:pPr>
            <w:r>
              <w:rPr>
                <w:rFonts w:ascii="宋体" w:hAnsi="宋体" w:eastAsia="宋体"/>
                <w:sz w:val="16"/>
              </w:rPr>
              <w:t>2023年度工作总结和2024年度工作计划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A5A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EC5AE">
            <w:pPr>
              <w:jc w:val="center"/>
            </w:pPr>
            <w:r>
              <w:rPr>
                <w:rFonts w:ascii="宋体" w:hAnsi="宋体" w:eastAsia="宋体"/>
                <w:sz w:val="16"/>
              </w:rPr>
              <w:t>39余项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EC8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3F383">
            <w:pPr>
              <w:jc w:val="center"/>
            </w:pPr>
            <w:r>
              <w:rPr>
                <w:rFonts w:ascii="宋体" w:hAnsi="宋体" w:eastAsia="宋体"/>
                <w:sz w:val="16"/>
              </w:rPr>
              <w:t>10</w:t>
            </w:r>
          </w:p>
        </w:tc>
      </w:tr>
    </w:tbl>
    <w:p w14:paraId="0500902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5"/>
        <w:gridCol w:w="626"/>
        <w:gridCol w:w="628"/>
        <w:gridCol w:w="626"/>
        <w:gridCol w:w="626"/>
        <w:gridCol w:w="776"/>
        <w:gridCol w:w="632"/>
        <w:gridCol w:w="618"/>
        <w:gridCol w:w="632"/>
      </w:tblGrid>
      <w:tr w14:paraId="32AD5C53">
        <w:tc>
          <w:tcPr>
            <w:tcW w:w="8848" w:type="dxa"/>
            <w:gridSpan w:val="14"/>
            <w:vAlign w:val="center"/>
          </w:tcPr>
          <w:p w14:paraId="7DB737CA">
            <w:pPr>
              <w:jc w:val="center"/>
            </w:pPr>
            <w:r>
              <w:rPr>
                <w:rFonts w:ascii="宋体" w:hAnsi="宋体" w:eastAsia="宋体"/>
                <w:sz w:val="24"/>
              </w:rPr>
              <w:t>项目支出绩效自评表</w:t>
            </w:r>
          </w:p>
        </w:tc>
      </w:tr>
      <w:tr w14:paraId="6B246A8F">
        <w:tblPrEx>
          <w:tblCellMar>
            <w:top w:w="0" w:type="dxa"/>
            <w:left w:w="108" w:type="dxa"/>
            <w:bottom w:w="0" w:type="dxa"/>
            <w:right w:w="108" w:type="dxa"/>
          </w:tblCellMar>
        </w:tblPrEx>
        <w:tc>
          <w:tcPr>
            <w:tcW w:w="8848" w:type="dxa"/>
            <w:gridSpan w:val="14"/>
            <w:vAlign w:val="center"/>
          </w:tcPr>
          <w:p w14:paraId="764452A3">
            <w:pPr>
              <w:jc w:val="center"/>
            </w:pPr>
            <w:r>
              <w:rPr>
                <w:rFonts w:ascii="宋体" w:hAnsi="宋体" w:eastAsia="宋体"/>
                <w:sz w:val="24"/>
              </w:rPr>
              <w:t>(2024年度)</w:t>
            </w:r>
          </w:p>
        </w:tc>
      </w:tr>
      <w:tr w14:paraId="35FD45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BC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9DE2AF">
            <w:pPr>
              <w:jc w:val="center"/>
            </w:pPr>
            <w:r>
              <w:rPr>
                <w:rFonts w:ascii="宋体" w:hAnsi="宋体" w:eastAsia="宋体"/>
                <w:sz w:val="16"/>
              </w:rPr>
              <w:t>2023年疏勒县</w:t>
            </w:r>
            <w:r>
              <w:rPr>
                <w:rFonts w:hint="eastAsia" w:ascii="宋体" w:hAnsi="宋体"/>
                <w:sz w:val="16"/>
                <w:lang w:eastAsia="zh-CN"/>
              </w:rPr>
              <w:t>铸牢中华民族共同体意识</w:t>
            </w:r>
            <w:r>
              <w:rPr>
                <w:rFonts w:ascii="宋体" w:hAnsi="宋体" w:eastAsia="宋体"/>
                <w:sz w:val="16"/>
              </w:rPr>
              <w:t>交往交流交融项目</w:t>
            </w:r>
          </w:p>
        </w:tc>
      </w:tr>
      <w:tr w14:paraId="7AC70F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DC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92FAC">
            <w:pPr>
              <w:jc w:val="center"/>
            </w:pPr>
            <w:r>
              <w:rPr>
                <w:rFonts w:ascii="宋体" w:hAnsi="宋体" w:eastAsia="宋体"/>
                <w:sz w:val="16"/>
              </w:rPr>
              <w:t>疏勒县人民医院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E3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DC6E35">
            <w:pPr>
              <w:jc w:val="center"/>
            </w:pPr>
            <w:r>
              <w:rPr>
                <w:rFonts w:ascii="宋体" w:hAnsi="宋体" w:eastAsia="宋体"/>
                <w:sz w:val="16"/>
              </w:rPr>
              <w:t>疏勒县人民医院</w:t>
            </w:r>
          </w:p>
        </w:tc>
      </w:tr>
      <w:tr w14:paraId="43727A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978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D0F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952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6C5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77C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BD8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59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5F6E">
            <w:pPr>
              <w:jc w:val="center"/>
            </w:pPr>
            <w:r>
              <w:rPr>
                <w:rFonts w:ascii="宋体" w:hAnsi="宋体" w:eastAsia="宋体"/>
                <w:sz w:val="16"/>
              </w:rPr>
              <w:t>得分</w:t>
            </w:r>
          </w:p>
        </w:tc>
      </w:tr>
      <w:tr w14:paraId="7DA7D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103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DC0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250B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DBC9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DF8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C00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607B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62A3">
            <w:pPr>
              <w:jc w:val="center"/>
            </w:pPr>
            <w:r>
              <w:rPr>
                <w:rFonts w:ascii="宋体" w:hAnsi="宋体" w:eastAsia="宋体"/>
                <w:sz w:val="16"/>
              </w:rPr>
              <w:t>10.00分</w:t>
            </w:r>
          </w:p>
        </w:tc>
      </w:tr>
      <w:tr w14:paraId="791D8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377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046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84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EC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F8F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A6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89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ED07">
            <w:pPr>
              <w:jc w:val="center"/>
            </w:pPr>
            <w:r>
              <w:rPr>
                <w:rFonts w:ascii="宋体" w:hAnsi="宋体" w:eastAsia="宋体"/>
                <w:sz w:val="16"/>
              </w:rPr>
              <w:t>—</w:t>
            </w:r>
          </w:p>
        </w:tc>
      </w:tr>
      <w:tr w14:paraId="59091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8A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02A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AB95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0966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DB52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DA3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584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4DAE">
            <w:pPr>
              <w:jc w:val="center"/>
            </w:pPr>
            <w:r>
              <w:rPr>
                <w:rFonts w:ascii="宋体" w:hAnsi="宋体" w:eastAsia="宋体"/>
                <w:sz w:val="16"/>
              </w:rPr>
              <w:t>—</w:t>
            </w:r>
          </w:p>
        </w:tc>
      </w:tr>
      <w:tr w14:paraId="2B811E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D34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E07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0E0821">
            <w:pPr>
              <w:jc w:val="center"/>
            </w:pPr>
            <w:r>
              <w:rPr>
                <w:rFonts w:ascii="宋体" w:hAnsi="宋体" w:eastAsia="宋体"/>
                <w:sz w:val="16"/>
              </w:rPr>
              <w:t>实际完成情况</w:t>
            </w:r>
          </w:p>
        </w:tc>
      </w:tr>
      <w:tr w14:paraId="1FFB2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96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2F5AD">
            <w:pPr>
              <w:jc w:val="both"/>
            </w:pPr>
            <w:r>
              <w:rPr>
                <w:rFonts w:ascii="宋体" w:hAnsi="宋体" w:eastAsia="宋体"/>
                <w:sz w:val="16"/>
              </w:rPr>
              <w:t>项目投资2024年12月31日，对9所学校的学生进行窝沟封闭牙10000颗，通过项目实施普及口腔疾病的健康素养基本知识与技能，加强健康教育和健康促进能力建设，逐步提高我区居民口腔健康素养水平，有效降低儿童恒牙龋病患病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C15A2C">
            <w:pPr>
              <w:jc w:val="both"/>
            </w:pPr>
            <w:r>
              <w:rPr>
                <w:rFonts w:hint="eastAsia" w:ascii="宋体" w:hAnsi="宋体"/>
                <w:sz w:val="16"/>
                <w:lang w:eastAsia="zh-CN"/>
              </w:rPr>
              <w:t>截至2024</w:t>
            </w:r>
            <w:r>
              <w:rPr>
                <w:rFonts w:ascii="宋体" w:hAnsi="宋体" w:eastAsia="宋体"/>
                <w:sz w:val="16"/>
              </w:rPr>
              <w:t>年12月31日，项目实际支出50万元，对9所学校的学生进行窝沟封闭牙10000颗，通过项目实施普及口腔疾病的健康素养基本知识与技能，加强健康教育和健康促进能力建设，降低了儿童恒牙患龋率，提高了我县居民的口腔健康保健知识，帮助了更多患者解除疾苦。</w:t>
            </w:r>
          </w:p>
        </w:tc>
      </w:tr>
      <w:tr w14:paraId="5BC999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025F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3D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0E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1B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B1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C8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4F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C1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69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11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BC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D5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3E724">
            <w:pPr>
              <w:jc w:val="center"/>
            </w:pPr>
            <w:r>
              <w:rPr>
                <w:rFonts w:ascii="宋体" w:hAnsi="宋体" w:eastAsia="宋体"/>
                <w:sz w:val="16"/>
              </w:rPr>
              <w:t>偏差原因分析及改进措施</w:t>
            </w:r>
          </w:p>
        </w:tc>
      </w:tr>
      <w:tr w14:paraId="2540E4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832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024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614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3B24">
            <w:pPr>
              <w:jc w:val="center"/>
            </w:pPr>
            <w:r>
              <w:rPr>
                <w:rFonts w:ascii="宋体" w:hAnsi="宋体" w:eastAsia="宋体"/>
                <w:sz w:val="16"/>
              </w:rPr>
              <w:t>覆盖学校数量（个）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B948">
            <w:pPr>
              <w:jc w:val="center"/>
            </w:pPr>
            <w:r>
              <w:rPr>
                <w:rFonts w:ascii="宋体" w:hAnsi="宋体" w:eastAsia="宋体"/>
                <w:sz w:val="16"/>
              </w:rPr>
              <w:t>=9所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88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7F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F2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4D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50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131C">
            <w:pPr>
              <w:jc w:val="center"/>
            </w:pPr>
            <w:r>
              <w:rPr>
                <w:rFonts w:ascii="宋体" w:hAnsi="宋体" w:eastAsia="宋体"/>
                <w:sz w:val="16"/>
              </w:rPr>
              <w:t>=9所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5F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E129F">
            <w:pPr>
              <w:jc w:val="center"/>
            </w:pPr>
          </w:p>
        </w:tc>
      </w:tr>
      <w:tr w14:paraId="04E35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10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A8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6C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6D11">
            <w:pPr>
              <w:jc w:val="center"/>
            </w:pPr>
            <w:r>
              <w:rPr>
                <w:rFonts w:ascii="宋体" w:hAnsi="宋体" w:eastAsia="宋体"/>
                <w:sz w:val="16"/>
              </w:rPr>
              <w:t>窝沟封闭牙数（颗）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B482">
            <w:pPr>
              <w:jc w:val="center"/>
            </w:pPr>
            <w:r>
              <w:rPr>
                <w:rFonts w:ascii="宋体" w:hAnsi="宋体" w:eastAsia="宋体"/>
                <w:sz w:val="16"/>
              </w:rPr>
              <w:t>=10000颗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F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7D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C6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57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3B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3156">
            <w:pPr>
              <w:jc w:val="center"/>
            </w:pPr>
            <w:r>
              <w:rPr>
                <w:rFonts w:ascii="宋体" w:hAnsi="宋体" w:eastAsia="宋体"/>
                <w:sz w:val="16"/>
              </w:rPr>
              <w:t>=10000颗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A4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49C05">
            <w:pPr>
              <w:jc w:val="center"/>
            </w:pPr>
          </w:p>
        </w:tc>
      </w:tr>
      <w:tr w14:paraId="53CDD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22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D82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4E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D423">
            <w:pPr>
              <w:jc w:val="center"/>
            </w:pPr>
            <w:r>
              <w:rPr>
                <w:rFonts w:ascii="宋体" w:hAnsi="宋体" w:eastAsia="宋体"/>
                <w:sz w:val="16"/>
              </w:rPr>
              <w:t>窝沟封闭率（%）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9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0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27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8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7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15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5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D6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BFC9E">
            <w:pPr>
              <w:jc w:val="center"/>
            </w:pPr>
          </w:p>
        </w:tc>
      </w:tr>
      <w:tr w14:paraId="0541F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A0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84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31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610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0F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2B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3E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5C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48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D6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91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91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E5BA2">
            <w:pPr>
              <w:jc w:val="center"/>
            </w:pPr>
          </w:p>
        </w:tc>
      </w:tr>
      <w:tr w14:paraId="26240F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33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FF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39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22F2">
            <w:pPr>
              <w:jc w:val="center"/>
            </w:pPr>
            <w:r>
              <w:rPr>
                <w:rFonts w:ascii="宋体" w:hAnsi="宋体" w:eastAsia="宋体"/>
                <w:sz w:val="16"/>
              </w:rPr>
              <w:t>窝沟封闭牙单位成本（元/颗）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87CA">
            <w:pPr>
              <w:jc w:val="center"/>
            </w:pPr>
            <w:r>
              <w:rPr>
                <w:rFonts w:ascii="宋体" w:hAnsi="宋体" w:eastAsia="宋体"/>
                <w:sz w:val="16"/>
              </w:rPr>
              <w:t>=50元/颗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60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42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D3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1C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38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6904">
            <w:pPr>
              <w:jc w:val="center"/>
            </w:pPr>
            <w:r>
              <w:rPr>
                <w:rFonts w:ascii="宋体" w:hAnsi="宋体" w:eastAsia="宋体"/>
                <w:sz w:val="16"/>
              </w:rPr>
              <w:t>=50元/颗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130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1FF5E">
            <w:pPr>
              <w:jc w:val="center"/>
            </w:pPr>
          </w:p>
        </w:tc>
      </w:tr>
      <w:tr w14:paraId="6D648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6C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C2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BC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3917">
            <w:pPr>
              <w:jc w:val="center"/>
            </w:pPr>
            <w:r>
              <w:rPr>
                <w:rFonts w:ascii="宋体" w:hAnsi="宋体" w:eastAsia="宋体"/>
                <w:sz w:val="16"/>
              </w:rPr>
              <w:t>公立医院医疗服务能力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6334">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57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20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65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6D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92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96D7">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38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04979">
            <w:pPr>
              <w:jc w:val="center"/>
            </w:pPr>
          </w:p>
        </w:tc>
      </w:tr>
      <w:tr w14:paraId="59083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DF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6E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F9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BD3D">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49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D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AB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32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E0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7C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21DF">
            <w:pPr>
              <w:jc w:val="center"/>
            </w:pPr>
            <w:r>
              <w:rPr>
                <w:rFonts w:ascii="宋体" w:hAnsi="宋体" w:eastAsia="宋体"/>
                <w:sz w:val="16"/>
              </w:rPr>
              <w:t>=99.68%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1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D8FA">
            <w:pPr>
              <w:jc w:val="center"/>
            </w:pPr>
          </w:p>
        </w:tc>
      </w:tr>
      <w:tr w14:paraId="5F176F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0918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62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785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BAA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5BD923"/>
        </w:tc>
      </w:tr>
    </w:tbl>
    <w:p w14:paraId="1A5AEC8B">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616"/>
        <w:gridCol w:w="936"/>
        <w:gridCol w:w="609"/>
        <w:gridCol w:w="602"/>
        <w:gridCol w:w="614"/>
        <w:gridCol w:w="596"/>
        <w:gridCol w:w="603"/>
        <w:gridCol w:w="856"/>
        <w:gridCol w:w="632"/>
        <w:gridCol w:w="567"/>
        <w:gridCol w:w="633"/>
      </w:tblGrid>
      <w:tr w14:paraId="6BBEDB2C">
        <w:tc>
          <w:tcPr>
            <w:tcW w:w="8848" w:type="dxa"/>
            <w:gridSpan w:val="14"/>
            <w:vAlign w:val="center"/>
          </w:tcPr>
          <w:p w14:paraId="13C4F10E">
            <w:pPr>
              <w:jc w:val="center"/>
            </w:pPr>
            <w:r>
              <w:rPr>
                <w:rFonts w:ascii="宋体" w:hAnsi="宋体" w:eastAsia="宋体"/>
                <w:sz w:val="24"/>
              </w:rPr>
              <w:t>项目支出绩效自评表</w:t>
            </w:r>
          </w:p>
        </w:tc>
      </w:tr>
      <w:tr w14:paraId="14CDD5A6">
        <w:tblPrEx>
          <w:tblCellMar>
            <w:top w:w="0" w:type="dxa"/>
            <w:left w:w="108" w:type="dxa"/>
            <w:bottom w:w="0" w:type="dxa"/>
            <w:right w:w="108" w:type="dxa"/>
          </w:tblCellMar>
        </w:tblPrEx>
        <w:tc>
          <w:tcPr>
            <w:tcW w:w="8848" w:type="dxa"/>
            <w:gridSpan w:val="14"/>
            <w:vAlign w:val="center"/>
          </w:tcPr>
          <w:p w14:paraId="778CB0D8">
            <w:pPr>
              <w:jc w:val="center"/>
            </w:pPr>
            <w:r>
              <w:rPr>
                <w:rFonts w:ascii="宋体" w:hAnsi="宋体" w:eastAsia="宋体"/>
                <w:sz w:val="24"/>
              </w:rPr>
              <w:t>(2024年度)</w:t>
            </w:r>
          </w:p>
        </w:tc>
      </w:tr>
      <w:tr w14:paraId="4D2251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21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E73A8B">
            <w:pPr>
              <w:jc w:val="center"/>
            </w:pPr>
            <w:r>
              <w:rPr>
                <w:rFonts w:ascii="宋体" w:hAnsi="宋体" w:eastAsia="宋体"/>
                <w:sz w:val="16"/>
              </w:rPr>
              <w:t>2024年单位资金项目</w:t>
            </w:r>
          </w:p>
        </w:tc>
      </w:tr>
      <w:tr w14:paraId="76DFDF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16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162A8E">
            <w:pPr>
              <w:jc w:val="center"/>
            </w:pPr>
            <w:r>
              <w:rPr>
                <w:rFonts w:ascii="宋体" w:hAnsi="宋体" w:eastAsia="宋体"/>
                <w:sz w:val="16"/>
              </w:rPr>
              <w:t>疏勒县人民医院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B4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51326C">
            <w:pPr>
              <w:jc w:val="center"/>
            </w:pPr>
            <w:r>
              <w:rPr>
                <w:rFonts w:ascii="宋体" w:hAnsi="宋体" w:eastAsia="宋体"/>
                <w:sz w:val="16"/>
              </w:rPr>
              <w:t>疏勒县人民医院</w:t>
            </w:r>
          </w:p>
        </w:tc>
      </w:tr>
      <w:tr w14:paraId="3DB94C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A9D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721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E6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9CC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97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BBB4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03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B7A4">
            <w:pPr>
              <w:jc w:val="center"/>
            </w:pPr>
            <w:r>
              <w:rPr>
                <w:rFonts w:ascii="宋体" w:hAnsi="宋体" w:eastAsia="宋体"/>
                <w:sz w:val="16"/>
              </w:rPr>
              <w:t>得分</w:t>
            </w:r>
          </w:p>
        </w:tc>
      </w:tr>
      <w:tr w14:paraId="67468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34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3B1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E1EB3">
            <w:pPr>
              <w:jc w:val="center"/>
            </w:pPr>
            <w:r>
              <w:rPr>
                <w:rFonts w:ascii="宋体" w:hAnsi="宋体" w:eastAsia="宋体"/>
                <w:sz w:val="16"/>
              </w:rPr>
              <w:t>27,519.36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5E0A7">
            <w:pPr>
              <w:jc w:val="center"/>
            </w:pPr>
            <w:r>
              <w:rPr>
                <w:rFonts w:ascii="宋体" w:hAnsi="宋体" w:eastAsia="宋体"/>
                <w:sz w:val="16"/>
              </w:rPr>
              <w:t>17,779.69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C673C">
            <w:pPr>
              <w:jc w:val="center"/>
            </w:pPr>
            <w:r>
              <w:rPr>
                <w:rFonts w:ascii="宋体" w:hAnsi="宋体" w:eastAsia="宋体"/>
                <w:sz w:val="16"/>
              </w:rPr>
              <w:t>17,779.69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7C4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359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E25C">
            <w:pPr>
              <w:jc w:val="center"/>
            </w:pPr>
            <w:r>
              <w:rPr>
                <w:rFonts w:ascii="宋体" w:hAnsi="宋体" w:eastAsia="宋体"/>
                <w:sz w:val="16"/>
              </w:rPr>
              <w:t>10.00分</w:t>
            </w:r>
          </w:p>
        </w:tc>
      </w:tr>
      <w:tr w14:paraId="3DE17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8A6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521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8AC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4AF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326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061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BEE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7FD9">
            <w:pPr>
              <w:jc w:val="center"/>
            </w:pPr>
            <w:r>
              <w:rPr>
                <w:rFonts w:ascii="宋体" w:hAnsi="宋体" w:eastAsia="宋体"/>
                <w:sz w:val="16"/>
              </w:rPr>
              <w:t>—</w:t>
            </w:r>
          </w:p>
        </w:tc>
      </w:tr>
      <w:tr w14:paraId="7C4D8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151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227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0C4F">
            <w:pPr>
              <w:jc w:val="center"/>
            </w:pPr>
            <w:r>
              <w:rPr>
                <w:rFonts w:ascii="宋体" w:hAnsi="宋体" w:eastAsia="宋体"/>
                <w:sz w:val="16"/>
              </w:rPr>
              <w:t>27,519.36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35352">
            <w:pPr>
              <w:jc w:val="center"/>
            </w:pPr>
            <w:r>
              <w:rPr>
                <w:rFonts w:ascii="宋体" w:hAnsi="宋体" w:eastAsia="宋体"/>
                <w:sz w:val="16"/>
              </w:rPr>
              <w:t>17,779.69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B6D2E">
            <w:pPr>
              <w:jc w:val="center"/>
            </w:pPr>
            <w:r>
              <w:rPr>
                <w:rFonts w:ascii="宋体" w:hAnsi="宋体" w:eastAsia="宋体"/>
                <w:sz w:val="16"/>
              </w:rPr>
              <w:t>17,779.69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153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D55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B987">
            <w:pPr>
              <w:jc w:val="center"/>
            </w:pPr>
            <w:r>
              <w:rPr>
                <w:rFonts w:ascii="宋体" w:hAnsi="宋体" w:eastAsia="宋体"/>
                <w:sz w:val="16"/>
              </w:rPr>
              <w:t>—</w:t>
            </w:r>
          </w:p>
        </w:tc>
      </w:tr>
      <w:tr w14:paraId="18F25A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4AC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FA40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FDD150">
            <w:pPr>
              <w:jc w:val="center"/>
            </w:pPr>
            <w:r>
              <w:rPr>
                <w:rFonts w:ascii="宋体" w:hAnsi="宋体" w:eastAsia="宋体"/>
                <w:sz w:val="16"/>
              </w:rPr>
              <w:t>实际完成情况</w:t>
            </w:r>
          </w:p>
        </w:tc>
      </w:tr>
      <w:tr w14:paraId="58118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395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5070A2">
            <w:pPr>
              <w:jc w:val="both"/>
            </w:pPr>
            <w:r>
              <w:rPr>
                <w:rFonts w:ascii="宋体" w:hAnsi="宋体" w:eastAsia="宋体"/>
                <w:sz w:val="16"/>
              </w:rPr>
              <w:t>项目计划投资总额为17779.69万元，主要实施内容为疏勒县人民医院聘用人员、临聘人员724人工资，购置4套医疗设备，预计项目实施后，明显提高公立医院医疗服务能力，明显提升公立医院应对突发公共卫生事件能力，医护人员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18905">
            <w:pPr>
              <w:jc w:val="both"/>
            </w:pPr>
            <w:r>
              <w:rPr>
                <w:rFonts w:hint="eastAsia" w:ascii="宋体" w:hAnsi="宋体"/>
                <w:sz w:val="16"/>
                <w:lang w:eastAsia="zh-CN"/>
              </w:rPr>
              <w:t>截至2024</w:t>
            </w:r>
            <w:r>
              <w:rPr>
                <w:rFonts w:ascii="宋体" w:hAnsi="宋体" w:eastAsia="宋体"/>
                <w:sz w:val="16"/>
              </w:rPr>
              <w:t>年12月25日，项目计划投资总额为17779.69万元，主要实施内容为疏勒县人民医院聘用人员、临聘人员724人工资，购置4套医疗设备，项目实施后，公立医院医疗服务能力明显提高，公立医院应对突发公共卫生事件能力明显提升，医护人员满意度达99%。</w:t>
            </w:r>
          </w:p>
        </w:tc>
      </w:tr>
      <w:tr w14:paraId="6FA270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B03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59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8A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2B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F2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1B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FD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EF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2A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24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7C8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D9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67280">
            <w:pPr>
              <w:jc w:val="center"/>
            </w:pPr>
            <w:r>
              <w:rPr>
                <w:rFonts w:ascii="宋体" w:hAnsi="宋体" w:eastAsia="宋体"/>
                <w:sz w:val="16"/>
              </w:rPr>
              <w:t>偏差原因分析及改进措施</w:t>
            </w:r>
          </w:p>
        </w:tc>
      </w:tr>
      <w:tr w14:paraId="6A1188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BE7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92C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13B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EBFB">
            <w:pPr>
              <w:jc w:val="center"/>
            </w:pPr>
            <w:r>
              <w:rPr>
                <w:rFonts w:ascii="宋体" w:hAnsi="宋体" w:eastAsia="宋体"/>
                <w:sz w:val="16"/>
              </w:rPr>
              <w:t>保障聘用人员、临聘人员人数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5DBC">
            <w:pPr>
              <w:jc w:val="center"/>
            </w:pPr>
            <w:r>
              <w:rPr>
                <w:rFonts w:ascii="宋体" w:hAnsi="宋体" w:eastAsia="宋体"/>
                <w:sz w:val="16"/>
              </w:rPr>
              <w:t>&gt;=724人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6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88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28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9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BC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220B">
            <w:pPr>
              <w:jc w:val="center"/>
            </w:pPr>
            <w:r>
              <w:rPr>
                <w:rFonts w:ascii="宋体" w:hAnsi="宋体" w:eastAsia="宋体"/>
                <w:sz w:val="16"/>
              </w:rPr>
              <w:t>=724人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95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707E4">
            <w:pPr>
              <w:jc w:val="center"/>
            </w:pPr>
          </w:p>
        </w:tc>
      </w:tr>
      <w:tr w14:paraId="1F0C4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78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4A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B0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EB04">
            <w:pPr>
              <w:jc w:val="center"/>
            </w:pPr>
            <w:r>
              <w:rPr>
                <w:rFonts w:ascii="宋体" w:hAnsi="宋体" w:eastAsia="宋体"/>
                <w:sz w:val="16"/>
              </w:rPr>
              <w:t>购买医疗设备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70C5">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05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67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F0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E7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88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69B7">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9D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51A0C">
            <w:pPr>
              <w:jc w:val="center"/>
            </w:pPr>
          </w:p>
        </w:tc>
      </w:tr>
      <w:tr w14:paraId="03BBE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E1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0F0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04F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74CF">
            <w:pPr>
              <w:jc w:val="center"/>
            </w:pPr>
            <w:r>
              <w:rPr>
                <w:rFonts w:ascii="宋体" w:hAnsi="宋体" w:eastAsia="宋体"/>
                <w:sz w:val="16"/>
              </w:rPr>
              <w:t>购买医疗设备验收合格率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7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6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E0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74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1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E6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6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C4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D95A8">
            <w:pPr>
              <w:jc w:val="center"/>
            </w:pPr>
          </w:p>
        </w:tc>
      </w:tr>
      <w:tr w14:paraId="11510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58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39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B1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88B7">
            <w:pPr>
              <w:jc w:val="center"/>
            </w:pPr>
            <w:r>
              <w:rPr>
                <w:rFonts w:ascii="宋体" w:hAnsi="宋体" w:eastAsia="宋体"/>
                <w:sz w:val="16"/>
              </w:rPr>
              <w:t>新技术新项目开展率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C3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7C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F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08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02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3F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F1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32D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FEE89">
            <w:pPr>
              <w:jc w:val="center"/>
            </w:pPr>
          </w:p>
        </w:tc>
      </w:tr>
      <w:tr w14:paraId="562A7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72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61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02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30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249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B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07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DC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0B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F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5EE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5C4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D6F0A">
            <w:pPr>
              <w:jc w:val="center"/>
            </w:pPr>
          </w:p>
        </w:tc>
      </w:tr>
      <w:tr w14:paraId="0B6CF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C76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067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FE2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2D29">
            <w:pPr>
              <w:jc w:val="center"/>
            </w:pPr>
            <w:r>
              <w:rPr>
                <w:rFonts w:ascii="宋体" w:hAnsi="宋体" w:eastAsia="宋体"/>
                <w:sz w:val="16"/>
              </w:rPr>
              <w:t>保障聘用人员、临聘人员工资支出成本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D86A">
            <w:pPr>
              <w:jc w:val="center"/>
            </w:pPr>
            <w:r>
              <w:rPr>
                <w:rFonts w:ascii="宋体" w:hAnsi="宋体" w:eastAsia="宋体"/>
                <w:sz w:val="16"/>
              </w:rPr>
              <w:t>&lt;=8024.76万元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87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25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4D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41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8B1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5782">
            <w:pPr>
              <w:jc w:val="center"/>
            </w:pPr>
            <w:r>
              <w:rPr>
                <w:rFonts w:ascii="宋体" w:hAnsi="宋体" w:eastAsia="宋体"/>
                <w:sz w:val="16"/>
              </w:rPr>
              <w:t>=8024.76万元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FD4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F43FA">
            <w:pPr>
              <w:jc w:val="center"/>
            </w:pPr>
          </w:p>
        </w:tc>
      </w:tr>
      <w:tr w14:paraId="2382E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1F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84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56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0CFC">
            <w:pPr>
              <w:jc w:val="center"/>
            </w:pPr>
            <w:r>
              <w:rPr>
                <w:rFonts w:ascii="宋体" w:hAnsi="宋体" w:eastAsia="宋体"/>
                <w:sz w:val="16"/>
              </w:rPr>
              <w:t>维修、维护费支出成本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F498">
            <w:pPr>
              <w:jc w:val="center"/>
            </w:pPr>
            <w:r>
              <w:rPr>
                <w:rFonts w:ascii="宋体" w:hAnsi="宋体" w:eastAsia="宋体"/>
                <w:sz w:val="16"/>
              </w:rPr>
              <w:t>&lt;=606.28万元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EC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D9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380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E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C46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52AA">
            <w:pPr>
              <w:jc w:val="center"/>
            </w:pPr>
            <w:r>
              <w:rPr>
                <w:rFonts w:ascii="宋体" w:hAnsi="宋体" w:eastAsia="宋体"/>
                <w:sz w:val="16"/>
              </w:rPr>
              <w:t>=606.28万元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D5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6FA8D">
            <w:pPr>
              <w:jc w:val="center"/>
            </w:pPr>
          </w:p>
        </w:tc>
      </w:tr>
      <w:tr w14:paraId="75E52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E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35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29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271D">
            <w:pPr>
              <w:jc w:val="center"/>
            </w:pPr>
            <w:r>
              <w:rPr>
                <w:rFonts w:ascii="宋体" w:hAnsi="宋体" w:eastAsia="宋体"/>
                <w:sz w:val="16"/>
              </w:rPr>
              <w:t>药品、卫材、办公物资采购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D3D1">
            <w:pPr>
              <w:jc w:val="center"/>
            </w:pPr>
            <w:r>
              <w:rPr>
                <w:rFonts w:ascii="宋体" w:hAnsi="宋体" w:eastAsia="宋体"/>
                <w:sz w:val="16"/>
              </w:rPr>
              <w:t>&lt;=8607.63万元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8B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95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EF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DA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FF0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6C54">
            <w:pPr>
              <w:jc w:val="center"/>
            </w:pPr>
            <w:r>
              <w:rPr>
                <w:rFonts w:ascii="宋体" w:hAnsi="宋体" w:eastAsia="宋体"/>
                <w:sz w:val="16"/>
              </w:rPr>
              <w:t>=8607.63万元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B87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6FE1C">
            <w:pPr>
              <w:jc w:val="center"/>
            </w:pPr>
          </w:p>
        </w:tc>
      </w:tr>
      <w:tr w14:paraId="233E7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AD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F5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1C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8F69">
            <w:pPr>
              <w:jc w:val="center"/>
            </w:pPr>
            <w:r>
              <w:rPr>
                <w:rFonts w:ascii="宋体" w:hAnsi="宋体" w:eastAsia="宋体"/>
                <w:sz w:val="16"/>
              </w:rPr>
              <w:t>保洁、绿化、租赁等其他支出成本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ED1E">
            <w:pPr>
              <w:jc w:val="center"/>
            </w:pPr>
            <w:r>
              <w:rPr>
                <w:rFonts w:ascii="宋体" w:hAnsi="宋体" w:eastAsia="宋体"/>
                <w:sz w:val="16"/>
              </w:rPr>
              <w:t>&lt;=436.49万元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94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2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F6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5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D39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BC8E">
            <w:pPr>
              <w:jc w:val="center"/>
            </w:pPr>
            <w:r>
              <w:rPr>
                <w:rFonts w:ascii="宋体" w:hAnsi="宋体" w:eastAsia="宋体"/>
                <w:sz w:val="16"/>
              </w:rPr>
              <w:t>=436.49万元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90B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37B65">
            <w:pPr>
              <w:jc w:val="center"/>
            </w:pPr>
          </w:p>
        </w:tc>
      </w:tr>
      <w:tr w14:paraId="29EDC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0F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E1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A3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8A3B">
            <w:pPr>
              <w:jc w:val="center"/>
            </w:pPr>
            <w:r>
              <w:rPr>
                <w:rFonts w:ascii="宋体" w:hAnsi="宋体" w:eastAsia="宋体"/>
                <w:sz w:val="16"/>
              </w:rPr>
              <w:t>专用设备购置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9E1A">
            <w:pPr>
              <w:jc w:val="center"/>
            </w:pPr>
            <w:r>
              <w:rPr>
                <w:rFonts w:ascii="宋体" w:hAnsi="宋体" w:eastAsia="宋体"/>
                <w:sz w:val="16"/>
              </w:rPr>
              <w:t>&lt;=104.53万元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70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BA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3C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1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785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CF06">
            <w:pPr>
              <w:jc w:val="center"/>
            </w:pPr>
            <w:r>
              <w:rPr>
                <w:rFonts w:ascii="宋体" w:hAnsi="宋体" w:eastAsia="宋体"/>
                <w:sz w:val="16"/>
              </w:rPr>
              <w:t>=104.53万元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A8F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86B0D">
            <w:pPr>
              <w:jc w:val="center"/>
            </w:pPr>
          </w:p>
        </w:tc>
      </w:tr>
      <w:tr w14:paraId="537B0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7B2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6BF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468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B6B3">
            <w:pPr>
              <w:jc w:val="center"/>
            </w:pPr>
            <w:r>
              <w:rPr>
                <w:rFonts w:ascii="宋体" w:hAnsi="宋体" w:eastAsia="宋体"/>
                <w:sz w:val="16"/>
              </w:rPr>
              <w:t>提高公立医院医疗服务能力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D5A9">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B8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8A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54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36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6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A809">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68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DFD6C">
            <w:pPr>
              <w:jc w:val="center"/>
            </w:pPr>
          </w:p>
        </w:tc>
      </w:tr>
      <w:tr w14:paraId="0DC99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C9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00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7A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A7DC">
            <w:pPr>
              <w:jc w:val="center"/>
            </w:pPr>
            <w:r>
              <w:rPr>
                <w:rFonts w:ascii="宋体" w:hAnsi="宋体" w:eastAsia="宋体"/>
                <w:sz w:val="16"/>
              </w:rPr>
              <w:t>提升公立医院应对</w:t>
            </w:r>
            <w:r>
              <w:rPr>
                <w:rFonts w:hint="eastAsia" w:ascii="宋体" w:hAnsi="宋体"/>
                <w:sz w:val="16"/>
                <w:lang w:eastAsia="zh-CN"/>
              </w:rPr>
              <w:t>突发公共卫生事件</w:t>
            </w:r>
            <w:r>
              <w:rPr>
                <w:rFonts w:ascii="宋体" w:hAnsi="宋体" w:eastAsia="宋体"/>
                <w:sz w:val="16"/>
              </w:rPr>
              <w:t>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44CF">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9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C6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BC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E7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5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5044">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1A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4D07">
            <w:pPr>
              <w:jc w:val="center"/>
            </w:pPr>
          </w:p>
        </w:tc>
      </w:tr>
      <w:tr w14:paraId="150C3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340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1A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F0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EB6F">
            <w:pPr>
              <w:jc w:val="center"/>
            </w:pPr>
            <w:r>
              <w:rPr>
                <w:rFonts w:ascii="宋体" w:hAnsi="宋体" w:eastAsia="宋体"/>
                <w:sz w:val="16"/>
              </w:rPr>
              <w:t>医护人员满意度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A6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F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2D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0A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94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D3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9365">
            <w:pPr>
              <w:jc w:val="center"/>
            </w:pPr>
            <w:r>
              <w:rPr>
                <w:rFonts w:ascii="宋体" w:hAnsi="宋体" w:eastAsia="宋体"/>
                <w:sz w:val="16"/>
              </w:rPr>
              <w:t>=99.13%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39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72263">
            <w:pPr>
              <w:jc w:val="center"/>
            </w:pPr>
            <w:r>
              <w:rPr>
                <w:rFonts w:ascii="宋体" w:hAnsi="宋体" w:eastAsia="宋体"/>
                <w:sz w:val="16"/>
              </w:rPr>
              <w:t>医护人员满意度99.13%，故存在4.35%偏差。</w:t>
            </w:r>
          </w:p>
        </w:tc>
      </w:tr>
      <w:tr w14:paraId="6D1E13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7DD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E50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2E5F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E0F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6E37C8"/>
        </w:tc>
      </w:tr>
    </w:tbl>
    <w:p w14:paraId="4715B96D">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96"/>
        <w:gridCol w:w="776"/>
        <w:gridCol w:w="616"/>
        <w:gridCol w:w="616"/>
        <w:gridCol w:w="621"/>
        <w:gridCol w:w="616"/>
        <w:gridCol w:w="616"/>
        <w:gridCol w:w="776"/>
        <w:gridCol w:w="632"/>
        <w:gridCol w:w="606"/>
        <w:gridCol w:w="632"/>
      </w:tblGrid>
      <w:tr w14:paraId="17FA18C8">
        <w:tblPrEx>
          <w:tblCellMar>
            <w:top w:w="0" w:type="dxa"/>
            <w:left w:w="108" w:type="dxa"/>
            <w:bottom w:w="0" w:type="dxa"/>
            <w:right w:w="108" w:type="dxa"/>
          </w:tblCellMar>
        </w:tblPrEx>
        <w:tc>
          <w:tcPr>
            <w:tcW w:w="8848" w:type="dxa"/>
            <w:gridSpan w:val="14"/>
            <w:vAlign w:val="center"/>
          </w:tcPr>
          <w:p w14:paraId="5D284000">
            <w:pPr>
              <w:jc w:val="center"/>
            </w:pPr>
            <w:r>
              <w:rPr>
                <w:rFonts w:ascii="宋体" w:hAnsi="宋体" w:eastAsia="宋体"/>
                <w:sz w:val="24"/>
              </w:rPr>
              <w:t>项目支出绩效自评表</w:t>
            </w:r>
          </w:p>
        </w:tc>
      </w:tr>
      <w:tr w14:paraId="0FAEC92D">
        <w:tblPrEx>
          <w:tblCellMar>
            <w:top w:w="0" w:type="dxa"/>
            <w:left w:w="108" w:type="dxa"/>
            <w:bottom w:w="0" w:type="dxa"/>
            <w:right w:w="108" w:type="dxa"/>
          </w:tblCellMar>
        </w:tblPrEx>
        <w:tc>
          <w:tcPr>
            <w:tcW w:w="8848" w:type="dxa"/>
            <w:gridSpan w:val="14"/>
            <w:vAlign w:val="center"/>
          </w:tcPr>
          <w:p w14:paraId="7B01211E">
            <w:pPr>
              <w:jc w:val="center"/>
            </w:pPr>
            <w:r>
              <w:rPr>
                <w:rFonts w:ascii="宋体" w:hAnsi="宋体" w:eastAsia="宋体"/>
                <w:sz w:val="24"/>
              </w:rPr>
              <w:t>(2024年度)</w:t>
            </w:r>
          </w:p>
        </w:tc>
      </w:tr>
      <w:tr w14:paraId="22E4A4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24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4B6F5F">
            <w:pPr>
              <w:jc w:val="center"/>
            </w:pPr>
            <w:r>
              <w:rPr>
                <w:rFonts w:ascii="宋体" w:hAnsi="宋体" w:eastAsia="宋体"/>
                <w:sz w:val="16"/>
              </w:rPr>
              <w:t>2024年疏勒县惠民医疗项目</w:t>
            </w:r>
          </w:p>
        </w:tc>
      </w:tr>
      <w:tr w14:paraId="002239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88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25C70B">
            <w:pPr>
              <w:jc w:val="center"/>
            </w:pPr>
            <w:r>
              <w:rPr>
                <w:rFonts w:ascii="宋体" w:hAnsi="宋体" w:eastAsia="宋体"/>
                <w:sz w:val="16"/>
              </w:rPr>
              <w:t>疏勒县人民医院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96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265DD7">
            <w:pPr>
              <w:jc w:val="center"/>
            </w:pPr>
            <w:r>
              <w:rPr>
                <w:rFonts w:ascii="宋体" w:hAnsi="宋体" w:eastAsia="宋体"/>
                <w:sz w:val="16"/>
              </w:rPr>
              <w:t>疏勒县人民医院</w:t>
            </w:r>
          </w:p>
        </w:tc>
      </w:tr>
      <w:tr w14:paraId="0044F0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F21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DA9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220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C1E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3B6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209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240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8CF5">
            <w:pPr>
              <w:jc w:val="center"/>
            </w:pPr>
            <w:r>
              <w:rPr>
                <w:rFonts w:ascii="宋体" w:hAnsi="宋体" w:eastAsia="宋体"/>
                <w:sz w:val="16"/>
              </w:rPr>
              <w:t>得分</w:t>
            </w:r>
          </w:p>
        </w:tc>
      </w:tr>
      <w:tr w14:paraId="6EE07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412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B2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C448">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84EBA">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B9F52">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65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C8C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802C">
            <w:pPr>
              <w:jc w:val="center"/>
            </w:pPr>
            <w:r>
              <w:rPr>
                <w:rFonts w:ascii="宋体" w:hAnsi="宋体" w:eastAsia="宋体"/>
                <w:sz w:val="16"/>
              </w:rPr>
              <w:t>10.00分</w:t>
            </w:r>
          </w:p>
        </w:tc>
      </w:tr>
      <w:tr w14:paraId="4F5CA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361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CD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CB0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C25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C42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DC3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F78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47EE">
            <w:pPr>
              <w:jc w:val="center"/>
            </w:pPr>
            <w:r>
              <w:rPr>
                <w:rFonts w:ascii="宋体" w:hAnsi="宋体" w:eastAsia="宋体"/>
                <w:sz w:val="16"/>
              </w:rPr>
              <w:t>—</w:t>
            </w:r>
          </w:p>
        </w:tc>
      </w:tr>
      <w:tr w14:paraId="631E9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C3F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42B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9DC70">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EEEF9">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18B98">
            <w:pPr>
              <w:jc w:val="center"/>
            </w:pPr>
            <w:r>
              <w:rPr>
                <w:rFonts w:ascii="宋体" w:hAnsi="宋体" w:eastAsia="宋体"/>
                <w:sz w:val="16"/>
              </w:rPr>
              <w:t>25.32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AF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EA1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7B7B">
            <w:pPr>
              <w:jc w:val="center"/>
            </w:pPr>
            <w:r>
              <w:rPr>
                <w:rFonts w:ascii="宋体" w:hAnsi="宋体" w:eastAsia="宋体"/>
                <w:sz w:val="16"/>
              </w:rPr>
              <w:t>—</w:t>
            </w:r>
          </w:p>
        </w:tc>
      </w:tr>
      <w:tr w14:paraId="622F2C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4A2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64A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0254C">
            <w:pPr>
              <w:jc w:val="center"/>
            </w:pPr>
            <w:r>
              <w:rPr>
                <w:rFonts w:ascii="宋体" w:hAnsi="宋体" w:eastAsia="宋体"/>
                <w:sz w:val="16"/>
              </w:rPr>
              <w:t>实际完成情况</w:t>
            </w:r>
          </w:p>
        </w:tc>
      </w:tr>
      <w:tr w14:paraId="357C7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094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643353">
            <w:pPr>
              <w:jc w:val="both"/>
            </w:pPr>
            <w:r>
              <w:rPr>
                <w:rFonts w:ascii="宋体" w:hAnsi="宋体" w:eastAsia="宋体"/>
                <w:sz w:val="16"/>
              </w:rPr>
              <w:t>项目计划投资25.32万元，对1个传染病分院434名结核病患者进行治疗，通过增强当地群众的传染病防治意识，重大疾病得到有效治疗，人民群众健康情况明显提升，防止因病返贫。</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571B63">
            <w:pPr>
              <w:jc w:val="both"/>
            </w:pPr>
            <w:bookmarkStart w:id="0" w:name="_GoBack"/>
            <w:r>
              <w:rPr>
                <w:rFonts w:hint="eastAsia" w:ascii="宋体" w:hAnsi="宋体"/>
                <w:sz w:val="16"/>
                <w:lang w:eastAsia="zh-CN"/>
              </w:rPr>
              <w:t>截至</w:t>
            </w:r>
            <w:bookmarkEnd w:id="0"/>
            <w:r>
              <w:rPr>
                <w:rFonts w:ascii="宋体" w:hAnsi="宋体" w:eastAsia="宋体"/>
                <w:sz w:val="16"/>
              </w:rPr>
              <w:t>2024年12月31日，项目实际支出25.32万元，已对1个传染病分院434名结核病患者进行免费治疗，增强了当地群众的传染病防治意识，重大疾病得到有效治疗，人民群众健康情况明显提升，有效防止了因病返贫。</w:t>
            </w:r>
          </w:p>
        </w:tc>
      </w:tr>
      <w:tr w14:paraId="01516E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7E4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D8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D3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45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13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F5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3D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20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18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D5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77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C8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86B9B">
            <w:pPr>
              <w:jc w:val="center"/>
            </w:pPr>
            <w:r>
              <w:rPr>
                <w:rFonts w:ascii="宋体" w:hAnsi="宋体" w:eastAsia="宋体"/>
                <w:sz w:val="16"/>
              </w:rPr>
              <w:t>偏差原因分析及改进措施</w:t>
            </w:r>
          </w:p>
        </w:tc>
      </w:tr>
      <w:tr w14:paraId="415324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938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E4F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35B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134C">
            <w:pPr>
              <w:jc w:val="center"/>
            </w:pPr>
            <w:r>
              <w:rPr>
                <w:rFonts w:ascii="宋体" w:hAnsi="宋体" w:eastAsia="宋体"/>
                <w:sz w:val="16"/>
              </w:rPr>
              <w:t>传染病分院数（个）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934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57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AD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16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8E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84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C8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01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2CAA4">
            <w:pPr>
              <w:jc w:val="center"/>
            </w:pPr>
          </w:p>
        </w:tc>
      </w:tr>
      <w:tr w14:paraId="30D2F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D6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88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D7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0388">
            <w:pPr>
              <w:jc w:val="center"/>
            </w:pPr>
            <w:r>
              <w:rPr>
                <w:rFonts w:ascii="宋体" w:hAnsi="宋体" w:eastAsia="宋体"/>
                <w:sz w:val="16"/>
              </w:rPr>
              <w:t>结核病患者治疗数量（例）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490F">
            <w:pPr>
              <w:jc w:val="center"/>
            </w:pPr>
            <w:r>
              <w:rPr>
                <w:rFonts w:ascii="宋体" w:hAnsi="宋体" w:eastAsia="宋体"/>
                <w:sz w:val="16"/>
              </w:rPr>
              <w:t>&gt;=434人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6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32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A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5D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AC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ED6C">
            <w:pPr>
              <w:jc w:val="center"/>
            </w:pPr>
            <w:r>
              <w:rPr>
                <w:rFonts w:ascii="宋体" w:hAnsi="宋体" w:eastAsia="宋体"/>
                <w:sz w:val="16"/>
              </w:rPr>
              <w:t>=434人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4D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635A7">
            <w:pPr>
              <w:jc w:val="center"/>
            </w:pPr>
          </w:p>
        </w:tc>
      </w:tr>
      <w:tr w14:paraId="3558D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7D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87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D0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AAF7">
            <w:pPr>
              <w:jc w:val="center"/>
            </w:pPr>
            <w:r>
              <w:rPr>
                <w:rFonts w:ascii="宋体" w:hAnsi="宋体" w:eastAsia="宋体"/>
                <w:sz w:val="16"/>
              </w:rPr>
              <w:t>受惠患者康复率（%）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B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6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19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BC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C5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7C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8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E0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E3B43">
            <w:pPr>
              <w:jc w:val="center"/>
            </w:pPr>
          </w:p>
        </w:tc>
      </w:tr>
      <w:tr w14:paraId="0B14D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B9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1B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2C0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32C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2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95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7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2F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8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C6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5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5F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738A">
            <w:pPr>
              <w:jc w:val="center"/>
            </w:pPr>
          </w:p>
        </w:tc>
      </w:tr>
      <w:tr w14:paraId="5D38C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17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EE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A3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4C3C">
            <w:pPr>
              <w:jc w:val="center"/>
            </w:pPr>
            <w:r>
              <w:rPr>
                <w:rFonts w:ascii="宋体" w:hAnsi="宋体" w:eastAsia="宋体"/>
                <w:sz w:val="16"/>
              </w:rPr>
              <w:t>结核病人员救治保障项目单位成本（元/人）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722A">
            <w:pPr>
              <w:jc w:val="center"/>
            </w:pPr>
            <w:r>
              <w:rPr>
                <w:rFonts w:ascii="宋体" w:hAnsi="宋体" w:eastAsia="宋体"/>
                <w:sz w:val="16"/>
              </w:rPr>
              <w:t>=583.41元/人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62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F0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38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0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10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7757">
            <w:pPr>
              <w:jc w:val="center"/>
            </w:pPr>
            <w:r>
              <w:rPr>
                <w:rFonts w:ascii="宋体" w:hAnsi="宋体" w:eastAsia="宋体"/>
                <w:sz w:val="16"/>
              </w:rPr>
              <w:t>=583.41元/人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47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9D1A6">
            <w:pPr>
              <w:jc w:val="center"/>
            </w:pPr>
          </w:p>
        </w:tc>
      </w:tr>
      <w:tr w14:paraId="12E04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A04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903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3325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394C">
            <w:pPr>
              <w:jc w:val="center"/>
            </w:pPr>
            <w:r>
              <w:rPr>
                <w:rFonts w:ascii="宋体" w:hAnsi="宋体" w:eastAsia="宋体"/>
                <w:sz w:val="16"/>
              </w:rPr>
              <w:t>公立医院医疗服务能力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BEF0">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A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6D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1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DA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A2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5E9A">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8D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6E72E">
            <w:pPr>
              <w:jc w:val="center"/>
            </w:pPr>
          </w:p>
        </w:tc>
      </w:tr>
      <w:tr w14:paraId="0074B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3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6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BF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8D03">
            <w:pPr>
              <w:jc w:val="center"/>
            </w:pPr>
            <w:r>
              <w:rPr>
                <w:rFonts w:ascii="宋体" w:hAnsi="宋体" w:eastAsia="宋体"/>
                <w:sz w:val="16"/>
              </w:rPr>
              <w:t>促进医疗惠民政策落实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8D1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B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40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7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2F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4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4B1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4A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52E9">
            <w:pPr>
              <w:jc w:val="center"/>
            </w:pPr>
          </w:p>
        </w:tc>
      </w:tr>
      <w:tr w14:paraId="76FAB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3D6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DE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A9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F9B0">
            <w:pPr>
              <w:jc w:val="center"/>
            </w:pPr>
            <w:r>
              <w:rPr>
                <w:rFonts w:ascii="宋体" w:hAnsi="宋体" w:eastAsia="宋体"/>
                <w:sz w:val="16"/>
              </w:rPr>
              <w:t>受益患者满意度（%）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04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40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9D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65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74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62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CBFA">
            <w:pPr>
              <w:jc w:val="center"/>
            </w:pPr>
            <w:r>
              <w:rPr>
                <w:rFonts w:ascii="宋体" w:hAnsi="宋体" w:eastAsia="宋体"/>
                <w:sz w:val="16"/>
              </w:rPr>
              <w:t>=99.49%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82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F85B3">
            <w:pPr>
              <w:jc w:val="center"/>
            </w:pPr>
            <w:r>
              <w:rPr>
                <w:rFonts w:ascii="宋体" w:hAnsi="宋体" w:eastAsia="宋体"/>
                <w:sz w:val="16"/>
              </w:rPr>
              <w:t>患者满意度99.49%，故存在4.72%偏差。</w:t>
            </w:r>
          </w:p>
        </w:tc>
      </w:tr>
      <w:tr w14:paraId="35AD378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AB3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07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E05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673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68701D"/>
        </w:tc>
      </w:tr>
    </w:tbl>
    <w:p w14:paraId="0A5FE3A1">
      <w:r>
        <w:br w:type="page"/>
      </w:r>
    </w:p>
    <w:p w14:paraId="6CD90B09">
      <w:pPr>
        <w:spacing w:line="640" w:lineRule="exact"/>
        <w:ind w:firstLine="640"/>
        <w:jc w:val="both"/>
        <w:outlineLvl w:val="2"/>
      </w:pPr>
      <w:r>
        <w:rPr>
          <w:rFonts w:ascii="黑体" w:hAnsi="黑体" w:eastAsia="黑体"/>
          <w:sz w:val="32"/>
        </w:rPr>
        <w:t>十二、其他需说明的事项</w:t>
      </w:r>
    </w:p>
    <w:p w14:paraId="562DE2F4">
      <w:pPr>
        <w:spacing w:line="580" w:lineRule="exact"/>
        <w:ind w:firstLine="640"/>
        <w:jc w:val="both"/>
      </w:pPr>
      <w:r>
        <w:rPr>
          <w:rFonts w:ascii="仿宋_GB2312" w:hAnsi="仿宋_GB2312" w:eastAsia="仿宋_GB2312"/>
          <w:b w:val="0"/>
          <w:sz w:val="32"/>
        </w:rPr>
        <w:t>本单位无其他需说明的事项。</w:t>
      </w:r>
    </w:p>
    <w:p w14:paraId="13407F86">
      <w:r>
        <w:br w:type="page"/>
      </w:r>
    </w:p>
    <w:p w14:paraId="73C6580E">
      <w:pPr>
        <w:spacing w:line="240" w:lineRule="auto"/>
        <w:jc w:val="center"/>
        <w:outlineLvl w:val="1"/>
      </w:pPr>
      <w:r>
        <w:rPr>
          <w:rFonts w:ascii="黑体" w:hAnsi="黑体" w:eastAsia="黑体"/>
          <w:sz w:val="32"/>
        </w:rPr>
        <w:t>第三部分 专业名词解释</w:t>
      </w:r>
    </w:p>
    <w:p w14:paraId="2331B31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FCE3F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E217C9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83372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67FDC5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B4CD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E7192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0ADBB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EBE34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B1C42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0476C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0501A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28635E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71C01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E1E70E">
      <w:r>
        <w:br w:type="page"/>
      </w:r>
    </w:p>
    <w:p w14:paraId="05C30B0A">
      <w:pPr>
        <w:spacing w:line="240" w:lineRule="auto"/>
        <w:jc w:val="center"/>
        <w:outlineLvl w:val="1"/>
      </w:pPr>
      <w:r>
        <w:rPr>
          <w:rFonts w:ascii="黑体" w:hAnsi="黑体" w:eastAsia="黑体"/>
          <w:sz w:val="32"/>
        </w:rPr>
        <w:t>第四部分 部门决算报表（见附表）</w:t>
      </w:r>
    </w:p>
    <w:p w14:paraId="75DD4AD7">
      <w:pPr>
        <w:spacing w:line="240" w:lineRule="auto"/>
        <w:ind w:firstLine="640"/>
        <w:jc w:val="both"/>
      </w:pPr>
      <w:r>
        <w:rPr>
          <w:rFonts w:ascii="仿宋_GB2312" w:hAnsi="仿宋_GB2312" w:eastAsia="仿宋_GB2312"/>
          <w:b w:val="0"/>
          <w:sz w:val="32"/>
        </w:rPr>
        <w:t>一、《收入支出决算总表》</w:t>
      </w:r>
    </w:p>
    <w:p w14:paraId="4D64300A">
      <w:pPr>
        <w:spacing w:line="240" w:lineRule="auto"/>
        <w:ind w:firstLine="640"/>
        <w:jc w:val="both"/>
      </w:pPr>
      <w:r>
        <w:rPr>
          <w:rFonts w:ascii="仿宋_GB2312" w:hAnsi="仿宋_GB2312" w:eastAsia="仿宋_GB2312"/>
          <w:b w:val="0"/>
          <w:sz w:val="32"/>
        </w:rPr>
        <w:t>二、《收入决算表》</w:t>
      </w:r>
    </w:p>
    <w:p w14:paraId="3E4F3B3D">
      <w:pPr>
        <w:spacing w:line="240" w:lineRule="auto"/>
        <w:ind w:firstLine="640"/>
        <w:jc w:val="both"/>
      </w:pPr>
      <w:r>
        <w:rPr>
          <w:rFonts w:ascii="仿宋_GB2312" w:hAnsi="仿宋_GB2312" w:eastAsia="仿宋_GB2312"/>
          <w:b w:val="0"/>
          <w:sz w:val="32"/>
        </w:rPr>
        <w:t>三、《支出决算表》</w:t>
      </w:r>
    </w:p>
    <w:p w14:paraId="384E8186">
      <w:pPr>
        <w:spacing w:line="240" w:lineRule="auto"/>
        <w:ind w:firstLine="640"/>
        <w:jc w:val="both"/>
      </w:pPr>
      <w:r>
        <w:rPr>
          <w:rFonts w:ascii="仿宋_GB2312" w:hAnsi="仿宋_GB2312" w:eastAsia="仿宋_GB2312"/>
          <w:b w:val="0"/>
          <w:sz w:val="32"/>
        </w:rPr>
        <w:t>四、《财政拨款收入支出决算总表》</w:t>
      </w:r>
    </w:p>
    <w:p w14:paraId="4620122E">
      <w:pPr>
        <w:spacing w:line="240" w:lineRule="auto"/>
        <w:ind w:firstLine="640"/>
        <w:jc w:val="both"/>
      </w:pPr>
      <w:r>
        <w:rPr>
          <w:rFonts w:ascii="仿宋_GB2312" w:hAnsi="仿宋_GB2312" w:eastAsia="仿宋_GB2312"/>
          <w:b w:val="0"/>
          <w:sz w:val="32"/>
        </w:rPr>
        <w:t>五、《一般公共预算财政拨款支出决算表》</w:t>
      </w:r>
    </w:p>
    <w:p w14:paraId="5AFD9CA1">
      <w:pPr>
        <w:spacing w:line="240" w:lineRule="auto"/>
        <w:ind w:firstLine="640"/>
        <w:jc w:val="both"/>
      </w:pPr>
      <w:r>
        <w:rPr>
          <w:rFonts w:ascii="仿宋_GB2312" w:hAnsi="仿宋_GB2312" w:eastAsia="仿宋_GB2312"/>
          <w:b w:val="0"/>
          <w:sz w:val="32"/>
        </w:rPr>
        <w:t>六、《一般公共预算财政拨款基本支出决算表》</w:t>
      </w:r>
    </w:p>
    <w:p w14:paraId="3D9ECB01">
      <w:pPr>
        <w:spacing w:line="240" w:lineRule="auto"/>
        <w:ind w:firstLine="640"/>
        <w:jc w:val="both"/>
      </w:pPr>
      <w:r>
        <w:rPr>
          <w:rFonts w:ascii="仿宋_GB2312" w:hAnsi="仿宋_GB2312" w:eastAsia="仿宋_GB2312"/>
          <w:b w:val="0"/>
          <w:sz w:val="32"/>
        </w:rPr>
        <w:t>七、《政府性基金预算财政拨款收入支出决算表》</w:t>
      </w:r>
    </w:p>
    <w:p w14:paraId="29CA6801">
      <w:pPr>
        <w:spacing w:line="240" w:lineRule="auto"/>
        <w:ind w:firstLine="640"/>
        <w:jc w:val="both"/>
      </w:pPr>
      <w:r>
        <w:rPr>
          <w:rFonts w:ascii="仿宋_GB2312" w:hAnsi="仿宋_GB2312" w:eastAsia="仿宋_GB2312"/>
          <w:b w:val="0"/>
          <w:sz w:val="32"/>
        </w:rPr>
        <w:t>八、《国有资本经营预算财政拨款收入支出决算表》</w:t>
      </w:r>
    </w:p>
    <w:p w14:paraId="300B0DFD">
      <w:pPr>
        <w:spacing w:line="240" w:lineRule="auto"/>
        <w:ind w:firstLine="640"/>
        <w:jc w:val="both"/>
      </w:pPr>
      <w:r>
        <w:rPr>
          <w:rFonts w:ascii="仿宋_GB2312" w:hAnsi="仿宋_GB2312" w:eastAsia="仿宋_GB2312"/>
          <w:b w:val="0"/>
          <w:sz w:val="32"/>
        </w:rPr>
        <w:t>九、《财政拨款“三公”经费支出决算表》</w:t>
      </w:r>
    </w:p>
    <w:p w14:paraId="18BE3BFB">
      <w:pPr>
        <w:spacing w:line="240" w:lineRule="auto"/>
        <w:ind w:firstLine="640"/>
        <w:jc w:val="both"/>
      </w:pPr>
    </w:p>
    <w:p w14:paraId="4E3CC052">
      <w:pPr>
        <w:spacing w:line="240" w:lineRule="auto"/>
        <w:ind w:firstLine="640"/>
        <w:jc w:val="both"/>
      </w:pPr>
    </w:p>
    <w:p w14:paraId="4752A914">
      <w:pPr>
        <w:spacing w:line="240" w:lineRule="auto"/>
        <w:ind w:firstLine="640"/>
        <w:jc w:val="both"/>
      </w:pPr>
    </w:p>
    <w:p w14:paraId="5D91B3BF">
      <w:pPr>
        <w:spacing w:line="240" w:lineRule="auto"/>
        <w:ind w:firstLine="640"/>
        <w:jc w:val="both"/>
      </w:pPr>
    </w:p>
    <w:p w14:paraId="78211D1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EE7BB0-186B-417C-8BCC-A1AA82C68B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665581E-F4FE-463C-94E1-E1D8E1272F83}"/>
  </w:font>
  <w:font w:name="仿宋_GB2312">
    <w:panose1 w:val="02010609030101010101"/>
    <w:charset w:val="86"/>
    <w:family w:val="modern"/>
    <w:pitch w:val="default"/>
    <w:sig w:usb0="00000001" w:usb1="080E0000" w:usb2="00000000" w:usb3="00000000" w:csb0="00040000" w:csb1="00000000"/>
    <w:embedRegular r:id="rId3" w:fontKey="{BF59DD9B-F823-4FDE-AF52-B56AF8A78A83}"/>
  </w:font>
  <w:font w:name="楷体_GB2312">
    <w:panose1 w:val="02010609030101010101"/>
    <w:charset w:val="86"/>
    <w:family w:val="auto"/>
    <w:pitch w:val="default"/>
    <w:sig w:usb0="00000001" w:usb1="080E0000" w:usb2="00000000" w:usb3="00000000" w:csb0="00040000" w:csb1="00000000"/>
    <w:embedRegular r:id="rId4" w:fontKey="{BF45A295-03E0-4B18-8553-4A101C6469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C77540"/>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8713</Words>
  <Characters>9928</Characters>
  <Lines>0</Lines>
  <Paragraphs>0</Paragraphs>
  <TotalTime>4</TotalTime>
  <ScaleCrop>false</ScaleCrop>
  <LinksUpToDate>false</LinksUpToDate>
  <CharactersWithSpaces>9937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2025-09-26T03:38:06Z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