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E7C0A57">
      <w:r>
        <w:br w:type="page"/>
      </w:r>
    </w:p>
    <w:p w14:paraId="1C33208F">
      <w:pPr>
        <w:spacing w:line="640" w:lineRule="exact"/>
        <w:jc w:val="center"/>
        <w:outlineLvl w:val="1"/>
      </w:pPr>
      <w:r>
        <w:rPr>
          <w:rFonts w:ascii="黑体" w:hAnsi="黑体" w:eastAsia="黑体"/>
          <w:sz w:val="32"/>
        </w:rPr>
        <w:t>第一部分 单位概况</w:t>
      </w:r>
    </w:p>
    <w:p w14:paraId="4FFE1E45">
      <w:pPr>
        <w:spacing w:line="640" w:lineRule="exact"/>
        <w:ind w:firstLine="640"/>
        <w:jc w:val="both"/>
        <w:outlineLvl w:val="2"/>
      </w:pPr>
      <w:r>
        <w:rPr>
          <w:rFonts w:ascii="黑体" w:hAnsi="黑体" w:eastAsia="黑体"/>
          <w:sz w:val="32"/>
        </w:rPr>
        <w:t>一、主要职能</w:t>
      </w:r>
    </w:p>
    <w:p w14:paraId="27C95ABA">
      <w:pPr>
        <w:spacing w:line="580" w:lineRule="exact"/>
        <w:ind w:firstLine="640"/>
        <w:jc w:val="both"/>
      </w:pPr>
      <w:r>
        <w:rPr>
          <w:rFonts w:ascii="仿宋_GB2312" w:hAnsi="仿宋_GB2312" w:eastAsia="仿宋_GB2312"/>
          <w:sz w:val="32"/>
        </w:rPr>
        <w:t>(1)贯彻落实国家和自治区、地区医疗保险、生育保险、人身意外伤害保险等医疗保障制度；执行地区医疗保障制度的政策、规划和标准并组织实施；执行地区医疗保险、生育保险、大病保险、大额医疗补助、公务员医疗补助、企事业单位补充医疗保险、长期护理保险、离休人员和优抚对象医疗保障等政策、管理办法并组织实施。</w:t>
      </w:r>
    </w:p>
    <w:p w14:paraId="740CD594">
      <w:pPr>
        <w:spacing w:line="580" w:lineRule="exact"/>
        <w:ind w:firstLine="640"/>
        <w:jc w:val="both"/>
      </w:pPr>
      <w:r>
        <w:rPr>
          <w:rFonts w:ascii="仿宋_GB2312" w:hAnsi="仿宋_GB2312" w:eastAsia="仿宋_GB2312"/>
          <w:sz w:val="32"/>
        </w:rPr>
        <w:t>(2)执行并实施医疗保障基金监督管理办法，建立健全医疗保障基金安全防控机制，承担推进医疗保障基金支付方式改革工作，编制县医疗保障基金预决算草案。</w:t>
      </w:r>
    </w:p>
    <w:p w14:paraId="5B3E7616">
      <w:pPr>
        <w:spacing w:line="580" w:lineRule="exact"/>
        <w:ind w:firstLine="640"/>
        <w:jc w:val="both"/>
      </w:pPr>
      <w:r>
        <w:rPr>
          <w:rFonts w:ascii="仿宋_GB2312" w:hAnsi="仿宋_GB2312" w:eastAsia="仿宋_GB2312"/>
          <w:sz w:val="32"/>
        </w:rPr>
        <w:t>(3)组织执行地区医疗保障筹资和待遇政策，完善动态调整和区域调剂平衡机制，落实城乡医疗保障待遇标准，建立健全与筹资水平相适应的待遇调整机制。执行并组织实施长期护理保险制度改革方案。</w:t>
      </w:r>
    </w:p>
    <w:p w14:paraId="14B306C6">
      <w:pPr>
        <w:spacing w:line="580" w:lineRule="exact"/>
        <w:ind w:firstLine="640"/>
        <w:jc w:val="both"/>
      </w:pPr>
      <w:r>
        <w:rPr>
          <w:rFonts w:ascii="仿宋_GB2312" w:hAnsi="仿宋_GB2312" w:eastAsia="仿宋_GB2312"/>
          <w:sz w:val="32"/>
        </w:rPr>
        <w:t>(4)贯彻落实国家、自治区药品、医用耗材价格和医疗服务项目、医疗服务设施收费等政策并监督实施，执行自治区制定的药品、医用耗材的招标采购政策并监督实施，执行健全医保支付医药服务价格合理确定和动态调整机制，建立市场主导的社会医药服务价格形成机制，执行落实医药服务价格信息监测和信息发布制度。</w:t>
      </w:r>
    </w:p>
    <w:p w14:paraId="3318D21E">
      <w:pPr>
        <w:spacing w:line="580" w:lineRule="exact"/>
        <w:ind w:firstLine="640"/>
        <w:jc w:val="both"/>
      </w:pPr>
      <w:r>
        <w:rPr>
          <w:rFonts w:ascii="仿宋_GB2312" w:hAnsi="仿宋_GB2312" w:eastAsia="仿宋_GB2312"/>
          <w:sz w:val="32"/>
        </w:rPr>
        <w:t>(5)贯彻落实国家、自治区药品、医用耗材、医疗服务项目、医疗服务设施等医保目录和支付标准，执行动态调整机制。</w:t>
      </w:r>
    </w:p>
    <w:p w14:paraId="15364422">
      <w:pPr>
        <w:spacing w:line="580" w:lineRule="exact"/>
        <w:ind w:firstLine="640"/>
        <w:jc w:val="both"/>
      </w:pPr>
      <w:r>
        <w:rPr>
          <w:rFonts w:ascii="仿宋_GB2312" w:hAnsi="仿宋_GB2312" w:eastAsia="仿宋_GB2312"/>
          <w:sz w:val="32"/>
        </w:rPr>
        <w:t>(6)制定定点医药机构协议和支付管理办法并组织实施，建立健全医疗保障信用评价体系和信息披露制度，监督管理纳入医保范围内的医疗服务行为和医疗费用，依法查处医疗保障、生育保险领域违法违规行为。</w:t>
      </w:r>
    </w:p>
    <w:p w14:paraId="4D05822E">
      <w:pPr>
        <w:spacing w:line="580" w:lineRule="exact"/>
        <w:ind w:firstLine="640"/>
        <w:jc w:val="both"/>
      </w:pPr>
      <w:r>
        <w:rPr>
          <w:rFonts w:ascii="仿宋_GB2312" w:hAnsi="仿宋_GB2312" w:eastAsia="仿宋_GB2312"/>
          <w:sz w:val="32"/>
        </w:rPr>
        <w:t>(7)负责县医疗保障经办管理、公共服务体系和信息化建设。贯彻落实国家和自治区跨省异地就医管理和费用结算政策，执行县异地就医和费用结算政策。建立健全医疗保障关系转移接续制度。</w:t>
      </w:r>
    </w:p>
    <w:p w14:paraId="50298F5E">
      <w:pPr>
        <w:spacing w:line="580" w:lineRule="exact"/>
        <w:ind w:firstLine="640"/>
        <w:jc w:val="both"/>
      </w:pPr>
      <w:r>
        <w:rPr>
          <w:rFonts w:ascii="仿宋_GB2312" w:hAnsi="仿宋_GB2312" w:eastAsia="仿宋_GB2312"/>
          <w:sz w:val="32"/>
        </w:rPr>
        <w:t>(8)完成县委、县政府交办的其他任务。</w:t>
      </w:r>
    </w:p>
    <w:p w14:paraId="52C92EDB">
      <w:pPr>
        <w:spacing w:line="640" w:lineRule="exact"/>
        <w:ind w:firstLine="640"/>
        <w:jc w:val="both"/>
        <w:outlineLvl w:val="2"/>
      </w:pPr>
      <w:r>
        <w:rPr>
          <w:rFonts w:ascii="黑体" w:hAnsi="黑体" w:eastAsia="黑体"/>
          <w:sz w:val="32"/>
        </w:rPr>
        <w:t>二、机构设置及人员情况</w:t>
      </w:r>
    </w:p>
    <w:p w14:paraId="4CC3A09F">
      <w:pPr>
        <w:spacing w:line="580" w:lineRule="exact"/>
        <w:ind w:firstLine="640"/>
        <w:jc w:val="both"/>
      </w:pPr>
      <w:r>
        <w:rPr>
          <w:rFonts w:ascii="仿宋_GB2312" w:hAnsi="仿宋_GB2312" w:eastAsia="仿宋_GB2312"/>
          <w:sz w:val="32"/>
        </w:rPr>
        <w:t>疏勒县医疗保障局2024年度，实有人数21人，其中：在职人员16人，增加1人；离休人员0人，增加0人；退休人员5人,增加0人。</w:t>
      </w:r>
    </w:p>
    <w:p w14:paraId="5913E97D">
      <w:pPr>
        <w:spacing w:line="580" w:lineRule="exact"/>
        <w:ind w:firstLine="640"/>
        <w:jc w:val="both"/>
      </w:pPr>
      <w:r>
        <w:rPr>
          <w:rFonts w:ascii="仿宋_GB2312" w:hAnsi="仿宋_GB2312" w:eastAsia="仿宋_GB2312"/>
          <w:sz w:val="32"/>
        </w:rPr>
        <w:t>疏勒县医疗保障局无下属预算单位，下设1个科室，分别是：综合室（待遇保障，医药服务和医保监管室）。</w:t>
      </w:r>
    </w:p>
    <w:p w14:paraId="65798A3E">
      <w:r>
        <w:br w:type="page"/>
      </w:r>
    </w:p>
    <w:p w14:paraId="6B93FC3F">
      <w:pPr>
        <w:spacing w:line="240" w:lineRule="auto"/>
        <w:jc w:val="center"/>
        <w:outlineLvl w:val="1"/>
      </w:pPr>
      <w:r>
        <w:rPr>
          <w:rFonts w:ascii="黑体" w:hAnsi="黑体" w:eastAsia="黑体"/>
          <w:sz w:val="32"/>
        </w:rPr>
        <w:t>第二部分 部门决算情况说明</w:t>
      </w:r>
    </w:p>
    <w:p w14:paraId="06A2FE8B">
      <w:pPr>
        <w:spacing w:line="640" w:lineRule="exact"/>
        <w:ind w:firstLine="640"/>
        <w:jc w:val="both"/>
        <w:outlineLvl w:val="2"/>
      </w:pPr>
      <w:r>
        <w:rPr>
          <w:rFonts w:ascii="黑体" w:hAnsi="黑体" w:eastAsia="黑体"/>
          <w:sz w:val="32"/>
        </w:rPr>
        <w:t>一、收入支出决算总体情况说明</w:t>
      </w:r>
    </w:p>
    <w:p w14:paraId="638A0E28">
      <w:pPr>
        <w:spacing w:line="580" w:lineRule="exact"/>
        <w:ind w:firstLine="640"/>
        <w:jc w:val="both"/>
      </w:pPr>
      <w:r>
        <w:rPr>
          <w:rFonts w:ascii="仿宋_GB2312" w:hAnsi="仿宋_GB2312" w:eastAsia="仿宋_GB2312"/>
          <w:b/>
          <w:sz w:val="32"/>
        </w:rPr>
        <w:t>2024年度收入总计343.32万元，</w:t>
      </w:r>
      <w:r>
        <w:rPr>
          <w:rFonts w:ascii="仿宋_GB2312" w:hAnsi="仿宋_GB2312" w:eastAsia="仿宋_GB2312"/>
          <w:b w:val="0"/>
          <w:sz w:val="32"/>
        </w:rPr>
        <w:t>其中：本年收入合计343.32万元，使用非财政拨款结余（含专用结余）0.00万元，年初结转和结余0.00万元。</w:t>
      </w:r>
    </w:p>
    <w:p w14:paraId="7F52AFCD">
      <w:pPr>
        <w:spacing w:line="580" w:lineRule="exact"/>
        <w:ind w:firstLine="640"/>
        <w:jc w:val="both"/>
      </w:pPr>
      <w:r>
        <w:rPr>
          <w:rFonts w:ascii="仿宋_GB2312" w:hAnsi="仿宋_GB2312" w:eastAsia="仿宋_GB2312"/>
          <w:b/>
          <w:sz w:val="32"/>
        </w:rPr>
        <w:t>2024年度支出总计343.32万元，</w:t>
      </w:r>
      <w:r>
        <w:rPr>
          <w:rFonts w:ascii="仿宋_GB2312" w:hAnsi="仿宋_GB2312" w:eastAsia="仿宋_GB2312"/>
          <w:b w:val="0"/>
          <w:sz w:val="32"/>
        </w:rPr>
        <w:t>其中：本年支出合计343.32万元，结余分配0.00万元，年末结转和结余0.00万元。</w:t>
      </w:r>
    </w:p>
    <w:p w14:paraId="5EF5042B">
      <w:pPr>
        <w:spacing w:line="580" w:lineRule="exact"/>
        <w:ind w:firstLine="640"/>
        <w:jc w:val="both"/>
      </w:pPr>
      <w:r>
        <w:rPr>
          <w:rFonts w:ascii="仿宋_GB2312" w:hAnsi="仿宋_GB2312" w:eastAsia="仿宋_GB2312"/>
          <w:b w:val="0"/>
          <w:sz w:val="32"/>
        </w:rPr>
        <w:t>收入支出总体与上年相比，增加15.01万元，增长4.57%，主要原因是：本年在职人员增加1人，在职人员工资调增、社保、公积金基数调增，人员经费增加。</w:t>
      </w:r>
    </w:p>
    <w:p w14:paraId="11288724">
      <w:pPr>
        <w:spacing w:line="640" w:lineRule="exact"/>
        <w:ind w:firstLine="640"/>
        <w:jc w:val="both"/>
        <w:outlineLvl w:val="2"/>
      </w:pPr>
      <w:r>
        <w:rPr>
          <w:rFonts w:ascii="黑体" w:hAnsi="黑体" w:eastAsia="黑体"/>
          <w:sz w:val="32"/>
        </w:rPr>
        <w:t>二、收入决算情况说明</w:t>
      </w:r>
    </w:p>
    <w:p w14:paraId="13C0F615">
      <w:pPr>
        <w:spacing w:line="580" w:lineRule="exact"/>
        <w:ind w:firstLine="640"/>
        <w:jc w:val="both"/>
      </w:pPr>
      <w:r>
        <w:rPr>
          <w:rFonts w:ascii="仿宋_GB2312" w:hAnsi="仿宋_GB2312" w:eastAsia="仿宋_GB2312"/>
          <w:b/>
          <w:sz w:val="32"/>
        </w:rPr>
        <w:t>本年收入343.32万元，</w:t>
      </w:r>
      <w:r>
        <w:rPr>
          <w:rFonts w:ascii="仿宋_GB2312" w:hAnsi="仿宋_GB2312" w:eastAsia="仿宋_GB2312"/>
          <w:b w:val="0"/>
          <w:sz w:val="32"/>
        </w:rPr>
        <w:t>其中：财政拨款收入343.32万元，占100.00%；上级补助收入0.00万元，占0.00%；事业收入0.00万元，占0.00%；经营收入0.00万元，占0.00%；附属单位上缴收入0.00万元，占0.00%；其他收入0.00万元，占0.00%。</w:t>
      </w:r>
    </w:p>
    <w:p w14:paraId="76CDFB9C">
      <w:pPr>
        <w:spacing w:line="640" w:lineRule="exact"/>
        <w:ind w:firstLine="640"/>
        <w:jc w:val="both"/>
        <w:outlineLvl w:val="2"/>
      </w:pPr>
      <w:r>
        <w:rPr>
          <w:rFonts w:ascii="黑体" w:hAnsi="黑体" w:eastAsia="黑体"/>
          <w:sz w:val="32"/>
        </w:rPr>
        <w:t>三、支出决算情况说明</w:t>
      </w:r>
    </w:p>
    <w:p w14:paraId="1AD5B0BA">
      <w:pPr>
        <w:spacing w:line="580" w:lineRule="exact"/>
        <w:ind w:firstLine="640"/>
        <w:jc w:val="both"/>
      </w:pPr>
      <w:r>
        <w:rPr>
          <w:rFonts w:ascii="仿宋_GB2312" w:hAnsi="仿宋_GB2312" w:eastAsia="仿宋_GB2312"/>
          <w:b/>
          <w:sz w:val="32"/>
        </w:rPr>
        <w:t>本年支出343.32万元，</w:t>
      </w:r>
      <w:r>
        <w:rPr>
          <w:rFonts w:ascii="仿宋_GB2312" w:hAnsi="仿宋_GB2312" w:eastAsia="仿宋_GB2312"/>
          <w:b w:val="0"/>
          <w:sz w:val="32"/>
        </w:rPr>
        <w:t>其中：基本支出327.13万元，占95.28%；项目支出16.19万元，占4.72%；上缴上级支出0.00万元，占0.00%；经营支出0.00万元，占0.00%；对附属单位补助支出0.00万元，占0.00%。</w:t>
      </w:r>
    </w:p>
    <w:p w14:paraId="51D9C84F">
      <w:pPr>
        <w:spacing w:line="640" w:lineRule="exact"/>
        <w:ind w:firstLine="640"/>
        <w:jc w:val="both"/>
        <w:outlineLvl w:val="2"/>
      </w:pPr>
      <w:r>
        <w:rPr>
          <w:rFonts w:ascii="黑体" w:hAnsi="黑体" w:eastAsia="黑体"/>
          <w:sz w:val="32"/>
        </w:rPr>
        <w:t>四、财政拨款收入支出决算总体情况说明</w:t>
      </w:r>
    </w:p>
    <w:p w14:paraId="51D91AD6">
      <w:pPr>
        <w:spacing w:line="580" w:lineRule="exact"/>
        <w:ind w:firstLine="640"/>
        <w:jc w:val="both"/>
      </w:pPr>
      <w:r>
        <w:rPr>
          <w:rFonts w:ascii="仿宋_GB2312" w:hAnsi="仿宋_GB2312" w:eastAsia="仿宋_GB2312"/>
          <w:b/>
          <w:sz w:val="32"/>
        </w:rPr>
        <w:t>2024年度财政拨款收入总计343.32万元，</w:t>
      </w:r>
      <w:r>
        <w:rPr>
          <w:rFonts w:ascii="仿宋_GB2312" w:hAnsi="仿宋_GB2312" w:eastAsia="仿宋_GB2312"/>
          <w:b w:val="0"/>
          <w:sz w:val="32"/>
        </w:rPr>
        <w:t>其中：年初财政拨款结转和结余0.00万元，本年财政拨款收入343.32万元。</w:t>
      </w:r>
      <w:r>
        <w:rPr>
          <w:rFonts w:ascii="仿宋_GB2312" w:hAnsi="仿宋_GB2312" w:eastAsia="仿宋_GB2312"/>
          <w:b/>
          <w:sz w:val="32"/>
        </w:rPr>
        <w:t>财政拨款支出总计343.32万元，</w:t>
      </w:r>
      <w:r>
        <w:rPr>
          <w:rFonts w:ascii="仿宋_GB2312" w:hAnsi="仿宋_GB2312" w:eastAsia="仿宋_GB2312"/>
          <w:b w:val="0"/>
          <w:sz w:val="32"/>
        </w:rPr>
        <w:t>其中：年末财政拨款结转和结余0.00万元，本年财政拨款支出343.32万元。</w:t>
      </w:r>
    </w:p>
    <w:p w14:paraId="48304B6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增加15.01万元，增长4.57%，主要原因是：本年在职人员增加1人，在职人员工资调增、社保、公积金基数调增，人员经费增加。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年初预算数303.45万元，决算数343.32万元，预决算差异率13.14%，主要原因是：本年在职人员增加，年中追加人员经费及人员工资、社保、公积金基数调增部分资金，导致预决算存在差异。</w:t>
      </w:r>
    </w:p>
    <w:p w14:paraId="787FB72E">
      <w:pPr>
        <w:spacing w:line="640" w:lineRule="exact"/>
        <w:ind w:firstLine="640"/>
        <w:jc w:val="both"/>
        <w:outlineLvl w:val="2"/>
      </w:pPr>
      <w:r>
        <w:rPr>
          <w:rFonts w:ascii="黑体" w:hAnsi="黑体" w:eastAsia="黑体"/>
          <w:sz w:val="32"/>
        </w:rPr>
        <w:t>五、一般公共预算财政拨款支出决算情况说明</w:t>
      </w:r>
    </w:p>
    <w:p w14:paraId="52C19697">
      <w:pPr>
        <w:spacing w:line="640" w:lineRule="exact"/>
        <w:ind w:firstLine="640"/>
        <w:jc w:val="both"/>
        <w:outlineLvl w:val="3"/>
      </w:pPr>
      <w:r>
        <w:rPr>
          <w:rFonts w:ascii="楷体_GB2312" w:hAnsi="楷体_GB2312" w:eastAsia="楷体_GB2312"/>
          <w:b/>
          <w:sz w:val="32"/>
        </w:rPr>
        <w:t>（一）一般公共预算财政拨款支出决算总体情况</w:t>
      </w:r>
    </w:p>
    <w:p w14:paraId="465BC5AF">
      <w:pPr>
        <w:spacing w:line="580" w:lineRule="exact"/>
        <w:ind w:firstLine="640"/>
        <w:jc w:val="both"/>
      </w:pPr>
      <w:r>
        <w:rPr>
          <w:rFonts w:ascii="仿宋_GB2312" w:hAnsi="仿宋_GB2312" w:eastAsia="仿宋_GB2312"/>
          <w:b/>
          <w:sz w:val="32"/>
        </w:rPr>
        <w:t>2024年度一般公共预算财政拨款支出343.32万元，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增加15.01万元，增长4.57%，主要原因是：本年在职人员增加1人，在职人员工资调增、社保、公积金基数调增，人员经费增加。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年初预算数303.45万元，决算数343.32万元，预决算差异率13.14%，主要原因是：本年在职人员增加，年中追加人员经费及人员工资、社保、公积金基数调增部分资金，导致预决算存在差异。</w:t>
      </w:r>
    </w:p>
    <w:p w14:paraId="218D3716">
      <w:pPr>
        <w:spacing w:line="640" w:lineRule="exact"/>
        <w:ind w:firstLine="640"/>
        <w:jc w:val="both"/>
        <w:outlineLvl w:val="3"/>
      </w:pPr>
      <w:r>
        <w:rPr>
          <w:rFonts w:ascii="楷体_GB2312" w:hAnsi="楷体_GB2312" w:eastAsia="楷体_GB2312"/>
          <w:b/>
          <w:sz w:val="32"/>
        </w:rPr>
        <w:t>（二）一般公共预算财政拨款支出决算结构情况</w:t>
      </w:r>
    </w:p>
    <w:p w14:paraId="262296CF">
      <w:pPr>
        <w:spacing w:line="580" w:lineRule="exact"/>
        <w:ind w:firstLine="640"/>
        <w:jc w:val="both"/>
      </w:pPr>
      <w:r>
        <w:rPr>
          <w:rFonts w:ascii="仿宋_GB2312" w:hAnsi="仿宋_GB2312" w:eastAsia="仿宋_GB2312"/>
          <w:b w:val="0"/>
          <w:sz w:val="32"/>
        </w:rPr>
        <w:t>1.社会保障和就业支出(类)33.90万元,占9.87%。</w:t>
      </w:r>
    </w:p>
    <w:p w14:paraId="208EB778">
      <w:pPr>
        <w:spacing w:line="580" w:lineRule="exact"/>
        <w:ind w:firstLine="640"/>
        <w:jc w:val="both"/>
      </w:pPr>
      <w:r>
        <w:rPr>
          <w:rFonts w:ascii="仿宋_GB2312" w:hAnsi="仿宋_GB2312" w:eastAsia="仿宋_GB2312"/>
          <w:b w:val="0"/>
          <w:sz w:val="32"/>
        </w:rPr>
        <w:t>2.卫生健康支出(类)280.12万元,占81.59%。</w:t>
      </w:r>
    </w:p>
    <w:p w14:paraId="5B59BFFF">
      <w:pPr>
        <w:spacing w:line="580" w:lineRule="exact"/>
        <w:ind w:firstLine="640"/>
        <w:jc w:val="both"/>
      </w:pPr>
      <w:r>
        <w:rPr>
          <w:rFonts w:ascii="仿宋_GB2312" w:hAnsi="仿宋_GB2312" w:eastAsia="仿宋_GB2312"/>
          <w:b w:val="0"/>
          <w:sz w:val="32"/>
        </w:rPr>
        <w:t>3.农林水支出(类)7.95万元,占2.32%。</w:t>
      </w:r>
    </w:p>
    <w:p w14:paraId="13EDA7EA">
      <w:pPr>
        <w:spacing w:line="580" w:lineRule="exact"/>
        <w:ind w:firstLine="640"/>
        <w:jc w:val="both"/>
      </w:pPr>
      <w:r>
        <w:rPr>
          <w:rFonts w:ascii="仿宋_GB2312" w:hAnsi="仿宋_GB2312" w:eastAsia="仿宋_GB2312"/>
          <w:b w:val="0"/>
          <w:sz w:val="32"/>
        </w:rPr>
        <w:t>4.住房保障支出(类)21.34万元,占6.22%。</w:t>
      </w:r>
    </w:p>
    <w:p w14:paraId="7030B8E8">
      <w:pPr>
        <w:spacing w:line="640" w:lineRule="exact"/>
        <w:ind w:firstLine="640"/>
        <w:jc w:val="both"/>
        <w:outlineLvl w:val="3"/>
      </w:pPr>
      <w:r>
        <w:rPr>
          <w:rFonts w:ascii="楷体_GB2312" w:hAnsi="楷体_GB2312" w:eastAsia="楷体_GB2312"/>
          <w:b/>
          <w:sz w:val="32"/>
        </w:rPr>
        <w:t>（三）一般公共预算财政拨款支出决算具体情况</w:t>
      </w:r>
    </w:p>
    <w:p w14:paraId="2AA42E86">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6.71万元，比上年决算减少0.15万元，下降2.19%,主要原因是：上年新增退休人员，本年无新增退休人员，正常发放退休人员基础绩效，导致离退休经费减少。</w:t>
      </w:r>
    </w:p>
    <w:p w14:paraId="14DE979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27.20万元，比上年决算增加5.75万元，增长26.81%,主要原因是：本年在职人员工资基数调增，养老缴费基数上涨，相应支出增加。</w:t>
      </w:r>
    </w:p>
    <w:p w14:paraId="4C172A0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20.29万元，下降100.00%,主要原因是：本年无新增退休人员，职业年金缴费较上年减少。</w:t>
      </w:r>
    </w:p>
    <w:p w14:paraId="6A8CCB03">
      <w:pPr>
        <w:spacing w:line="580" w:lineRule="exact"/>
        <w:ind w:firstLine="640"/>
        <w:jc w:val="both"/>
      </w:pPr>
      <w:r>
        <w:rPr>
          <w:rFonts w:ascii="仿宋_GB2312" w:hAnsi="仿宋_GB2312" w:eastAsia="仿宋_GB2312"/>
          <w:b w:val="0"/>
          <w:sz w:val="32"/>
        </w:rPr>
        <w:t>4.卫生健康支出(类)行政事业单位医疗(款)行政单位医疗(项):支出决算数为35.36万元，比上年决算增加26.24万元，增长287.72%,主要原因是：本年在职人员工资基数调增，医疗缴费基数上涨，相应支出增加，本年增加离休老干部医疗补助经费。</w:t>
      </w:r>
    </w:p>
    <w:p w14:paraId="2B2ECA9A">
      <w:pPr>
        <w:spacing w:line="580" w:lineRule="exact"/>
        <w:ind w:firstLine="640"/>
        <w:jc w:val="both"/>
      </w:pPr>
      <w:r>
        <w:rPr>
          <w:rFonts w:ascii="仿宋_GB2312" w:hAnsi="仿宋_GB2312" w:eastAsia="仿宋_GB2312"/>
          <w:b w:val="0"/>
          <w:sz w:val="32"/>
        </w:rPr>
        <w:t>5.卫生健康支出(类)行政事业单位医疗(款)公务员医疗补助(项):支出决算数为1.19万元，比上年决算增加0.13万元，增长12.26%,主要原因是：本年在职人员工资基数调增，医疗缴费基数上涨，相应支出增加。</w:t>
      </w:r>
    </w:p>
    <w:p w14:paraId="4BBFE17C">
      <w:pPr>
        <w:spacing w:line="580" w:lineRule="exact"/>
        <w:ind w:firstLine="640"/>
        <w:jc w:val="both"/>
      </w:pPr>
      <w:r>
        <w:rPr>
          <w:rFonts w:ascii="仿宋_GB2312" w:hAnsi="仿宋_GB2312" w:eastAsia="仿宋_GB2312"/>
          <w:b w:val="0"/>
          <w:sz w:val="32"/>
        </w:rPr>
        <w:t>6.卫生健康支出(类)医疗保障管理事务(款)行政运行(项):支出决算数为235.12万元，比上年决算增加17.15万元，增长7.87%,主要原因是：本年新增在职人员，人员经费增加，导致经费较上年有所增加。</w:t>
      </w:r>
    </w:p>
    <w:p w14:paraId="741E9A1B">
      <w:pPr>
        <w:spacing w:line="580" w:lineRule="exact"/>
        <w:ind w:firstLine="640"/>
        <w:jc w:val="both"/>
      </w:pPr>
      <w:r>
        <w:rPr>
          <w:rFonts w:ascii="仿宋_GB2312" w:hAnsi="仿宋_GB2312" w:eastAsia="仿宋_GB2312"/>
          <w:b w:val="0"/>
          <w:sz w:val="32"/>
        </w:rPr>
        <w:t>7.卫生健康支出(类)医疗保障管理事务(款)信息化建设(项):支出决算数为0.00万元，比上年决算减少5.71万元，下降100.00%,主要原因是：本年减少中央医疗服务与保障能力提升补助项目结转资金。</w:t>
      </w:r>
    </w:p>
    <w:p w14:paraId="7FCD4EAC">
      <w:pPr>
        <w:spacing w:line="580" w:lineRule="exact"/>
        <w:ind w:firstLine="640"/>
        <w:jc w:val="both"/>
      </w:pPr>
      <w:r>
        <w:rPr>
          <w:rFonts w:ascii="仿宋_GB2312" w:hAnsi="仿宋_GB2312" w:eastAsia="仿宋_GB2312"/>
          <w:b w:val="0"/>
          <w:sz w:val="32"/>
        </w:rPr>
        <w:t>8.卫生健康支出(类)医疗保障管理事务(款)医疗保障经办事务(项):支出决算数为0.00万元，比上年决算减少8.01万元，下降100.00%,主要原因是：本年减少自治区医疗保障综合事务管理项目资金。</w:t>
      </w:r>
    </w:p>
    <w:p w14:paraId="66BA19FE">
      <w:pPr>
        <w:spacing w:line="580" w:lineRule="exact"/>
        <w:ind w:firstLine="640"/>
        <w:jc w:val="both"/>
      </w:pPr>
      <w:r>
        <w:rPr>
          <w:rFonts w:ascii="仿宋_GB2312" w:hAnsi="仿宋_GB2312" w:eastAsia="仿宋_GB2312"/>
          <w:b w:val="0"/>
          <w:sz w:val="32"/>
        </w:rPr>
        <w:t>9.卫生健康支出(类)医疗保障管理事务(款)其他医疗保障管理事务支出(项):支出决算数为8.45万元，比上年决算减少6.55万元，下降43.67%,主要原因是：本年减少中央医疗服务与保障能力提升补助项目资金。</w:t>
      </w:r>
    </w:p>
    <w:p w14:paraId="418B530A">
      <w:pPr>
        <w:spacing w:line="580" w:lineRule="exact"/>
        <w:ind w:firstLine="640"/>
        <w:jc w:val="both"/>
      </w:pPr>
      <w:r>
        <w:rPr>
          <w:rFonts w:ascii="仿宋_GB2312" w:hAnsi="仿宋_GB2312" w:eastAsia="仿宋_GB2312"/>
          <w:b w:val="0"/>
          <w:sz w:val="32"/>
        </w:rPr>
        <w:t>10.农林水支出(类)农业农村(款)其他农业农村支出(项):支出决算数为7.95万元，比上年决算增加2.45万元，增长44.55%,主要原因是：本年为民办实事经费项目支出费用增加。</w:t>
      </w:r>
    </w:p>
    <w:p w14:paraId="040B847A">
      <w:pPr>
        <w:spacing w:line="580" w:lineRule="exact"/>
        <w:ind w:firstLine="640"/>
        <w:jc w:val="both"/>
      </w:pPr>
      <w:r>
        <w:rPr>
          <w:rFonts w:ascii="仿宋_GB2312" w:hAnsi="仿宋_GB2312" w:eastAsia="仿宋_GB2312"/>
          <w:b w:val="0"/>
          <w:sz w:val="32"/>
        </w:rPr>
        <w:t>11.住房保障支出(类)住房改革支出(款)住房公积金(项):支出决算数为21.34万元，比上年决算增加4.00万元，增长23.07%,主要原因是：本年在职人员工资基数调增，公积金缴费基数上涨，相应支出增加。</w:t>
      </w:r>
    </w:p>
    <w:p w14:paraId="1E5443AE">
      <w:pPr>
        <w:spacing w:line="640" w:lineRule="exact"/>
        <w:ind w:firstLine="640"/>
        <w:jc w:val="both"/>
        <w:outlineLvl w:val="2"/>
      </w:pPr>
      <w:r>
        <w:rPr>
          <w:rFonts w:ascii="黑体" w:hAnsi="黑体" w:eastAsia="黑体"/>
          <w:sz w:val="32"/>
        </w:rPr>
        <w:t>六、一般公共预算财政拨款基本支出决算情况说明</w:t>
      </w:r>
    </w:p>
    <w:p w14:paraId="7BDA366E">
      <w:pPr>
        <w:spacing w:line="580" w:lineRule="exact"/>
        <w:ind w:firstLine="640"/>
        <w:jc w:val="both"/>
      </w:pPr>
      <w:r>
        <w:rPr>
          <w:rFonts w:ascii="仿宋_GB2312" w:hAnsi="仿宋_GB2312" w:eastAsia="仿宋_GB2312"/>
          <w:b w:val="0"/>
          <w:sz w:val="32"/>
        </w:rPr>
        <w:t>2024年度一般公共预算财政拨款基本支出327.13万元，其中：</w:t>
      </w:r>
      <w:r>
        <w:rPr>
          <w:rFonts w:ascii="仿宋_GB2312" w:hAnsi="仿宋_GB2312" w:eastAsia="仿宋_GB2312"/>
          <w:b/>
          <w:sz w:val="32"/>
        </w:rPr>
        <w:t>人员经费322.01万元，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包括：基本工资、津贴补贴、奖金、机关事业单位基本养老保险缴费、职工基本医疗保险缴费、公务员医疗补助缴费、其他社会保障缴费、住房公积金、其他工资福利支出、退休费、生活补助、医疗费补助。</w:t>
      </w:r>
    </w:p>
    <w:p w14:paraId="0D731576">
      <w:pPr>
        <w:spacing w:line="580" w:lineRule="exact"/>
        <w:ind w:firstLine="640"/>
        <w:jc w:val="both"/>
      </w:pPr>
      <w:r>
        <w:rPr>
          <w:rFonts w:ascii="仿宋_GB2312" w:hAnsi="仿宋_GB2312" w:eastAsia="仿宋_GB2312"/>
          <w:b/>
          <w:sz w:val="32"/>
        </w:rPr>
        <w:t>公用经费5.12万元，</w:t>
      </w:r>
      <w:r>
        <w:rPr>
          <w:rFonts w:ascii="仿宋_GB2312" w:hAnsi="仿宋_GB2312" w:eastAsia="仿宋_GB2312"/>
          <w:b w:val="0"/>
          <w:sz w:val="32"/>
        </w:rPr>
        <w:t>包括：办公费、电费、邮电费、差旅费、委托业务费、公务用车运行维护费。</w:t>
      </w:r>
    </w:p>
    <w:p w14:paraId="5BCE4BD1">
      <w:pPr>
        <w:spacing w:line="640" w:lineRule="exact"/>
        <w:ind w:firstLine="640"/>
        <w:jc w:val="both"/>
        <w:outlineLvl w:val="2"/>
      </w:pPr>
      <w:r>
        <w:rPr>
          <w:rFonts w:ascii="黑体" w:hAnsi="黑体" w:eastAsia="黑体"/>
          <w:sz w:val="32"/>
        </w:rPr>
        <w:t>七、政府性基金预算财政拨款收入支出决算情况说明</w:t>
      </w:r>
    </w:p>
    <w:p w14:paraId="4C8295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E5F5AE4">
      <w:pPr>
        <w:spacing w:line="640" w:lineRule="exact"/>
        <w:ind w:firstLine="640"/>
        <w:jc w:val="both"/>
        <w:outlineLvl w:val="2"/>
      </w:pPr>
      <w:r>
        <w:rPr>
          <w:rFonts w:ascii="黑体" w:hAnsi="黑体" w:eastAsia="黑体"/>
          <w:sz w:val="32"/>
        </w:rPr>
        <w:t>八、国有资本经营预算财政拨款收入支出决算情况说明</w:t>
      </w:r>
    </w:p>
    <w:p w14:paraId="52E18D1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45E0B3">
      <w:pPr>
        <w:spacing w:line="640" w:lineRule="exact"/>
        <w:ind w:firstLine="640"/>
        <w:jc w:val="both"/>
        <w:outlineLvl w:val="2"/>
      </w:pPr>
      <w:r>
        <w:rPr>
          <w:rFonts w:ascii="黑体" w:hAnsi="黑体" w:eastAsia="黑体"/>
          <w:sz w:val="32"/>
        </w:rPr>
        <w:t>九、财政拨款“三公”经费支出决算情况说明</w:t>
      </w:r>
    </w:p>
    <w:p w14:paraId="7BF072B0">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hint="eastAsia" w:ascii="仿宋_GB2312" w:hAnsi="仿宋_GB2312" w:eastAsia="仿宋_GB2312"/>
          <w:b w:val="0"/>
          <w:sz w:val="32"/>
          <w:lang w:val="en-US" w:eastAsia="zh-CN"/>
        </w:rPr>
        <w:t>财政拨款</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2DF90275">
      <w:pPr>
        <w:spacing w:line="580" w:lineRule="exact"/>
        <w:ind w:firstLine="640"/>
        <w:jc w:val="both"/>
      </w:pPr>
      <w:r>
        <w:rPr>
          <w:rFonts w:ascii="仿宋_GB2312" w:hAnsi="仿宋_GB2312" w:eastAsia="仿宋_GB2312"/>
          <w:b/>
          <w:sz w:val="32"/>
        </w:rPr>
        <w:t>具体情况如下：</w:t>
      </w:r>
    </w:p>
    <w:p w14:paraId="43318A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3C1F54">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燃油费、维修费、保险费。公务用车购置数0辆，公务用车保有量1辆。国有资产占用情况中固定资产车辆1辆，与公务用车保有量差异原因是：本单位固定资产车辆与公务用车保有量一致无差异。</w:t>
      </w:r>
    </w:p>
    <w:p w14:paraId="4CDC6D3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F2137A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7D4872D5">
      <w:pPr>
        <w:spacing w:line="640" w:lineRule="exact"/>
        <w:ind w:firstLine="640"/>
        <w:jc w:val="both"/>
        <w:outlineLvl w:val="2"/>
      </w:pPr>
      <w:r>
        <w:rPr>
          <w:rFonts w:ascii="黑体" w:hAnsi="黑体" w:eastAsia="黑体"/>
          <w:sz w:val="32"/>
        </w:rPr>
        <w:t>十、其他重要事项的情况说明</w:t>
      </w:r>
    </w:p>
    <w:p w14:paraId="06C0BE64">
      <w:pPr>
        <w:spacing w:line="640" w:lineRule="exact"/>
        <w:ind w:firstLine="640"/>
        <w:jc w:val="both"/>
        <w:outlineLvl w:val="3"/>
      </w:pPr>
      <w:r>
        <w:rPr>
          <w:rFonts w:ascii="楷体_GB2312" w:hAnsi="楷体_GB2312" w:eastAsia="楷体_GB2312"/>
          <w:b/>
          <w:sz w:val="32"/>
        </w:rPr>
        <w:t>（一）机关运行经费及公用经费支出情况</w:t>
      </w:r>
    </w:p>
    <w:p w14:paraId="1D280330">
      <w:pPr>
        <w:spacing w:line="580" w:lineRule="exact"/>
        <w:ind w:firstLine="640"/>
        <w:jc w:val="both"/>
      </w:pPr>
      <w:r>
        <w:rPr>
          <w:rFonts w:ascii="仿宋_GB2312" w:hAnsi="仿宋_GB2312" w:eastAsia="仿宋_GB2312"/>
          <w:b w:val="0"/>
          <w:sz w:val="32"/>
        </w:rPr>
        <w:t>2024年度疏勒县医疗保障局（行政单位和参照公务员法管理事业单位）机关运行经费支出5.12万元，比上年减少0.73万元，下降12.48%，主要原因是：严控经费支出，厉行节约，减少经费支出。</w:t>
      </w:r>
    </w:p>
    <w:p w14:paraId="7BEA558A">
      <w:pPr>
        <w:spacing w:line="640" w:lineRule="exact"/>
        <w:ind w:firstLine="640"/>
        <w:jc w:val="both"/>
        <w:outlineLvl w:val="3"/>
      </w:pPr>
      <w:r>
        <w:rPr>
          <w:rFonts w:ascii="楷体_GB2312" w:hAnsi="楷体_GB2312" w:eastAsia="楷体_GB2312"/>
          <w:b/>
          <w:sz w:val="32"/>
        </w:rPr>
        <w:t>（二）政府采购情况</w:t>
      </w:r>
    </w:p>
    <w:p w14:paraId="104A33B6">
      <w:pPr>
        <w:spacing w:line="580" w:lineRule="exact"/>
        <w:ind w:firstLine="640"/>
        <w:jc w:val="both"/>
      </w:pPr>
      <w:r>
        <w:rPr>
          <w:rFonts w:ascii="仿宋_GB2312" w:hAnsi="仿宋_GB2312" w:eastAsia="仿宋_GB2312"/>
          <w:b w:val="0"/>
          <w:sz w:val="32"/>
        </w:rPr>
        <w:t>2024年度政府采购支出总额14.77万元，其中：政府采购货物支出11.81万元、政府采购工程支出0.00万元、政府采购服务支出2.96万元。</w:t>
      </w:r>
    </w:p>
    <w:p w14:paraId="4807CA0E">
      <w:pPr>
        <w:spacing w:line="580" w:lineRule="exact"/>
        <w:ind w:firstLine="640"/>
        <w:jc w:val="both"/>
      </w:pPr>
      <w:r>
        <w:rPr>
          <w:rFonts w:ascii="仿宋_GB2312" w:hAnsi="仿宋_GB2312" w:eastAsia="仿宋_GB2312"/>
          <w:b w:val="0"/>
          <w:sz w:val="32"/>
        </w:rPr>
        <w:t>授予中小企业合同金额13.73万元，占政府采购支出总额的92.96%，其中：授予小微企业合同金额13.33万元，占政府采购支出总额的90.25%。</w:t>
      </w:r>
    </w:p>
    <w:p w14:paraId="0E82978A">
      <w:pPr>
        <w:spacing w:line="640" w:lineRule="exact"/>
        <w:ind w:firstLine="640"/>
        <w:jc w:val="both"/>
        <w:outlineLvl w:val="3"/>
      </w:pPr>
      <w:r>
        <w:rPr>
          <w:rFonts w:ascii="楷体_GB2312" w:hAnsi="楷体_GB2312" w:eastAsia="楷体_GB2312"/>
          <w:b/>
          <w:sz w:val="32"/>
        </w:rPr>
        <w:t>（三）国有资产占用情况说明</w:t>
      </w:r>
    </w:p>
    <w:p w14:paraId="4F09237B">
      <w:pPr>
        <w:spacing w:line="580" w:lineRule="exact"/>
        <w:ind w:firstLine="640"/>
        <w:jc w:val="both"/>
      </w:pPr>
      <w:r>
        <w:rPr>
          <w:rFonts w:ascii="仿宋_GB2312" w:hAnsi="仿宋_GB2312" w:eastAsia="仿宋_GB2312"/>
          <w:b w:val="0"/>
          <w:sz w:val="32"/>
        </w:rPr>
        <w:t>截至2024年12月31日，房屋0.00平方米，价值0.00万元。车辆1辆，价值4.60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B45B2B6">
      <w:pPr>
        <w:spacing w:line="640" w:lineRule="exact"/>
        <w:ind w:firstLine="640"/>
        <w:jc w:val="both"/>
        <w:outlineLvl w:val="2"/>
      </w:pPr>
      <w:r>
        <w:rPr>
          <w:rFonts w:ascii="黑体" w:hAnsi="黑体" w:eastAsia="黑体"/>
          <w:sz w:val="32"/>
        </w:rPr>
        <w:t>十一、预算绩效的情况说明</w:t>
      </w:r>
    </w:p>
    <w:p w14:paraId="5B06BB9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343.32万元，实际执行总额343.32万元；预算绩效评价项目2个，全年预算数32.04万元，全年执行数32.04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通过对项目实施前的评估和实施方案的制定、项目实施中的JK跟踪、项目实施后的自评等过程的掌握，获得准确的实施情况，及时查漏补缺促使项目高效完成，提高了项目实施效果。发现的问题及原因：一是单位财务人员和项目负责人员绩效管理意识有待增强，未能全面深入认识理解绩效管理工作的意义。绩效管理经验不足，预算绩效管理工作有待进一步落实。二是单位绩效评价人员培训学习力度不够，绩效评价工作人员保障不足，相关项目负责领导及干部对绩效评价的重视程度不高。下一步改进措施：一是主动强化绩效管理工作意识，积极参与绩效管理工作相关培训，主动学习相关绩效管理知识，提高绩效管理编制水平。加大绩效工作宣传力度，强化绩效理念。二是加强单位绩效评价人员培训学习力度，做好单位绩效评价工作人员保障，提高相关项目负责领导及干部对绩效评价的重视。三是财政部门加强绩效业务学习及培训频次，增强相关人员绩效管理意识，进一步加强预算绩效管理工作，优化项目支出绩效指标体系，完善预算绩效管理制度，帮助和促进相关人员提高绩效管理业务水平、实际工作能力。同时，通过借助第三方专业机构力量，贯彻落实全面预算绩效管理工作，建立全过程预算绩效管理链条，将绩效各个环节紧密贯通。具体附整体支出绩效自评表，项目支出绩效自评表和评价报告。</w:t>
      </w:r>
    </w:p>
    <w:p w14:paraId="11A1A77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E647F1">
        <w:tblPrEx>
          <w:tblCellMar>
            <w:top w:w="0" w:type="dxa"/>
            <w:left w:w="108" w:type="dxa"/>
            <w:bottom w:w="0" w:type="dxa"/>
            <w:right w:w="108" w:type="dxa"/>
          </w:tblCellMar>
        </w:tblPrEx>
        <w:tc>
          <w:tcPr>
            <w:tcW w:w="8847" w:type="dxa"/>
            <w:gridSpan w:val="9"/>
            <w:vAlign w:val="center"/>
          </w:tcPr>
          <w:p w14:paraId="7AD3EC65">
            <w:pPr>
              <w:jc w:val="center"/>
            </w:pPr>
            <w:r>
              <w:rPr>
                <w:rFonts w:ascii="宋体" w:hAnsi="宋体" w:eastAsia="宋体"/>
                <w:sz w:val="24"/>
              </w:rPr>
              <w:t>单位整体支出绩效自评表</w:t>
            </w:r>
          </w:p>
        </w:tc>
      </w:tr>
      <w:tr w14:paraId="05C39B8A">
        <w:tblPrEx>
          <w:tblCellMar>
            <w:top w:w="0" w:type="dxa"/>
            <w:left w:w="108" w:type="dxa"/>
            <w:bottom w:w="0" w:type="dxa"/>
            <w:right w:w="108" w:type="dxa"/>
          </w:tblCellMar>
        </w:tblPrEx>
        <w:tc>
          <w:tcPr>
            <w:tcW w:w="8847" w:type="dxa"/>
            <w:gridSpan w:val="9"/>
            <w:vAlign w:val="center"/>
          </w:tcPr>
          <w:p w14:paraId="65C9F761">
            <w:pPr>
              <w:jc w:val="center"/>
            </w:pPr>
            <w:r>
              <w:rPr>
                <w:rFonts w:ascii="宋体" w:hAnsi="宋体" w:eastAsia="宋体"/>
                <w:sz w:val="24"/>
              </w:rPr>
              <w:t>（2024年度）</w:t>
            </w:r>
          </w:p>
        </w:tc>
      </w:tr>
      <w:tr w14:paraId="5F2B09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86F6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3707A7">
            <w:pPr>
              <w:jc w:val="center"/>
            </w:pPr>
            <w:r>
              <w:rPr>
                <w:rFonts w:ascii="宋体" w:hAnsi="宋体" w:eastAsia="宋体"/>
                <w:sz w:val="16"/>
              </w:rPr>
              <w:t>疏勒县医疗保障局</w:t>
            </w:r>
          </w:p>
        </w:tc>
      </w:tr>
      <w:tr w14:paraId="3AC593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E5C9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CE50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2FFC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3C1F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D0F8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BC8B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76B8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5DA88">
            <w:pPr>
              <w:jc w:val="center"/>
            </w:pPr>
            <w:r>
              <w:rPr>
                <w:rFonts w:ascii="宋体" w:hAnsi="宋体" w:eastAsia="宋体"/>
                <w:sz w:val="16"/>
              </w:rPr>
              <w:t>得分</w:t>
            </w:r>
          </w:p>
        </w:tc>
      </w:tr>
      <w:tr w14:paraId="42CEDE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2A8C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800D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88585">
            <w:pPr>
              <w:jc w:val="center"/>
            </w:pPr>
            <w:r>
              <w:rPr>
                <w:rFonts w:ascii="宋体" w:hAnsi="宋体" w:eastAsia="宋体"/>
                <w:sz w:val="16"/>
              </w:rPr>
              <w:t>303.45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BF603">
            <w:pPr>
              <w:jc w:val="center"/>
            </w:pPr>
            <w:r>
              <w:rPr>
                <w:rFonts w:ascii="宋体" w:hAnsi="宋体" w:eastAsia="宋体"/>
                <w:sz w:val="16"/>
              </w:rPr>
              <w:t>343.32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49B9B">
            <w:pPr>
              <w:jc w:val="center"/>
            </w:pPr>
            <w:r>
              <w:rPr>
                <w:rFonts w:ascii="宋体" w:hAnsi="宋体" w:eastAsia="宋体"/>
                <w:sz w:val="16"/>
              </w:rPr>
              <w:t>343.32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180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CCC83">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F7A3E">
            <w:pPr>
              <w:jc w:val="center"/>
            </w:pPr>
            <w:r>
              <w:rPr>
                <w:rFonts w:ascii="宋体" w:hAnsi="宋体" w:eastAsia="宋体"/>
                <w:sz w:val="16"/>
              </w:rPr>
              <w:t>10</w:t>
            </w:r>
          </w:p>
        </w:tc>
      </w:tr>
      <w:tr w14:paraId="192AA7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0E8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0F54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31505">
            <w:pPr>
              <w:jc w:val="center"/>
            </w:pPr>
            <w:r>
              <w:rPr>
                <w:rFonts w:ascii="宋体" w:hAnsi="宋体" w:eastAsia="宋体"/>
                <w:sz w:val="16"/>
              </w:rPr>
              <w:t>8.24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5943B">
            <w:pPr>
              <w:jc w:val="center"/>
            </w:pPr>
            <w:r>
              <w:rPr>
                <w:rFonts w:ascii="宋体" w:hAnsi="宋体" w:eastAsia="宋体"/>
                <w:sz w:val="16"/>
              </w:rPr>
              <w:t>8.24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BA7C2">
            <w:pPr>
              <w:jc w:val="center"/>
            </w:pPr>
            <w:r>
              <w:rPr>
                <w:rFonts w:ascii="宋体" w:hAnsi="宋体" w:eastAsia="宋体"/>
                <w:sz w:val="16"/>
              </w:rPr>
              <w:t>8.24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7E3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6235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07FBF">
            <w:pPr>
              <w:jc w:val="center"/>
            </w:pPr>
            <w:r>
              <w:rPr>
                <w:rFonts w:ascii="宋体" w:hAnsi="宋体" w:eastAsia="宋体"/>
                <w:sz w:val="16"/>
              </w:rPr>
              <w:t>—</w:t>
            </w:r>
          </w:p>
        </w:tc>
      </w:tr>
      <w:tr w14:paraId="5CC12F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E5F5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C649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293A4">
            <w:pPr>
              <w:jc w:val="center"/>
            </w:pPr>
            <w:r>
              <w:rPr>
                <w:rFonts w:ascii="宋体" w:hAnsi="宋体" w:eastAsia="宋体"/>
                <w:sz w:val="16"/>
              </w:rPr>
              <w:t>295.21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A33C7">
            <w:pPr>
              <w:jc w:val="center"/>
            </w:pPr>
            <w:r>
              <w:rPr>
                <w:rFonts w:ascii="宋体" w:hAnsi="宋体" w:eastAsia="宋体"/>
                <w:sz w:val="16"/>
              </w:rPr>
              <w:t>335.08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13231">
            <w:pPr>
              <w:jc w:val="center"/>
            </w:pPr>
            <w:r>
              <w:rPr>
                <w:rFonts w:ascii="宋体" w:hAnsi="宋体" w:eastAsia="宋体"/>
                <w:sz w:val="16"/>
              </w:rPr>
              <w:t>335.08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35E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EFF4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E2F5D">
            <w:pPr>
              <w:jc w:val="center"/>
            </w:pPr>
            <w:r>
              <w:rPr>
                <w:rFonts w:ascii="宋体" w:hAnsi="宋体" w:eastAsia="宋体"/>
                <w:sz w:val="16"/>
              </w:rPr>
              <w:t>—</w:t>
            </w:r>
          </w:p>
        </w:tc>
      </w:tr>
      <w:tr w14:paraId="402AC7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984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8A31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B41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EE2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291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1D4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72CD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C0058">
            <w:pPr>
              <w:jc w:val="center"/>
            </w:pPr>
            <w:r>
              <w:rPr>
                <w:rFonts w:ascii="宋体" w:hAnsi="宋体" w:eastAsia="宋体"/>
                <w:sz w:val="16"/>
              </w:rPr>
              <w:t>—</w:t>
            </w:r>
          </w:p>
        </w:tc>
      </w:tr>
      <w:tr w14:paraId="378E21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9310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9F319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1D1629">
            <w:pPr>
              <w:jc w:val="center"/>
            </w:pPr>
            <w:r>
              <w:rPr>
                <w:rFonts w:ascii="宋体" w:hAnsi="宋体" w:eastAsia="宋体"/>
                <w:sz w:val="16"/>
              </w:rPr>
              <w:t>实际完成情况</w:t>
            </w:r>
          </w:p>
        </w:tc>
      </w:tr>
      <w:tr w14:paraId="11A674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92FEA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5F8985">
            <w:pPr>
              <w:jc w:val="both"/>
            </w:pPr>
            <w:r>
              <w:rPr>
                <w:rFonts w:ascii="宋体" w:hAnsi="宋体" w:eastAsia="宋体"/>
                <w:sz w:val="16"/>
              </w:rPr>
              <w:t>坚持以习近平新时代中国特色社会理论为指导，全面贯彻落实地区医疗保障各项工作要求，紧紧围绕县委、县政府中心工作，坚持精准服务工作理念，坚持求真务实工作作风，树立发展新理念，努力提高政策实施的全局性、系统性，增强协调力和执行力，加强风险监管，发挥医保对医疗行为的监管作用，努力提升医疗管理服务水平，有效控制医疗费用不合理增长，着力打造为民医保、智慧医保、廉洁医保，切实增强全体参保人员</w:t>
            </w:r>
            <w:r>
              <w:rPr>
                <w:rFonts w:hint="eastAsia" w:ascii="宋体" w:hAnsi="宋体"/>
                <w:sz w:val="16"/>
                <w:lang w:eastAsia="zh-CN"/>
              </w:rPr>
              <w:t>获得感、幸福感、安全感</w:t>
            </w:r>
            <w:r>
              <w:rPr>
                <w:rFonts w:ascii="宋体" w:hAnsi="宋体" w:eastAsia="宋体"/>
                <w:sz w:val="16"/>
              </w:rPr>
              <w:t>。落实医疗保障待遇保障机制。一是实施全民医保参保质量提升计划；二是根据自治区、地区政策要求落实医疗保障精准扶贫长效机制。保持打击欺诈骗保高压态势。一是完善医保智能监控系统；二是完善医保反欺诈的社会监督机制。做好药品耗材集中采购工作。全力推进国家谈判药品和高值耗材带量采购工作。进一步提升经办服务能力。严格按照全区统一的清单和办事指南要求经办业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0C0B1A">
            <w:pPr>
              <w:jc w:val="both"/>
            </w:pPr>
            <w:r>
              <w:rPr>
                <w:rFonts w:hint="eastAsia" w:ascii="宋体" w:hAnsi="宋体"/>
                <w:sz w:val="16"/>
                <w:lang w:eastAsia="zh-CN"/>
              </w:rPr>
              <w:t>截至</w:t>
            </w:r>
            <w:r>
              <w:rPr>
                <w:rFonts w:ascii="宋体" w:hAnsi="宋体" w:eastAsia="宋体"/>
                <w:sz w:val="16"/>
              </w:rPr>
              <w:t>2024年底完成了以下工作：一是全力做好参保登记、待遇保障、基金监管、“两病”保障工作。全县基本医疗保险</w:t>
            </w:r>
            <w:r>
              <w:rPr>
                <w:rFonts w:hint="eastAsia" w:ascii="宋体" w:hAnsi="宋体"/>
                <w:sz w:val="16"/>
                <w:lang w:eastAsia="zh-CN"/>
              </w:rPr>
              <w:t>参保人数</w:t>
            </w:r>
            <w:r>
              <w:rPr>
                <w:rFonts w:ascii="宋体" w:hAnsi="宋体" w:eastAsia="宋体"/>
                <w:sz w:val="16"/>
              </w:rPr>
              <w:t>达到了37.30万人，做到了困难群体应保尽保，实现全民参保的目标。门诊慢性病享受待遇人数8.83万人；职工享受待遇人次14.26万人；居民享受待遇人次28.86万人，参保人员享受到基本医疗保险支付范围内的医疗费用报销跟结算服务，有效降低个人的医疗费用负担。</w:t>
            </w:r>
            <w:bookmarkStart w:id="0" w:name="_GoBack"/>
            <w:r>
              <w:rPr>
                <w:rFonts w:ascii="宋体" w:hAnsi="宋体" w:eastAsia="宋体"/>
                <w:sz w:val="16"/>
              </w:rPr>
              <w:t>医疗救助</w:t>
            </w:r>
            <w:bookmarkEnd w:id="0"/>
            <w:r>
              <w:rPr>
                <w:rFonts w:ascii="宋体" w:hAnsi="宋体" w:eastAsia="宋体"/>
                <w:sz w:val="16"/>
              </w:rPr>
              <w:t>人数7.41万人，对于救助对象低保人员、特困人员、低保边缘家庭成员和纳入监测范围的农村容易返贫致贫人口给予了大比例救助。资助参保人数16.19万人，推动困难群体居民医保参保资助，主动为他们撑起医疗保障伞，充分发挥医保在防范化解因病致贫方面的重要作用。二是通过将乡镇医保干部“请进来”和选派业务骨干“走下去”，实地+视频等形式开展培训20余场次，确保乡村两级业务经办人员熟悉掌握医保政策。三是积极推行基本医疗支付方式改革，持续提升信息化建设水平。四是积极探索医保服务下沉基层，将部分医疗保障业务权限下放乡镇。五是积极探索“两定点”监督管理的行政处罚路径，利用法律手段进一步加大违规违法行为的惩处力度。有效加强风险监管，纳入医保基金监管点的医疗机构达到50家，充分发挥医保对医疗行为的监管作用，努力提升医疗管理服务水平，有效控制医疗费用不合理增长，着力打造为民医保、智慧医保、廉洁医保，切实增强全体参保人员</w:t>
            </w:r>
            <w:r>
              <w:rPr>
                <w:rFonts w:hint="eastAsia" w:ascii="宋体" w:hAnsi="宋体"/>
                <w:sz w:val="16"/>
                <w:lang w:eastAsia="zh-CN"/>
              </w:rPr>
              <w:t>获得感、幸福感、安全感</w:t>
            </w:r>
            <w:r>
              <w:rPr>
                <w:rFonts w:ascii="宋体" w:hAnsi="宋体" w:eastAsia="宋体"/>
                <w:sz w:val="16"/>
              </w:rPr>
              <w:t>。</w:t>
            </w:r>
          </w:p>
        </w:tc>
      </w:tr>
      <w:tr w14:paraId="736BA3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D99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6AC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E5DF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1918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1F76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17C5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8A74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E988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3CB1D">
            <w:pPr>
              <w:jc w:val="center"/>
            </w:pPr>
            <w:r>
              <w:rPr>
                <w:rFonts w:ascii="宋体" w:hAnsi="宋体" w:eastAsia="宋体"/>
                <w:sz w:val="16"/>
              </w:rPr>
              <w:t>得分</w:t>
            </w:r>
          </w:p>
        </w:tc>
      </w:tr>
      <w:tr w14:paraId="3D1E1C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BC1F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0905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B39BA">
            <w:pPr>
              <w:jc w:val="center"/>
            </w:pPr>
            <w:r>
              <w:rPr>
                <w:rFonts w:ascii="宋体" w:hAnsi="宋体" w:eastAsia="宋体"/>
                <w:sz w:val="16"/>
              </w:rPr>
              <w:t>审核门诊慢性病享受待遇人数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9A8A9">
            <w:pPr>
              <w:jc w:val="center"/>
            </w:pPr>
            <w:r>
              <w:rPr>
                <w:rFonts w:ascii="宋体" w:hAnsi="宋体" w:eastAsia="宋体"/>
                <w:sz w:val="16"/>
              </w:rPr>
              <w:t>&gt;=8.83万人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1B05C">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B3E3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87AE9">
            <w:pPr>
              <w:jc w:val="center"/>
            </w:pPr>
            <w:r>
              <w:rPr>
                <w:rFonts w:ascii="宋体" w:hAnsi="宋体" w:eastAsia="宋体"/>
                <w:sz w:val="16"/>
              </w:rPr>
              <w:t>8.83万人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C67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7D81E">
            <w:pPr>
              <w:jc w:val="center"/>
            </w:pPr>
            <w:r>
              <w:rPr>
                <w:rFonts w:ascii="宋体" w:hAnsi="宋体" w:eastAsia="宋体"/>
                <w:sz w:val="16"/>
              </w:rPr>
              <w:t>13</w:t>
            </w:r>
          </w:p>
        </w:tc>
      </w:tr>
      <w:tr w14:paraId="31C5F8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C20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540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C90CB">
            <w:pPr>
              <w:jc w:val="center"/>
            </w:pPr>
            <w:r>
              <w:rPr>
                <w:rFonts w:ascii="宋体" w:hAnsi="宋体" w:eastAsia="宋体"/>
                <w:sz w:val="16"/>
              </w:rPr>
              <w:t>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62BE3">
            <w:pPr>
              <w:jc w:val="center"/>
            </w:pPr>
            <w:r>
              <w:rPr>
                <w:rFonts w:ascii="宋体" w:hAnsi="宋体" w:eastAsia="宋体"/>
                <w:sz w:val="16"/>
              </w:rPr>
              <w:t>&gt;=37.28万人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E4500">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E80F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019DA">
            <w:pPr>
              <w:jc w:val="center"/>
            </w:pPr>
            <w:r>
              <w:rPr>
                <w:rFonts w:ascii="宋体" w:hAnsi="宋体" w:eastAsia="宋体"/>
                <w:sz w:val="16"/>
              </w:rPr>
              <w:t>37.30万人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F395">
            <w:pPr>
              <w:jc w:val="center"/>
            </w:pPr>
            <w:r>
              <w:rPr>
                <w:rFonts w:ascii="宋体" w:hAnsi="宋体" w:eastAsia="宋体"/>
                <w:sz w:val="16"/>
              </w:rPr>
              <w:t>100.05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26EDC">
            <w:pPr>
              <w:jc w:val="center"/>
            </w:pPr>
            <w:r>
              <w:rPr>
                <w:rFonts w:ascii="宋体" w:hAnsi="宋体" w:eastAsia="宋体"/>
                <w:sz w:val="16"/>
              </w:rPr>
              <w:t>15</w:t>
            </w:r>
          </w:p>
        </w:tc>
      </w:tr>
      <w:tr w14:paraId="16B16D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660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FED5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AA4C2">
            <w:pPr>
              <w:jc w:val="center"/>
            </w:pPr>
            <w:r>
              <w:rPr>
                <w:rFonts w:ascii="宋体" w:hAnsi="宋体" w:eastAsia="宋体"/>
                <w:sz w:val="16"/>
              </w:rPr>
              <w:t>职工享受待遇人次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A1772">
            <w:pPr>
              <w:jc w:val="center"/>
            </w:pPr>
            <w:r>
              <w:rPr>
                <w:rFonts w:ascii="宋体" w:hAnsi="宋体" w:eastAsia="宋体"/>
                <w:sz w:val="16"/>
              </w:rPr>
              <w:t>&gt;=14.26万人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E5F9A">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0653F">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1FD3E">
            <w:pPr>
              <w:jc w:val="center"/>
            </w:pPr>
            <w:r>
              <w:rPr>
                <w:rFonts w:ascii="宋体" w:hAnsi="宋体" w:eastAsia="宋体"/>
                <w:sz w:val="16"/>
              </w:rPr>
              <w:t>14.26万人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F94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D0F1B">
            <w:pPr>
              <w:jc w:val="center"/>
            </w:pPr>
            <w:r>
              <w:rPr>
                <w:rFonts w:ascii="宋体" w:hAnsi="宋体" w:eastAsia="宋体"/>
                <w:sz w:val="16"/>
              </w:rPr>
              <w:t>13</w:t>
            </w:r>
          </w:p>
        </w:tc>
      </w:tr>
      <w:tr w14:paraId="2FA03B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311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A2F0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5FC78">
            <w:pPr>
              <w:jc w:val="center"/>
            </w:pPr>
            <w:r>
              <w:rPr>
                <w:rFonts w:ascii="宋体" w:hAnsi="宋体" w:eastAsia="宋体"/>
                <w:sz w:val="16"/>
              </w:rPr>
              <w:t>医疗救助人数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CBFBB">
            <w:pPr>
              <w:jc w:val="center"/>
            </w:pPr>
            <w:r>
              <w:rPr>
                <w:rFonts w:ascii="宋体" w:hAnsi="宋体" w:eastAsia="宋体"/>
                <w:sz w:val="16"/>
              </w:rPr>
              <w:t>&gt;=7.41万人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376C1">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65990">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CF1B5">
            <w:pPr>
              <w:jc w:val="center"/>
            </w:pPr>
            <w:r>
              <w:rPr>
                <w:rFonts w:ascii="宋体" w:hAnsi="宋体" w:eastAsia="宋体"/>
                <w:sz w:val="16"/>
              </w:rPr>
              <w:t>7.41万人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8A3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C16A3">
            <w:pPr>
              <w:jc w:val="center"/>
            </w:pPr>
            <w:r>
              <w:rPr>
                <w:rFonts w:ascii="宋体" w:hAnsi="宋体" w:eastAsia="宋体"/>
                <w:sz w:val="16"/>
              </w:rPr>
              <w:t>13</w:t>
            </w:r>
          </w:p>
        </w:tc>
      </w:tr>
      <w:tr w14:paraId="64C090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CED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DE4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76AB1">
            <w:pPr>
              <w:jc w:val="center"/>
            </w:pPr>
            <w:r>
              <w:rPr>
                <w:rFonts w:ascii="宋体" w:hAnsi="宋体" w:eastAsia="宋体"/>
                <w:sz w:val="16"/>
              </w:rPr>
              <w:t>资助参保人数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8EB20">
            <w:pPr>
              <w:jc w:val="center"/>
            </w:pPr>
            <w:r>
              <w:rPr>
                <w:rFonts w:ascii="宋体" w:hAnsi="宋体" w:eastAsia="宋体"/>
                <w:sz w:val="16"/>
              </w:rPr>
              <w:t>&gt;=16.19万人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7E4F3">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325F4">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A13B1">
            <w:pPr>
              <w:jc w:val="center"/>
            </w:pPr>
            <w:r>
              <w:rPr>
                <w:rFonts w:ascii="宋体" w:hAnsi="宋体" w:eastAsia="宋体"/>
                <w:sz w:val="16"/>
              </w:rPr>
              <w:t>16.19万人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53B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8B543">
            <w:pPr>
              <w:jc w:val="center"/>
            </w:pPr>
            <w:r>
              <w:rPr>
                <w:rFonts w:ascii="宋体" w:hAnsi="宋体" w:eastAsia="宋体"/>
                <w:sz w:val="16"/>
              </w:rPr>
              <w:t>13</w:t>
            </w:r>
          </w:p>
        </w:tc>
      </w:tr>
      <w:tr w14:paraId="43C16B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3B4F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3F9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E9F26">
            <w:pPr>
              <w:jc w:val="center"/>
            </w:pPr>
            <w:r>
              <w:rPr>
                <w:rFonts w:ascii="宋体" w:hAnsi="宋体" w:eastAsia="宋体"/>
                <w:sz w:val="16"/>
              </w:rPr>
              <w:t>医保基金监管点个数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94A19">
            <w:pPr>
              <w:jc w:val="center"/>
            </w:pPr>
            <w:r>
              <w:rPr>
                <w:rFonts w:ascii="宋体" w:hAnsi="宋体" w:eastAsia="宋体"/>
                <w:sz w:val="16"/>
              </w:rPr>
              <w:t>=50家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AA90D">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AFF1A">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0190A">
            <w:pPr>
              <w:jc w:val="center"/>
            </w:pPr>
            <w:r>
              <w:rPr>
                <w:rFonts w:ascii="宋体" w:hAnsi="宋体" w:eastAsia="宋体"/>
                <w:sz w:val="16"/>
              </w:rPr>
              <w:t>50家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97B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EA9BE">
            <w:pPr>
              <w:jc w:val="center"/>
            </w:pPr>
            <w:r>
              <w:rPr>
                <w:rFonts w:ascii="宋体" w:hAnsi="宋体" w:eastAsia="宋体"/>
                <w:sz w:val="16"/>
              </w:rPr>
              <w:t>13</w:t>
            </w:r>
          </w:p>
        </w:tc>
      </w:tr>
      <w:tr w14:paraId="0797FB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69F4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47FF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EB6AD">
            <w:pPr>
              <w:jc w:val="center"/>
            </w:pPr>
            <w:r>
              <w:rPr>
                <w:rFonts w:ascii="宋体" w:hAnsi="宋体" w:eastAsia="宋体"/>
                <w:sz w:val="16"/>
              </w:rPr>
              <w:t>居民享受待遇人次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0612D">
            <w:pPr>
              <w:jc w:val="center"/>
            </w:pPr>
            <w:r>
              <w:rPr>
                <w:rFonts w:ascii="宋体" w:hAnsi="宋体" w:eastAsia="宋体"/>
                <w:sz w:val="16"/>
              </w:rPr>
              <w:t>=28.86万人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CEFAA">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4BC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97528">
            <w:pPr>
              <w:jc w:val="center"/>
            </w:pPr>
            <w:r>
              <w:rPr>
                <w:rFonts w:ascii="宋体" w:hAnsi="宋体" w:eastAsia="宋体"/>
                <w:sz w:val="16"/>
              </w:rPr>
              <w:t>28.86万人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F1D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65C8E">
            <w:pPr>
              <w:jc w:val="center"/>
            </w:pPr>
            <w:r>
              <w:rPr>
                <w:rFonts w:ascii="宋体" w:hAnsi="宋体" w:eastAsia="宋体"/>
                <w:sz w:val="16"/>
              </w:rPr>
              <w:t>10</w:t>
            </w:r>
          </w:p>
        </w:tc>
      </w:tr>
    </w:tbl>
    <w:p w14:paraId="5BFD63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5ADD1DC">
        <w:tblPrEx>
          <w:tblCellMar>
            <w:top w:w="0" w:type="dxa"/>
            <w:left w:w="108" w:type="dxa"/>
            <w:bottom w:w="0" w:type="dxa"/>
            <w:right w:w="108" w:type="dxa"/>
          </w:tblCellMar>
        </w:tblPrEx>
        <w:tc>
          <w:tcPr>
            <w:tcW w:w="8848" w:type="dxa"/>
            <w:gridSpan w:val="14"/>
            <w:vAlign w:val="center"/>
          </w:tcPr>
          <w:p w14:paraId="748FCCFF">
            <w:pPr>
              <w:jc w:val="center"/>
            </w:pPr>
            <w:r>
              <w:rPr>
                <w:rFonts w:ascii="宋体" w:hAnsi="宋体" w:eastAsia="宋体"/>
                <w:sz w:val="24"/>
              </w:rPr>
              <w:t>项目支出绩效自评表</w:t>
            </w:r>
          </w:p>
        </w:tc>
      </w:tr>
      <w:tr w14:paraId="482229B7">
        <w:tblPrEx>
          <w:tblCellMar>
            <w:top w:w="0" w:type="dxa"/>
            <w:left w:w="108" w:type="dxa"/>
            <w:bottom w:w="0" w:type="dxa"/>
            <w:right w:w="108" w:type="dxa"/>
          </w:tblCellMar>
        </w:tblPrEx>
        <w:tc>
          <w:tcPr>
            <w:tcW w:w="8848" w:type="dxa"/>
            <w:gridSpan w:val="14"/>
            <w:vAlign w:val="center"/>
          </w:tcPr>
          <w:p w14:paraId="22E3428C">
            <w:pPr>
              <w:jc w:val="center"/>
            </w:pPr>
            <w:r>
              <w:rPr>
                <w:rFonts w:ascii="宋体" w:hAnsi="宋体" w:eastAsia="宋体"/>
                <w:sz w:val="24"/>
              </w:rPr>
              <w:t>(2024年度)</w:t>
            </w:r>
          </w:p>
        </w:tc>
      </w:tr>
      <w:tr w14:paraId="37EFC8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A2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26947A">
            <w:pPr>
              <w:jc w:val="center"/>
            </w:pPr>
            <w:r>
              <w:rPr>
                <w:rFonts w:ascii="宋体" w:hAnsi="宋体" w:eastAsia="宋体"/>
                <w:sz w:val="16"/>
              </w:rPr>
              <w:t>2024年度自治区财政全民参保及医疗服务项目</w:t>
            </w:r>
          </w:p>
        </w:tc>
      </w:tr>
      <w:tr w14:paraId="4A64BA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7B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E9FFD">
            <w:pPr>
              <w:jc w:val="center"/>
            </w:pPr>
            <w:r>
              <w:rPr>
                <w:rFonts w:ascii="宋体" w:hAnsi="宋体" w:eastAsia="宋体"/>
                <w:sz w:val="16"/>
              </w:rPr>
              <w:t>疏勒县医疗保障局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C4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5432D">
            <w:pPr>
              <w:jc w:val="center"/>
            </w:pPr>
            <w:r>
              <w:rPr>
                <w:rFonts w:ascii="宋体" w:hAnsi="宋体" w:eastAsia="宋体"/>
                <w:sz w:val="16"/>
              </w:rPr>
              <w:t>疏勒县医疗保障局</w:t>
            </w:r>
          </w:p>
        </w:tc>
      </w:tr>
      <w:tr w14:paraId="5814F7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84E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CE3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090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68D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AEE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149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35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8D47">
            <w:pPr>
              <w:jc w:val="center"/>
            </w:pPr>
            <w:r>
              <w:rPr>
                <w:rFonts w:ascii="宋体" w:hAnsi="宋体" w:eastAsia="宋体"/>
                <w:sz w:val="16"/>
              </w:rPr>
              <w:t>得分</w:t>
            </w:r>
          </w:p>
        </w:tc>
      </w:tr>
      <w:tr w14:paraId="73D4F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7A5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353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8FC8F">
            <w:pPr>
              <w:jc w:val="center"/>
            </w:pPr>
            <w:r>
              <w:rPr>
                <w:rFonts w:ascii="宋体" w:hAnsi="宋体" w:eastAsia="宋体"/>
                <w:sz w:val="16"/>
              </w:rPr>
              <w:t>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D0577">
            <w:pPr>
              <w:jc w:val="center"/>
            </w:pPr>
            <w:r>
              <w:rPr>
                <w:rFonts w:ascii="宋体" w:hAnsi="宋体" w:eastAsia="宋体"/>
                <w:sz w:val="16"/>
              </w:rPr>
              <w:t>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494EC">
            <w:pPr>
              <w:jc w:val="center"/>
            </w:pPr>
            <w:r>
              <w:rPr>
                <w:rFonts w:ascii="宋体" w:hAnsi="宋体" w:eastAsia="宋体"/>
                <w:sz w:val="16"/>
              </w:rPr>
              <w:t>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7AC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1506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2D3D">
            <w:pPr>
              <w:jc w:val="center"/>
            </w:pPr>
            <w:r>
              <w:rPr>
                <w:rFonts w:ascii="宋体" w:hAnsi="宋体" w:eastAsia="宋体"/>
                <w:sz w:val="16"/>
              </w:rPr>
              <w:t>10.00分</w:t>
            </w:r>
          </w:p>
        </w:tc>
      </w:tr>
      <w:tr w14:paraId="2E0D5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99E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57E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32B22">
            <w:pPr>
              <w:jc w:val="center"/>
            </w:pPr>
            <w:r>
              <w:rPr>
                <w:rFonts w:ascii="宋体" w:hAnsi="宋体" w:eastAsia="宋体"/>
                <w:sz w:val="16"/>
              </w:rPr>
              <w:t>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7670">
            <w:pPr>
              <w:jc w:val="center"/>
            </w:pPr>
            <w:r>
              <w:rPr>
                <w:rFonts w:ascii="宋体" w:hAnsi="宋体" w:eastAsia="宋体"/>
                <w:sz w:val="16"/>
              </w:rPr>
              <w:t>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FF9EF">
            <w:pPr>
              <w:jc w:val="center"/>
            </w:pPr>
            <w:r>
              <w:rPr>
                <w:rFonts w:ascii="宋体" w:hAnsi="宋体" w:eastAsia="宋体"/>
                <w:sz w:val="16"/>
              </w:rPr>
              <w:t>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AB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0B6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A6AE">
            <w:pPr>
              <w:jc w:val="center"/>
            </w:pPr>
            <w:r>
              <w:rPr>
                <w:rFonts w:ascii="宋体" w:hAnsi="宋体" w:eastAsia="宋体"/>
                <w:sz w:val="16"/>
              </w:rPr>
              <w:t>—</w:t>
            </w:r>
          </w:p>
        </w:tc>
      </w:tr>
      <w:tr w14:paraId="7CE16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2FD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7EE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262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B3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650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892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FE1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ADDF">
            <w:pPr>
              <w:jc w:val="center"/>
            </w:pPr>
            <w:r>
              <w:rPr>
                <w:rFonts w:ascii="宋体" w:hAnsi="宋体" w:eastAsia="宋体"/>
                <w:sz w:val="16"/>
              </w:rPr>
              <w:t>—</w:t>
            </w:r>
          </w:p>
        </w:tc>
      </w:tr>
      <w:tr w14:paraId="6AC945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817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A42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FAE2F0">
            <w:pPr>
              <w:jc w:val="center"/>
            </w:pPr>
            <w:r>
              <w:rPr>
                <w:rFonts w:ascii="宋体" w:hAnsi="宋体" w:eastAsia="宋体"/>
                <w:sz w:val="16"/>
              </w:rPr>
              <w:t>实际完成情况</w:t>
            </w:r>
          </w:p>
        </w:tc>
      </w:tr>
      <w:tr w14:paraId="4E3B1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A00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E2F6AF">
            <w:pPr>
              <w:jc w:val="both"/>
            </w:pPr>
            <w:r>
              <w:rPr>
                <w:rFonts w:ascii="宋体" w:hAnsi="宋体" w:eastAsia="宋体"/>
                <w:sz w:val="16"/>
              </w:rPr>
              <w:t>项目总投资8.24万元，本项目主要实施内容为购买办公用品次数2批，制作广告宣传品1批，保障基本医疗保险参保率达到100%。通过实施本项目，医疗保险经办机构服务水平提高，使国家医保惠民的知晓率有很大提高，群众的参保自觉性进一步提高，对于实现全民参保有巨大的现实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F55BEE">
            <w:pPr>
              <w:jc w:val="both"/>
            </w:pPr>
            <w:r>
              <w:rPr>
                <w:rFonts w:hint="eastAsia" w:ascii="宋体" w:hAnsi="宋体"/>
                <w:sz w:val="16"/>
                <w:lang w:eastAsia="zh-CN"/>
              </w:rPr>
              <w:t>截至2024</w:t>
            </w:r>
            <w:r>
              <w:rPr>
                <w:rFonts w:ascii="宋体" w:hAnsi="宋体" w:eastAsia="宋体"/>
                <w:sz w:val="16"/>
              </w:rPr>
              <w:t>年12月31日，该项目支出8.24万元，已购买办公用品次数2批，制作广告宣传品1批，保障基本医疗保险参保率达到100%。基本医疗保险参保人数37.30万人，生育保险参保人数2.58万人，基本医疗保险参保率提升，及时报送各项医疗保险基金决算数据。通过实施该项目，医疗保险经办机构服务水平提高使国家医保惠民的知晓率有很大提高，群众的参保自觉性进一步提高，对于实现全民参保有巨大的现实意义。</w:t>
            </w:r>
          </w:p>
        </w:tc>
      </w:tr>
      <w:tr w14:paraId="20BDEB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0C6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6E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CB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6A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98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D8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EC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F4B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83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5B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79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0C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04F7C">
            <w:pPr>
              <w:jc w:val="center"/>
            </w:pPr>
            <w:r>
              <w:rPr>
                <w:rFonts w:ascii="宋体" w:hAnsi="宋体" w:eastAsia="宋体"/>
                <w:sz w:val="16"/>
              </w:rPr>
              <w:t>偏差原因分析及改进措施</w:t>
            </w:r>
          </w:p>
        </w:tc>
      </w:tr>
      <w:tr w14:paraId="685D7E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0CD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9384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B4E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E512">
            <w:pPr>
              <w:jc w:val="center"/>
            </w:pPr>
            <w:r>
              <w:rPr>
                <w:rFonts w:ascii="宋体" w:hAnsi="宋体" w:eastAsia="宋体"/>
                <w:sz w:val="16"/>
              </w:rPr>
              <w:t>基本医疗保险参保人数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FDB0">
            <w:pPr>
              <w:jc w:val="center"/>
            </w:pPr>
            <w:r>
              <w:rPr>
                <w:rFonts w:ascii="宋体" w:hAnsi="宋体" w:eastAsia="宋体"/>
                <w:sz w:val="16"/>
              </w:rPr>
              <w:t>&gt;=37万人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CF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9A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E2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0C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2A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26CC">
            <w:pPr>
              <w:jc w:val="center"/>
            </w:pPr>
            <w:r>
              <w:rPr>
                <w:rFonts w:ascii="宋体" w:hAnsi="宋体" w:eastAsia="宋体"/>
                <w:sz w:val="16"/>
              </w:rPr>
              <w:t>=37.3万人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10FF">
            <w:pPr>
              <w:jc w:val="center"/>
            </w:pPr>
            <w:r>
              <w:rPr>
                <w:rFonts w:ascii="宋体" w:hAnsi="宋体" w:eastAsia="宋体"/>
                <w:sz w:val="16"/>
              </w:rPr>
              <w:t>9.92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F1EE6">
            <w:pPr>
              <w:jc w:val="center"/>
            </w:pPr>
          </w:p>
        </w:tc>
      </w:tr>
      <w:tr w14:paraId="3CE0C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7E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379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E83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68F2">
            <w:pPr>
              <w:jc w:val="center"/>
            </w:pPr>
            <w:r>
              <w:rPr>
                <w:rFonts w:ascii="宋体" w:hAnsi="宋体" w:eastAsia="宋体"/>
                <w:sz w:val="16"/>
              </w:rPr>
              <w:t>生育保险参保人数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88D0">
            <w:pPr>
              <w:jc w:val="center"/>
            </w:pPr>
            <w:r>
              <w:rPr>
                <w:rFonts w:ascii="宋体" w:hAnsi="宋体" w:eastAsia="宋体"/>
                <w:sz w:val="16"/>
              </w:rPr>
              <w:t>&gt;=2.40万人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7B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23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A2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90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A8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1DA5">
            <w:pPr>
              <w:jc w:val="center"/>
            </w:pPr>
            <w:r>
              <w:rPr>
                <w:rFonts w:ascii="宋体" w:hAnsi="宋体" w:eastAsia="宋体"/>
                <w:sz w:val="16"/>
              </w:rPr>
              <w:t>=2.58万人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B85F">
            <w:pPr>
              <w:jc w:val="center"/>
            </w:pPr>
            <w:r>
              <w:rPr>
                <w:rFonts w:ascii="宋体" w:hAnsi="宋体" w:eastAsia="宋体"/>
                <w:sz w:val="16"/>
              </w:rPr>
              <w:t>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E735">
            <w:pPr>
              <w:jc w:val="center"/>
            </w:pPr>
            <w:r>
              <w:rPr>
                <w:rFonts w:ascii="宋体" w:hAnsi="宋体" w:eastAsia="宋体"/>
                <w:sz w:val="16"/>
              </w:rPr>
              <w:t>偏差原因：因本年度就业人数增加，生育政策调整参加职工生育保险人数增加。改进措施：加强对年初绩效目标值设定的精确性。</w:t>
            </w:r>
          </w:p>
        </w:tc>
      </w:tr>
      <w:tr w14:paraId="4AD2E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4E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6F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1D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F3E0">
            <w:pPr>
              <w:jc w:val="center"/>
            </w:pPr>
            <w:r>
              <w:rPr>
                <w:rFonts w:ascii="宋体" w:hAnsi="宋体" w:eastAsia="宋体"/>
                <w:sz w:val="16"/>
              </w:rPr>
              <w:t>办公耗材验收率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0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13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F0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CF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69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3B2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18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15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B7073">
            <w:pPr>
              <w:jc w:val="center"/>
            </w:pPr>
          </w:p>
        </w:tc>
      </w:tr>
      <w:tr w14:paraId="55B2C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BF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7CC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F6F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8A8A">
            <w:pPr>
              <w:jc w:val="center"/>
            </w:pPr>
            <w:r>
              <w:rPr>
                <w:rFonts w:ascii="宋体" w:hAnsi="宋体" w:eastAsia="宋体"/>
                <w:sz w:val="16"/>
              </w:rPr>
              <w:t>报送各项医疗保险基金季报保险及时率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57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9D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2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C3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E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E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02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1F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DEA83">
            <w:pPr>
              <w:jc w:val="center"/>
            </w:pPr>
          </w:p>
        </w:tc>
      </w:tr>
      <w:tr w14:paraId="1B0A4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27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7C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4B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5805">
            <w:pPr>
              <w:jc w:val="center"/>
            </w:pPr>
            <w:r>
              <w:rPr>
                <w:rFonts w:ascii="宋体" w:hAnsi="宋体" w:eastAsia="宋体"/>
                <w:sz w:val="16"/>
              </w:rPr>
              <w:t>报送各项医疗保险基金决算数据及时率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18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FB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89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5D4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2A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9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1C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7D1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CA4C4">
            <w:pPr>
              <w:jc w:val="center"/>
            </w:pPr>
          </w:p>
        </w:tc>
      </w:tr>
      <w:tr w14:paraId="34E99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CA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E0C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EB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77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681A">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0E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87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3F3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B3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BC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D87A">
            <w:pPr>
              <w:jc w:val="center"/>
            </w:pPr>
            <w:r>
              <w:rPr>
                <w:rFonts w:ascii="宋体" w:hAnsi="宋体" w:eastAsia="宋体"/>
                <w:sz w:val="16"/>
              </w:rPr>
              <w:t>2024年8月14日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1B3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01642">
            <w:pPr>
              <w:jc w:val="center"/>
            </w:pPr>
          </w:p>
        </w:tc>
      </w:tr>
      <w:tr w14:paraId="7835A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0A2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14F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F0E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FFBD">
            <w:pPr>
              <w:jc w:val="center"/>
            </w:pPr>
            <w:r>
              <w:rPr>
                <w:rFonts w:ascii="宋体" w:hAnsi="宋体" w:eastAsia="宋体"/>
                <w:sz w:val="16"/>
              </w:rPr>
              <w:t>办公费预算支出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B9B7">
            <w:pPr>
              <w:jc w:val="center"/>
            </w:pPr>
            <w:r>
              <w:rPr>
                <w:rFonts w:ascii="宋体" w:hAnsi="宋体" w:eastAsia="宋体"/>
                <w:sz w:val="16"/>
              </w:rPr>
              <w:t>&lt;=79283元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47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85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1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5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F3B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B381">
            <w:pPr>
              <w:jc w:val="center"/>
            </w:pPr>
            <w:r>
              <w:rPr>
                <w:rFonts w:ascii="宋体" w:hAnsi="宋体" w:eastAsia="宋体"/>
                <w:sz w:val="16"/>
              </w:rPr>
              <w:t>=79283元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43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2FA1F">
            <w:pPr>
              <w:jc w:val="center"/>
            </w:pPr>
          </w:p>
        </w:tc>
      </w:tr>
      <w:tr w14:paraId="0DAEB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B9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A2B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40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5CE6">
            <w:pPr>
              <w:jc w:val="center"/>
            </w:pPr>
            <w:r>
              <w:rPr>
                <w:rFonts w:ascii="宋体" w:hAnsi="宋体" w:eastAsia="宋体"/>
                <w:sz w:val="16"/>
              </w:rPr>
              <w:t>广告宣传费预算支出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2694">
            <w:pPr>
              <w:jc w:val="center"/>
            </w:pPr>
            <w:r>
              <w:rPr>
                <w:rFonts w:ascii="宋体" w:hAnsi="宋体" w:eastAsia="宋体"/>
                <w:sz w:val="16"/>
              </w:rPr>
              <w:t>&lt;=3117元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81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C9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42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E4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880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2E8E">
            <w:pPr>
              <w:jc w:val="center"/>
            </w:pPr>
            <w:r>
              <w:rPr>
                <w:rFonts w:ascii="宋体" w:hAnsi="宋体" w:eastAsia="宋体"/>
                <w:sz w:val="16"/>
              </w:rPr>
              <w:t>=3117元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01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5A5F1">
            <w:pPr>
              <w:jc w:val="center"/>
            </w:pPr>
          </w:p>
        </w:tc>
      </w:tr>
      <w:tr w14:paraId="1EDC8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2D8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4D0C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301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6939">
            <w:pPr>
              <w:jc w:val="center"/>
            </w:pPr>
            <w:r>
              <w:rPr>
                <w:rFonts w:ascii="宋体" w:hAnsi="宋体" w:eastAsia="宋体"/>
                <w:sz w:val="16"/>
              </w:rPr>
              <w:t>减轻参保人员就医经济负担，缓解社会矛盾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48F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7D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CE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7F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01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6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1B09">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40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C5B62">
            <w:pPr>
              <w:jc w:val="center"/>
            </w:pPr>
          </w:p>
        </w:tc>
      </w:tr>
      <w:tr w14:paraId="260EB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0F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81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F7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A43F">
            <w:pPr>
              <w:jc w:val="center"/>
            </w:pPr>
            <w:r>
              <w:rPr>
                <w:rFonts w:ascii="宋体" w:hAnsi="宋体" w:eastAsia="宋体"/>
                <w:sz w:val="16"/>
              </w:rPr>
              <w:t>医保政策知晓率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4C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0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50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AA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B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7D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63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3E3A">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B9BF1">
            <w:pPr>
              <w:jc w:val="center"/>
            </w:pPr>
            <w:r>
              <w:rPr>
                <w:rFonts w:ascii="宋体" w:hAnsi="宋体" w:eastAsia="宋体"/>
                <w:sz w:val="16"/>
              </w:rPr>
              <w:t>医保政策知晓率100%,故存在5%偏差。</w:t>
            </w:r>
          </w:p>
        </w:tc>
      </w:tr>
      <w:tr w14:paraId="20F86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EC0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D1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1B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5944">
            <w:pPr>
              <w:jc w:val="center"/>
            </w:pPr>
            <w:r>
              <w:rPr>
                <w:rFonts w:ascii="宋体" w:hAnsi="宋体" w:eastAsia="宋体"/>
                <w:sz w:val="16"/>
              </w:rPr>
              <w:t>基本医疗保险参保群众满意度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4F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B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86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2E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36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8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D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A9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56ED8">
            <w:pPr>
              <w:jc w:val="center"/>
            </w:pPr>
            <w:r>
              <w:rPr>
                <w:rFonts w:ascii="宋体" w:hAnsi="宋体" w:eastAsia="宋体"/>
                <w:sz w:val="16"/>
              </w:rPr>
              <w:t>基本医疗保险参保群众满意度100%，故存在5%偏差。</w:t>
            </w:r>
          </w:p>
        </w:tc>
      </w:tr>
      <w:tr w14:paraId="101A44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CCE2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7F2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DE2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5DA6">
            <w:pPr>
              <w:jc w:val="center"/>
            </w:pPr>
            <w:r>
              <w:rPr>
                <w:rFonts w:ascii="宋体" w:hAnsi="宋体" w:eastAsia="宋体"/>
                <w:sz w:val="16"/>
              </w:rPr>
              <w:t>98.67分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F36C0C"/>
        </w:tc>
      </w:tr>
    </w:tbl>
    <w:p w14:paraId="3DDAC5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296FF6">
        <w:tc>
          <w:tcPr>
            <w:tcW w:w="8848" w:type="dxa"/>
            <w:gridSpan w:val="14"/>
            <w:vAlign w:val="center"/>
          </w:tcPr>
          <w:p w14:paraId="6DB20EF1">
            <w:pPr>
              <w:jc w:val="center"/>
            </w:pPr>
            <w:r>
              <w:rPr>
                <w:rFonts w:ascii="宋体" w:hAnsi="宋体" w:eastAsia="宋体"/>
                <w:sz w:val="24"/>
              </w:rPr>
              <w:t>项目支出绩效自评表</w:t>
            </w:r>
          </w:p>
        </w:tc>
      </w:tr>
      <w:tr w14:paraId="4003E88B">
        <w:tblPrEx>
          <w:tblCellMar>
            <w:top w:w="0" w:type="dxa"/>
            <w:left w:w="108" w:type="dxa"/>
            <w:bottom w:w="0" w:type="dxa"/>
            <w:right w:w="108" w:type="dxa"/>
          </w:tblCellMar>
        </w:tblPrEx>
        <w:tc>
          <w:tcPr>
            <w:tcW w:w="8848" w:type="dxa"/>
            <w:gridSpan w:val="14"/>
            <w:vAlign w:val="center"/>
          </w:tcPr>
          <w:p w14:paraId="3AE10E09">
            <w:pPr>
              <w:jc w:val="center"/>
            </w:pPr>
            <w:r>
              <w:rPr>
                <w:rFonts w:ascii="宋体" w:hAnsi="宋体" w:eastAsia="宋体"/>
                <w:sz w:val="24"/>
              </w:rPr>
              <w:t>(2024年度)</w:t>
            </w:r>
          </w:p>
        </w:tc>
      </w:tr>
      <w:tr w14:paraId="1831CB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C6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D1B19B">
            <w:pPr>
              <w:jc w:val="center"/>
            </w:pPr>
            <w:r>
              <w:rPr>
                <w:rFonts w:ascii="宋体" w:hAnsi="宋体" w:eastAsia="宋体"/>
                <w:sz w:val="16"/>
              </w:rPr>
              <w:t>疏勒县2024年离休干部医疗费项目</w:t>
            </w:r>
          </w:p>
        </w:tc>
      </w:tr>
      <w:tr w14:paraId="129A93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60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8ADAB">
            <w:pPr>
              <w:jc w:val="center"/>
            </w:pPr>
            <w:r>
              <w:rPr>
                <w:rFonts w:ascii="宋体" w:hAnsi="宋体" w:eastAsia="宋体"/>
                <w:sz w:val="16"/>
              </w:rPr>
              <w:t>疏勒县医疗保障局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48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2AFD91">
            <w:pPr>
              <w:jc w:val="center"/>
            </w:pPr>
            <w:r>
              <w:rPr>
                <w:rFonts w:ascii="宋体" w:hAnsi="宋体" w:eastAsia="宋体"/>
                <w:sz w:val="16"/>
              </w:rPr>
              <w:t>疏勒县医疗保障局</w:t>
            </w:r>
          </w:p>
        </w:tc>
      </w:tr>
      <w:tr w14:paraId="7B2BEA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C39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EAD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3B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03E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145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A6C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413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8DB3D">
            <w:pPr>
              <w:jc w:val="center"/>
            </w:pPr>
            <w:r>
              <w:rPr>
                <w:rFonts w:ascii="宋体" w:hAnsi="宋体" w:eastAsia="宋体"/>
                <w:sz w:val="16"/>
              </w:rPr>
              <w:t>得分</w:t>
            </w:r>
          </w:p>
        </w:tc>
      </w:tr>
      <w:tr w14:paraId="4A57A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EDE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DFF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56F3">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905F0">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A5BDA">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4E2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8CE4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66AE">
            <w:pPr>
              <w:jc w:val="center"/>
            </w:pPr>
            <w:r>
              <w:rPr>
                <w:rFonts w:ascii="宋体" w:hAnsi="宋体" w:eastAsia="宋体"/>
                <w:sz w:val="16"/>
              </w:rPr>
              <w:t>10.00分</w:t>
            </w:r>
          </w:p>
        </w:tc>
      </w:tr>
      <w:tr w14:paraId="33966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A2C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D5C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4D680">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5A7F6">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9A9FA">
            <w:pPr>
              <w:jc w:val="center"/>
            </w:pPr>
            <w:r>
              <w:rPr>
                <w:rFonts w:ascii="宋体" w:hAnsi="宋体" w:eastAsia="宋体"/>
                <w:sz w:val="16"/>
              </w:rPr>
              <w:t>23.80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1E2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9A7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BDDE">
            <w:pPr>
              <w:jc w:val="center"/>
            </w:pPr>
            <w:r>
              <w:rPr>
                <w:rFonts w:ascii="宋体" w:hAnsi="宋体" w:eastAsia="宋体"/>
                <w:sz w:val="16"/>
              </w:rPr>
              <w:t>—</w:t>
            </w:r>
          </w:p>
        </w:tc>
      </w:tr>
      <w:tr w14:paraId="14866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FF6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7B3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EFC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5A0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594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3A9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ED0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935F">
            <w:pPr>
              <w:jc w:val="center"/>
            </w:pPr>
            <w:r>
              <w:rPr>
                <w:rFonts w:ascii="宋体" w:hAnsi="宋体" w:eastAsia="宋体"/>
                <w:sz w:val="16"/>
              </w:rPr>
              <w:t>—</w:t>
            </w:r>
          </w:p>
        </w:tc>
      </w:tr>
      <w:tr w14:paraId="26CF99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8BD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4226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FCD47F">
            <w:pPr>
              <w:jc w:val="center"/>
            </w:pPr>
            <w:r>
              <w:rPr>
                <w:rFonts w:ascii="宋体" w:hAnsi="宋体" w:eastAsia="宋体"/>
                <w:sz w:val="16"/>
              </w:rPr>
              <w:t>实际完成情况</w:t>
            </w:r>
          </w:p>
        </w:tc>
      </w:tr>
      <w:tr w14:paraId="10565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F06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BEDCE">
            <w:pPr>
              <w:jc w:val="both"/>
            </w:pPr>
            <w:r>
              <w:rPr>
                <w:rFonts w:ascii="宋体" w:hAnsi="宋体" w:eastAsia="宋体"/>
                <w:sz w:val="16"/>
              </w:rPr>
              <w:t>项目总投资23.8万元，本项目主要实施内容为7名离休人员医疗费实施实报实销政策，通过实施本项目为提高党对离退休老干部的社会关怀，切实解决和保障离休老干部安享晚年生活。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FD305">
            <w:pPr>
              <w:jc w:val="both"/>
            </w:pPr>
            <w:r>
              <w:rPr>
                <w:rFonts w:hint="eastAsia" w:ascii="宋体" w:hAnsi="宋体"/>
                <w:sz w:val="16"/>
                <w:lang w:eastAsia="zh-CN"/>
              </w:rPr>
              <w:t>截至2024</w:t>
            </w:r>
            <w:r>
              <w:rPr>
                <w:rFonts w:ascii="宋体" w:hAnsi="宋体" w:eastAsia="宋体"/>
                <w:sz w:val="16"/>
              </w:rPr>
              <w:t>年8月31日已完成该项目，项目总投资23.8万元，项目主要实施内容为7名离休人员医疗费实施实报实销政策，通过实施本项目为提高党对离退休老干部的社会关怀，切实解决和保障离休老干部安享晚年生活。</w:t>
            </w:r>
          </w:p>
        </w:tc>
      </w:tr>
      <w:tr w14:paraId="0E16CA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F7C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A8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D9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AD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A7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6B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B4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E3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D7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43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64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B9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DA65B">
            <w:pPr>
              <w:jc w:val="center"/>
            </w:pPr>
            <w:r>
              <w:rPr>
                <w:rFonts w:ascii="宋体" w:hAnsi="宋体" w:eastAsia="宋体"/>
                <w:sz w:val="16"/>
              </w:rPr>
              <w:t>偏差原因分析及改进措施</w:t>
            </w:r>
          </w:p>
        </w:tc>
      </w:tr>
      <w:tr w14:paraId="31AEE9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08A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EF50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44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865D">
            <w:pPr>
              <w:jc w:val="center"/>
            </w:pPr>
            <w:r>
              <w:rPr>
                <w:rFonts w:ascii="宋体" w:hAnsi="宋体" w:eastAsia="宋体"/>
                <w:sz w:val="16"/>
              </w:rPr>
              <w:t>保障离休干部医药费人数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A90A">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4B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4C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7C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B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41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8A37">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15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C85E8">
            <w:pPr>
              <w:jc w:val="center"/>
            </w:pPr>
          </w:p>
        </w:tc>
      </w:tr>
      <w:tr w14:paraId="32D52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9A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804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171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722A">
            <w:pPr>
              <w:jc w:val="center"/>
            </w:pPr>
            <w:r>
              <w:rPr>
                <w:rFonts w:ascii="宋体" w:hAnsi="宋体" w:eastAsia="宋体"/>
                <w:sz w:val="16"/>
              </w:rPr>
              <w:t>医药费用报销比例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8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67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BB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69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4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C2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3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1E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909EB">
            <w:pPr>
              <w:jc w:val="center"/>
            </w:pPr>
          </w:p>
        </w:tc>
      </w:tr>
      <w:tr w14:paraId="6C904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C3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99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7C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B7E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77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02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43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E3D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3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D46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FF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17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85A18">
            <w:pPr>
              <w:jc w:val="center"/>
            </w:pPr>
          </w:p>
        </w:tc>
      </w:tr>
      <w:tr w14:paraId="1C079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6AA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F5D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C67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866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5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D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3F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79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B1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84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0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8B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72A8B">
            <w:pPr>
              <w:jc w:val="center"/>
            </w:pPr>
          </w:p>
        </w:tc>
      </w:tr>
      <w:tr w14:paraId="35126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37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76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6F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4961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E28A">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5F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06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03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17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5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DC88">
            <w:pPr>
              <w:jc w:val="center"/>
            </w:pPr>
            <w:r>
              <w:rPr>
                <w:rFonts w:ascii="宋体" w:hAnsi="宋体" w:eastAsia="宋体"/>
                <w:sz w:val="16"/>
              </w:rPr>
              <w:t>2024年8月13日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75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3312">
            <w:pPr>
              <w:jc w:val="center"/>
            </w:pPr>
          </w:p>
        </w:tc>
      </w:tr>
      <w:tr w14:paraId="391D8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71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111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DA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5990">
            <w:pPr>
              <w:jc w:val="center"/>
            </w:pPr>
            <w:r>
              <w:rPr>
                <w:rFonts w:ascii="宋体" w:hAnsi="宋体" w:eastAsia="宋体"/>
                <w:sz w:val="16"/>
              </w:rPr>
              <w:t>离休人员医疗费用控制数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7080">
            <w:pPr>
              <w:jc w:val="center"/>
            </w:pPr>
            <w:r>
              <w:rPr>
                <w:rFonts w:ascii="宋体" w:hAnsi="宋体" w:eastAsia="宋体"/>
                <w:sz w:val="16"/>
              </w:rPr>
              <w:t>&lt;=3.4万元/人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CA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DA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97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B0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119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791B">
            <w:pPr>
              <w:jc w:val="center"/>
            </w:pPr>
            <w:r>
              <w:rPr>
                <w:rFonts w:ascii="宋体" w:hAnsi="宋体" w:eastAsia="宋体"/>
                <w:sz w:val="16"/>
              </w:rPr>
              <w:t>=3.4万元/人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22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2CE0A">
            <w:pPr>
              <w:jc w:val="center"/>
            </w:pPr>
          </w:p>
        </w:tc>
      </w:tr>
      <w:tr w14:paraId="1329B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815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1C93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0F2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1EBB">
            <w:pPr>
              <w:jc w:val="center"/>
            </w:pPr>
            <w:r>
              <w:rPr>
                <w:rFonts w:ascii="宋体" w:hAnsi="宋体" w:eastAsia="宋体"/>
                <w:sz w:val="16"/>
              </w:rPr>
              <w:t>离休干部生活改善情况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D0B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0B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22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0D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01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9D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8D7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C3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72BD0">
            <w:pPr>
              <w:jc w:val="center"/>
            </w:pPr>
          </w:p>
        </w:tc>
      </w:tr>
      <w:tr w14:paraId="16EDC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E85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78C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9B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9B66">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BF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1F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57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B2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A1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96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5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DD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0EB43">
            <w:pPr>
              <w:jc w:val="center"/>
            </w:pPr>
          </w:p>
        </w:tc>
      </w:tr>
      <w:tr w14:paraId="5860B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9A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4F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A9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4701">
            <w:pPr>
              <w:jc w:val="center"/>
            </w:pPr>
            <w:r>
              <w:rPr>
                <w:rFonts w:ascii="宋体" w:hAnsi="宋体" w:eastAsia="宋体"/>
                <w:sz w:val="16"/>
              </w:rPr>
              <w:t>受益离休干部满意度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1A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63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13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BD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29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0B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6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71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2659B">
            <w:pPr>
              <w:jc w:val="center"/>
            </w:pPr>
            <w:r>
              <w:rPr>
                <w:rFonts w:ascii="宋体" w:hAnsi="宋体" w:eastAsia="宋体"/>
                <w:sz w:val="16"/>
              </w:rPr>
              <w:t>受益离休干部满意度100%，故与预期指标存在5%的偏差。</w:t>
            </w:r>
          </w:p>
        </w:tc>
      </w:tr>
      <w:tr w14:paraId="0EF36A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72A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C9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3C5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0FB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FF24B7"/>
        </w:tc>
      </w:tr>
    </w:tbl>
    <w:p w14:paraId="114F45DB">
      <w:r>
        <w:br w:type="page"/>
      </w:r>
    </w:p>
    <w:p w14:paraId="5B972E10">
      <w:pPr>
        <w:spacing w:line="640" w:lineRule="exact"/>
        <w:ind w:firstLine="640"/>
        <w:jc w:val="both"/>
        <w:outlineLvl w:val="2"/>
      </w:pPr>
      <w:r>
        <w:rPr>
          <w:rFonts w:ascii="黑体" w:hAnsi="黑体" w:eastAsia="黑体"/>
          <w:sz w:val="32"/>
        </w:rPr>
        <w:t>十二、其他需说明的事项</w:t>
      </w:r>
    </w:p>
    <w:p w14:paraId="6B1A9F5F">
      <w:pPr>
        <w:spacing w:line="580" w:lineRule="exact"/>
        <w:ind w:firstLine="640"/>
        <w:jc w:val="both"/>
      </w:pPr>
      <w:r>
        <w:rPr>
          <w:rFonts w:ascii="仿宋_GB2312" w:hAnsi="仿宋_GB2312" w:eastAsia="仿宋_GB2312"/>
          <w:b w:val="0"/>
          <w:sz w:val="32"/>
        </w:rPr>
        <w:t>本单位无其他需说明的事项。</w:t>
      </w:r>
    </w:p>
    <w:p w14:paraId="5B554915">
      <w:r>
        <w:br w:type="page"/>
      </w:r>
    </w:p>
    <w:p w14:paraId="1B0E352D">
      <w:pPr>
        <w:spacing w:line="240" w:lineRule="auto"/>
        <w:jc w:val="center"/>
        <w:outlineLvl w:val="1"/>
      </w:pPr>
      <w:r>
        <w:rPr>
          <w:rFonts w:ascii="黑体" w:hAnsi="黑体" w:eastAsia="黑体"/>
          <w:sz w:val="32"/>
        </w:rPr>
        <w:t>第三部分 专业名词解释</w:t>
      </w:r>
    </w:p>
    <w:p w14:paraId="43BDBC1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44545D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3FBF23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1E052F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16C15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6ED36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9C219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3BF772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7157C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2126D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8BBBC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7D5B60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A12AE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8F999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3843DC">
      <w:r>
        <w:br w:type="page"/>
      </w:r>
    </w:p>
    <w:p w14:paraId="357BFCCD">
      <w:pPr>
        <w:spacing w:line="240" w:lineRule="auto"/>
        <w:jc w:val="center"/>
        <w:outlineLvl w:val="1"/>
      </w:pPr>
      <w:r>
        <w:rPr>
          <w:rFonts w:ascii="黑体" w:hAnsi="黑体" w:eastAsia="黑体"/>
          <w:sz w:val="32"/>
        </w:rPr>
        <w:t>第四部分 部门决算报表（见附表）</w:t>
      </w:r>
    </w:p>
    <w:p w14:paraId="7E6FA98C">
      <w:pPr>
        <w:spacing w:line="240" w:lineRule="auto"/>
        <w:ind w:firstLine="640"/>
        <w:jc w:val="both"/>
      </w:pPr>
      <w:r>
        <w:rPr>
          <w:rFonts w:ascii="仿宋_GB2312" w:hAnsi="仿宋_GB2312" w:eastAsia="仿宋_GB2312"/>
          <w:b w:val="0"/>
          <w:sz w:val="32"/>
        </w:rPr>
        <w:t>一、《收入支出决算总表》</w:t>
      </w:r>
    </w:p>
    <w:p w14:paraId="7E78E307">
      <w:pPr>
        <w:spacing w:line="240" w:lineRule="auto"/>
        <w:ind w:firstLine="640"/>
        <w:jc w:val="both"/>
      </w:pPr>
      <w:r>
        <w:rPr>
          <w:rFonts w:ascii="仿宋_GB2312" w:hAnsi="仿宋_GB2312" w:eastAsia="仿宋_GB2312"/>
          <w:b w:val="0"/>
          <w:sz w:val="32"/>
        </w:rPr>
        <w:t>二、《收入决算表》</w:t>
      </w:r>
    </w:p>
    <w:p w14:paraId="3D51CB08">
      <w:pPr>
        <w:spacing w:line="240" w:lineRule="auto"/>
        <w:ind w:firstLine="640"/>
        <w:jc w:val="both"/>
      </w:pPr>
      <w:r>
        <w:rPr>
          <w:rFonts w:ascii="仿宋_GB2312" w:hAnsi="仿宋_GB2312" w:eastAsia="仿宋_GB2312"/>
          <w:b w:val="0"/>
          <w:sz w:val="32"/>
        </w:rPr>
        <w:t>三、《支出决算表》</w:t>
      </w:r>
    </w:p>
    <w:p w14:paraId="17C4FFE3">
      <w:pPr>
        <w:spacing w:line="240" w:lineRule="auto"/>
        <w:ind w:firstLine="640"/>
        <w:jc w:val="both"/>
      </w:pPr>
      <w:r>
        <w:rPr>
          <w:rFonts w:ascii="仿宋_GB2312" w:hAnsi="仿宋_GB2312" w:eastAsia="仿宋_GB2312"/>
          <w:b w:val="0"/>
          <w:sz w:val="32"/>
        </w:rPr>
        <w:t>四、《财政拨款收入支出决算总表》</w:t>
      </w:r>
    </w:p>
    <w:p w14:paraId="77BF81D3">
      <w:pPr>
        <w:spacing w:line="240" w:lineRule="auto"/>
        <w:ind w:firstLine="640"/>
        <w:jc w:val="both"/>
      </w:pPr>
      <w:r>
        <w:rPr>
          <w:rFonts w:ascii="仿宋_GB2312" w:hAnsi="仿宋_GB2312" w:eastAsia="仿宋_GB2312"/>
          <w:b w:val="0"/>
          <w:sz w:val="32"/>
        </w:rPr>
        <w:t>五、《一般公共预算财政拨款支出决算表》</w:t>
      </w:r>
    </w:p>
    <w:p w14:paraId="627EDCEF">
      <w:pPr>
        <w:spacing w:line="240" w:lineRule="auto"/>
        <w:ind w:firstLine="640"/>
        <w:jc w:val="both"/>
      </w:pPr>
      <w:r>
        <w:rPr>
          <w:rFonts w:ascii="仿宋_GB2312" w:hAnsi="仿宋_GB2312" w:eastAsia="仿宋_GB2312"/>
          <w:b w:val="0"/>
          <w:sz w:val="32"/>
        </w:rPr>
        <w:t>六、《一般公共预算财政拨款基本支出决算表》</w:t>
      </w:r>
    </w:p>
    <w:p w14:paraId="25F4A106">
      <w:pPr>
        <w:spacing w:line="240" w:lineRule="auto"/>
        <w:ind w:firstLine="640"/>
        <w:jc w:val="both"/>
      </w:pPr>
      <w:r>
        <w:rPr>
          <w:rFonts w:ascii="仿宋_GB2312" w:hAnsi="仿宋_GB2312" w:eastAsia="仿宋_GB2312"/>
          <w:b w:val="0"/>
          <w:sz w:val="32"/>
        </w:rPr>
        <w:t>七、《政府性基金预算财政拨款收入支出决算表》</w:t>
      </w:r>
    </w:p>
    <w:p w14:paraId="0A7EF31F">
      <w:pPr>
        <w:spacing w:line="240" w:lineRule="auto"/>
        <w:ind w:firstLine="640"/>
        <w:jc w:val="both"/>
      </w:pPr>
      <w:r>
        <w:rPr>
          <w:rFonts w:ascii="仿宋_GB2312" w:hAnsi="仿宋_GB2312" w:eastAsia="仿宋_GB2312"/>
          <w:b w:val="0"/>
          <w:sz w:val="32"/>
        </w:rPr>
        <w:t>八、《国有资本经营预算财政拨款收入支出决算表》</w:t>
      </w:r>
    </w:p>
    <w:p w14:paraId="1404EA99">
      <w:pPr>
        <w:spacing w:line="240" w:lineRule="auto"/>
        <w:ind w:firstLine="640"/>
        <w:jc w:val="both"/>
      </w:pPr>
      <w:r>
        <w:rPr>
          <w:rFonts w:ascii="仿宋_GB2312" w:hAnsi="仿宋_GB2312" w:eastAsia="仿宋_GB2312"/>
          <w:b w:val="0"/>
          <w:sz w:val="32"/>
        </w:rPr>
        <w:t>九、《财政拨款“三公”经费支出决算表》</w:t>
      </w:r>
    </w:p>
    <w:p w14:paraId="1BCC946E">
      <w:pPr>
        <w:spacing w:line="240" w:lineRule="auto"/>
        <w:ind w:firstLine="640"/>
        <w:jc w:val="both"/>
      </w:pPr>
    </w:p>
    <w:p w14:paraId="7273A987">
      <w:pPr>
        <w:spacing w:line="240" w:lineRule="auto"/>
        <w:ind w:firstLine="640"/>
        <w:jc w:val="both"/>
      </w:pPr>
    </w:p>
    <w:p w14:paraId="03500AAA">
      <w:pPr>
        <w:spacing w:line="240" w:lineRule="auto"/>
        <w:ind w:firstLine="640"/>
        <w:jc w:val="both"/>
      </w:pPr>
    </w:p>
    <w:p w14:paraId="4B88CD22">
      <w:pPr>
        <w:spacing w:line="240" w:lineRule="auto"/>
        <w:ind w:firstLine="640"/>
        <w:jc w:val="both"/>
      </w:pPr>
    </w:p>
    <w:p w14:paraId="48786E2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6DA92A-879B-4EB2-8CC6-9107A5F6927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E410DEB-E63D-48D4-8BEA-E269CBD080BF}"/>
  </w:font>
  <w:font w:name="仿宋_GB2312">
    <w:panose1 w:val="02010609030101010101"/>
    <w:charset w:val="86"/>
    <w:family w:val="modern"/>
    <w:pitch w:val="default"/>
    <w:sig w:usb0="00000001" w:usb1="080E0000" w:usb2="00000000" w:usb3="00000000" w:csb0="00040000" w:csb1="00000000"/>
    <w:embedRegular r:id="rId3" w:fontKey="{53813BBD-D1A4-4105-A5A4-5C19896A944B}"/>
  </w:font>
  <w:font w:name="楷体_GB2312">
    <w:panose1 w:val="02010609030101010101"/>
    <w:charset w:val="86"/>
    <w:family w:val="auto"/>
    <w:pitch w:val="default"/>
    <w:sig w:usb0="00000001" w:usb1="080E0000" w:usb2="00000000" w:usb3="00000000" w:csb0="00040000" w:csb1="00000000"/>
    <w:embedRegular r:id="rId4" w:fontKey="{C0F8A028-0599-417A-BF76-D5EFCC2F6F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73356C"/>
    <w:rsid w:val="3B1220C9"/>
    <w:rsid w:val="3C4341D3"/>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5498</Words>
  <Characters>6199</Characters>
  <Lines>0</Lines>
  <Paragraphs>0</Paragraphs>
  <TotalTime>2</TotalTime>
  <ScaleCrop>false</ScaleCrop>
  <LinksUpToDate>false</LinksUpToDate>
  <CharactersWithSpaces>6207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2025-09-26T08:08:20Z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