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疏勒县塔尕尔其乡卫生院2024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5CB2B4">
      <w:r>
        <w:br w:type="page"/>
      </w:r>
    </w:p>
    <w:p w14:paraId="39B15880">
      <w:pPr>
        <w:spacing w:line="640" w:lineRule="exact"/>
        <w:jc w:val="center"/>
        <w:outlineLvl w:val="1"/>
      </w:pPr>
      <w:r>
        <w:rPr>
          <w:rFonts w:ascii="黑体" w:hAnsi="黑体" w:eastAsia="黑体"/>
          <w:sz w:val="32"/>
        </w:rPr>
        <w:t>第一部分 单位概况</w:t>
      </w:r>
    </w:p>
    <w:p w14:paraId="5E1FDBA2">
      <w:pPr>
        <w:spacing w:line="640" w:lineRule="exact"/>
        <w:ind w:firstLine="640"/>
        <w:jc w:val="both"/>
        <w:outlineLvl w:val="2"/>
      </w:pPr>
      <w:r>
        <w:rPr>
          <w:rFonts w:ascii="黑体" w:hAnsi="黑体" w:eastAsia="黑体"/>
          <w:sz w:val="32"/>
        </w:rPr>
        <w:t>一、主要职能</w:t>
      </w:r>
    </w:p>
    <w:p w14:paraId="0B08295E">
      <w:pPr>
        <w:spacing w:line="580" w:lineRule="exact"/>
        <w:ind w:firstLine="640"/>
        <w:jc w:val="both"/>
      </w:pPr>
      <w:r>
        <w:rPr>
          <w:rFonts w:ascii="仿宋_GB2312" w:hAnsi="仿宋_GB2312" w:eastAsia="仿宋_GB2312"/>
          <w:sz w:val="32"/>
        </w:rPr>
        <w:t>承担基本公共卫生服务，为乡村农民提供基本公共卫生服务项目的工作成本补助。包括：乡村农民健康档案、健康教育、预防接种、0～6岁儿童健康管理、孕产妇健康管理、老年人健康管理、高血压患者和Ⅱ型糖尿病患者健康管理、重性精神疾病患者管理、传染病及突发公共卫生事件报告和处理、卫生监督协管服务、中医药服务等项目工作。</w:t>
      </w:r>
    </w:p>
    <w:p w14:paraId="449FB25C">
      <w:pPr>
        <w:spacing w:line="640" w:lineRule="exact"/>
        <w:ind w:firstLine="640"/>
        <w:jc w:val="both"/>
        <w:outlineLvl w:val="2"/>
      </w:pPr>
      <w:r>
        <w:rPr>
          <w:rFonts w:ascii="黑体" w:hAnsi="黑体" w:eastAsia="黑体"/>
          <w:sz w:val="32"/>
        </w:rPr>
        <w:t>二、机构设置及人员情况</w:t>
      </w:r>
    </w:p>
    <w:p w14:paraId="22AD200A">
      <w:pPr>
        <w:spacing w:line="580" w:lineRule="exact"/>
        <w:ind w:firstLine="640"/>
        <w:jc w:val="both"/>
      </w:pPr>
      <w:r>
        <w:rPr>
          <w:rFonts w:ascii="仿宋_GB2312" w:hAnsi="仿宋_GB2312" w:eastAsia="仿宋_GB2312"/>
          <w:sz w:val="32"/>
        </w:rPr>
        <w:t>疏勒县塔尕尔其乡卫生院2024年度，实有人数27人，其中：在职人员27人，增加1人；离休人员0人，增加0人；退休人员0人,增加0人。</w:t>
      </w:r>
    </w:p>
    <w:p w14:paraId="1C2CD1BB">
      <w:pPr>
        <w:spacing w:line="580" w:lineRule="exact"/>
        <w:ind w:firstLine="640"/>
        <w:jc w:val="both"/>
      </w:pPr>
      <w:r>
        <w:rPr>
          <w:rFonts w:ascii="仿宋_GB2312" w:hAnsi="仿宋_GB2312" w:eastAsia="仿宋_GB2312"/>
          <w:sz w:val="32"/>
        </w:rPr>
        <w:t>疏勒县塔尕尔其乡卫生院无下属预算单位，下设12个科室，分别是：门诊、病房、财务室、医保办、化验室、妇幼办公室、防疫办公室、公共卫生管理办公室、中医服务办公室、X光室、B超室、体检中心。</w:t>
      </w:r>
    </w:p>
    <w:p w14:paraId="4605509F">
      <w:r>
        <w:br w:type="page"/>
      </w:r>
    </w:p>
    <w:p w14:paraId="55C70B6A">
      <w:pPr>
        <w:spacing w:line="240" w:lineRule="auto"/>
        <w:jc w:val="center"/>
        <w:outlineLvl w:val="1"/>
      </w:pPr>
      <w:r>
        <w:rPr>
          <w:rFonts w:ascii="黑体" w:hAnsi="黑体" w:eastAsia="黑体"/>
          <w:sz w:val="32"/>
        </w:rPr>
        <w:t>第二部分 部门决算情况说明</w:t>
      </w:r>
    </w:p>
    <w:p w14:paraId="2475E999">
      <w:pPr>
        <w:spacing w:line="640" w:lineRule="exact"/>
        <w:ind w:firstLine="640"/>
        <w:jc w:val="both"/>
        <w:outlineLvl w:val="2"/>
      </w:pPr>
      <w:r>
        <w:rPr>
          <w:rFonts w:ascii="黑体" w:hAnsi="黑体" w:eastAsia="黑体"/>
          <w:sz w:val="32"/>
        </w:rPr>
        <w:t>一、收入支出决算总体情况说明</w:t>
      </w:r>
    </w:p>
    <w:p w14:paraId="3BA8A039">
      <w:pPr>
        <w:spacing w:line="580" w:lineRule="exact"/>
        <w:ind w:firstLine="640"/>
        <w:jc w:val="both"/>
      </w:pPr>
      <w:r>
        <w:rPr>
          <w:rFonts w:ascii="仿宋_GB2312" w:hAnsi="仿宋_GB2312" w:eastAsia="仿宋_GB2312"/>
          <w:b/>
          <w:sz w:val="32"/>
        </w:rPr>
        <w:t>2024年度收入总计863.60万元，</w:t>
      </w:r>
      <w:r>
        <w:rPr>
          <w:rFonts w:ascii="仿宋_GB2312" w:hAnsi="仿宋_GB2312" w:eastAsia="仿宋_GB2312"/>
          <w:b w:val="0"/>
          <w:sz w:val="32"/>
        </w:rPr>
        <w:t>其中：本年收入合计863.60万元，使用非财政拨款结余（含专用结余）0.00万元，年初结转和结余0.00万元。</w:t>
      </w:r>
    </w:p>
    <w:p w14:paraId="1A5983AC">
      <w:pPr>
        <w:spacing w:line="580" w:lineRule="exact"/>
        <w:ind w:firstLine="640"/>
        <w:jc w:val="both"/>
      </w:pPr>
      <w:r>
        <w:rPr>
          <w:rFonts w:ascii="仿宋_GB2312" w:hAnsi="仿宋_GB2312" w:eastAsia="仿宋_GB2312"/>
          <w:b/>
          <w:sz w:val="32"/>
        </w:rPr>
        <w:t>2024年度支出总计863.60万元，</w:t>
      </w:r>
      <w:r>
        <w:rPr>
          <w:rFonts w:ascii="仿宋_GB2312" w:hAnsi="仿宋_GB2312" w:eastAsia="仿宋_GB2312"/>
          <w:b w:val="0"/>
          <w:sz w:val="32"/>
        </w:rPr>
        <w:t>其中：本年支出合计863.60万元，结余分配0.00万元，年末结转和结余0.00万元。</w:t>
      </w:r>
    </w:p>
    <w:p w14:paraId="72DCADF7">
      <w:pPr>
        <w:spacing w:line="580" w:lineRule="exact"/>
        <w:ind w:firstLine="640"/>
        <w:jc w:val="both"/>
      </w:pPr>
      <w:r>
        <w:rPr>
          <w:rFonts w:ascii="仿宋_GB2312" w:hAnsi="仿宋_GB2312" w:eastAsia="仿宋_GB2312"/>
          <w:b w:val="0"/>
          <w:sz w:val="32"/>
        </w:rPr>
        <w:t>收入支出总体与上年相比，增加40.10万元，增长4.87%，主要原因是：本年在职人员增加，人员经费增加，2024年自治区公共卫生服务[地方公共卫生]补助项目经费增加，导致经费较上年增加。</w:t>
      </w:r>
    </w:p>
    <w:p w14:paraId="299561D4">
      <w:pPr>
        <w:spacing w:line="640" w:lineRule="exact"/>
        <w:ind w:firstLine="640"/>
        <w:jc w:val="both"/>
        <w:outlineLvl w:val="2"/>
      </w:pPr>
      <w:r>
        <w:rPr>
          <w:rFonts w:ascii="黑体" w:hAnsi="黑体" w:eastAsia="黑体"/>
          <w:sz w:val="32"/>
        </w:rPr>
        <w:t>二、收入决算情况说明</w:t>
      </w:r>
    </w:p>
    <w:p w14:paraId="51C6B643">
      <w:pPr>
        <w:spacing w:line="580" w:lineRule="exact"/>
        <w:ind w:firstLine="640"/>
        <w:jc w:val="both"/>
      </w:pPr>
      <w:r>
        <w:rPr>
          <w:rFonts w:ascii="仿宋_GB2312" w:hAnsi="仿宋_GB2312" w:eastAsia="仿宋_GB2312"/>
          <w:b/>
          <w:sz w:val="32"/>
        </w:rPr>
        <w:t>本年收入863.60万元，</w:t>
      </w:r>
      <w:r>
        <w:rPr>
          <w:rFonts w:ascii="仿宋_GB2312" w:hAnsi="仿宋_GB2312" w:eastAsia="仿宋_GB2312"/>
          <w:b w:val="0"/>
          <w:sz w:val="32"/>
        </w:rPr>
        <w:t>其中：财政拨款收入599.71万元，占69.44%；上级补助收入0.00万元，占0.00%；事业收入263.90万元，占30.56%；经营收入0.00万元，占0.00%；附属单位上缴收入0.00万元，占0.00%；其他收入0.00万元，占0.00%。</w:t>
      </w:r>
    </w:p>
    <w:p w14:paraId="7FC24D59">
      <w:pPr>
        <w:spacing w:line="640" w:lineRule="exact"/>
        <w:ind w:firstLine="640"/>
        <w:jc w:val="both"/>
        <w:outlineLvl w:val="2"/>
      </w:pPr>
      <w:r>
        <w:rPr>
          <w:rFonts w:ascii="黑体" w:hAnsi="黑体" w:eastAsia="黑体"/>
          <w:sz w:val="32"/>
        </w:rPr>
        <w:t>三、支出决算情况说明</w:t>
      </w:r>
    </w:p>
    <w:p w14:paraId="1F39BDB7">
      <w:pPr>
        <w:spacing w:line="580" w:lineRule="exact"/>
        <w:ind w:firstLine="640"/>
        <w:jc w:val="both"/>
      </w:pPr>
      <w:r>
        <w:rPr>
          <w:rFonts w:ascii="仿宋_GB2312" w:hAnsi="仿宋_GB2312" w:eastAsia="仿宋_GB2312"/>
          <w:b/>
          <w:sz w:val="32"/>
        </w:rPr>
        <w:t>本年支出863.60万元，</w:t>
      </w:r>
      <w:r>
        <w:rPr>
          <w:rFonts w:ascii="仿宋_GB2312" w:hAnsi="仿宋_GB2312" w:eastAsia="仿宋_GB2312"/>
          <w:b w:val="0"/>
          <w:sz w:val="32"/>
        </w:rPr>
        <w:t>其中：基本支出692.17万元，占80.15%；项目支出171.43万元，占19.85%；上缴上级支出0.00万元，占0.00%；经营支出0.00万元，占0.00%；对附属单位补助支出0.00万元，占0.00%。</w:t>
      </w:r>
    </w:p>
    <w:p w14:paraId="038BD7EF">
      <w:pPr>
        <w:spacing w:line="640" w:lineRule="exact"/>
        <w:ind w:firstLine="640"/>
        <w:jc w:val="both"/>
        <w:outlineLvl w:val="2"/>
      </w:pPr>
      <w:r>
        <w:rPr>
          <w:rFonts w:ascii="黑体" w:hAnsi="黑体" w:eastAsia="黑体"/>
          <w:sz w:val="32"/>
        </w:rPr>
        <w:t>四、财政拨款收入支出决算总体情况说明</w:t>
      </w:r>
    </w:p>
    <w:p w14:paraId="229113C2">
      <w:pPr>
        <w:spacing w:line="580" w:lineRule="exact"/>
        <w:ind w:firstLine="640"/>
        <w:jc w:val="both"/>
      </w:pPr>
      <w:r>
        <w:rPr>
          <w:rFonts w:ascii="仿宋_GB2312" w:hAnsi="仿宋_GB2312" w:eastAsia="仿宋_GB2312"/>
          <w:b/>
          <w:sz w:val="32"/>
        </w:rPr>
        <w:t>2024年度财政拨款收入总计599.71万元，</w:t>
      </w:r>
      <w:r>
        <w:rPr>
          <w:rFonts w:ascii="仿宋_GB2312" w:hAnsi="仿宋_GB2312" w:eastAsia="仿宋_GB2312"/>
          <w:b w:val="0"/>
          <w:sz w:val="32"/>
        </w:rPr>
        <w:t>其中：年初财政拨款结转和结余0.00万元，本年财政拨款收入599.71万元。</w:t>
      </w:r>
      <w:r>
        <w:rPr>
          <w:rFonts w:ascii="仿宋_GB2312" w:hAnsi="仿宋_GB2312" w:eastAsia="仿宋_GB2312"/>
          <w:b/>
          <w:sz w:val="32"/>
        </w:rPr>
        <w:t>财政拨款支出总计599.71万元，</w:t>
      </w:r>
      <w:r>
        <w:rPr>
          <w:rFonts w:ascii="仿宋_GB2312" w:hAnsi="仿宋_GB2312" w:eastAsia="仿宋_GB2312"/>
          <w:b w:val="0"/>
          <w:sz w:val="32"/>
        </w:rPr>
        <w:t>其中：年末财政拨款结转和结余0.00万元，本年财政拨款支出599.71万元。</w:t>
      </w:r>
    </w:p>
    <w:p w14:paraId="294C56D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增加15.29万元，增长2.62%，主要原因是：本年在职人员增加，人员经费增加，2024年自治区公共卫生服务[地方公共卫生]补助项目经费增加，导致经费较上年增加。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569.86万元，决算数599.71万元，预决算差异率5.24%，主要原因是：本年在职人员增加，年中追加人员工资、社保、公积金基数调增部分资金，年中追加2024年自治区公共卫生服务[地方公共卫生]补助项目经费等，导致预决算存在差异。</w:t>
      </w:r>
    </w:p>
    <w:p w14:paraId="24600259">
      <w:pPr>
        <w:spacing w:line="640" w:lineRule="exact"/>
        <w:ind w:firstLine="640"/>
        <w:jc w:val="both"/>
        <w:outlineLvl w:val="2"/>
      </w:pPr>
      <w:r>
        <w:rPr>
          <w:rFonts w:ascii="黑体" w:hAnsi="黑体" w:eastAsia="黑体"/>
          <w:sz w:val="32"/>
        </w:rPr>
        <w:t>五、一般公共预算财政拨款支出决算情况说明</w:t>
      </w:r>
    </w:p>
    <w:p w14:paraId="5DE1B84C">
      <w:pPr>
        <w:spacing w:line="640" w:lineRule="exact"/>
        <w:ind w:firstLine="640"/>
        <w:jc w:val="both"/>
        <w:outlineLvl w:val="3"/>
      </w:pPr>
      <w:r>
        <w:rPr>
          <w:rFonts w:ascii="楷体_GB2312" w:hAnsi="楷体_GB2312" w:eastAsia="楷体_GB2312"/>
          <w:b/>
          <w:sz w:val="32"/>
        </w:rPr>
        <w:t>（一）一般公共预算财政拨款支出决算总体情况</w:t>
      </w:r>
    </w:p>
    <w:p w14:paraId="43433975">
      <w:pPr>
        <w:spacing w:line="580" w:lineRule="exact"/>
        <w:ind w:firstLine="640"/>
        <w:jc w:val="both"/>
      </w:pPr>
      <w:r>
        <w:rPr>
          <w:rFonts w:ascii="仿宋_GB2312" w:hAnsi="仿宋_GB2312" w:eastAsia="仿宋_GB2312"/>
          <w:b/>
          <w:sz w:val="32"/>
        </w:rPr>
        <w:t>2024年度一般公共预算财政拨款支出599.48万元，</w:t>
      </w:r>
      <w:r>
        <w:rPr>
          <w:rFonts w:ascii="仿宋_GB2312" w:hAnsi="仿宋_GB2312" w:eastAsia="仿宋_GB2312"/>
          <w:b w:val="0"/>
          <w:sz w:val="32"/>
        </w:rPr>
        <w:t>占本年支出合计的69.42%。</w:t>
      </w:r>
      <w:r>
        <w:rPr>
          <w:rFonts w:ascii="仿宋_GB2312" w:hAnsi="仿宋_GB2312" w:eastAsia="仿宋_GB2312"/>
          <w:b/>
          <w:sz w:val="32"/>
        </w:rPr>
        <w:t>与上年相比，</w:t>
      </w:r>
      <w:r>
        <w:rPr>
          <w:rFonts w:ascii="仿宋_GB2312" w:hAnsi="仿宋_GB2312" w:eastAsia="仿宋_GB2312"/>
          <w:b w:val="0"/>
          <w:sz w:val="32"/>
        </w:rPr>
        <w:t>增加15.06万元，增长2.58%，主要原因是：本年在职人员增加，人员经费增加，2024年自治区公共卫生服务[地方公共卫生]补助项目经费增加，导致经费较上年增加。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569.63万元，决算数599.48万元，预决算差异率5.24%，主要原因是：本年在职人员增加，年中追加人员工资、社保、公积金基数调增部分资金，年中追加2024年自治区公共卫生服务[地方公共卫生]补助项目经费等，导致预决算存在差异。</w:t>
      </w:r>
    </w:p>
    <w:p w14:paraId="2889C52F">
      <w:pPr>
        <w:spacing w:line="640" w:lineRule="exact"/>
        <w:ind w:firstLine="640"/>
        <w:jc w:val="both"/>
        <w:outlineLvl w:val="3"/>
      </w:pPr>
      <w:r>
        <w:rPr>
          <w:rFonts w:ascii="楷体_GB2312" w:hAnsi="楷体_GB2312" w:eastAsia="楷体_GB2312"/>
          <w:b/>
          <w:sz w:val="32"/>
        </w:rPr>
        <w:t>（二）一般公共预算财政拨款支出决算结构情况</w:t>
      </w:r>
    </w:p>
    <w:p w14:paraId="0837F2FC">
      <w:pPr>
        <w:spacing w:line="580" w:lineRule="exact"/>
        <w:ind w:firstLine="640"/>
        <w:jc w:val="both"/>
      </w:pPr>
      <w:r>
        <w:rPr>
          <w:rFonts w:ascii="仿宋_GB2312" w:hAnsi="仿宋_GB2312" w:eastAsia="仿宋_GB2312"/>
          <w:b w:val="0"/>
          <w:sz w:val="32"/>
        </w:rPr>
        <w:t>1.社会保障和就业支出(类)42.41万元,占7.07%。</w:t>
      </w:r>
    </w:p>
    <w:p w14:paraId="44639A1A">
      <w:pPr>
        <w:spacing w:line="580" w:lineRule="exact"/>
        <w:ind w:firstLine="640"/>
        <w:jc w:val="both"/>
      </w:pPr>
      <w:r>
        <w:rPr>
          <w:rFonts w:ascii="仿宋_GB2312" w:hAnsi="仿宋_GB2312" w:eastAsia="仿宋_GB2312"/>
          <w:b w:val="0"/>
          <w:sz w:val="32"/>
        </w:rPr>
        <w:t>2.卫生健康支出(类)523.74万元,占87.37%。</w:t>
      </w:r>
    </w:p>
    <w:p w14:paraId="4F522703">
      <w:pPr>
        <w:spacing w:line="580" w:lineRule="exact"/>
        <w:ind w:firstLine="640"/>
        <w:jc w:val="both"/>
      </w:pPr>
      <w:r>
        <w:rPr>
          <w:rFonts w:ascii="仿宋_GB2312" w:hAnsi="仿宋_GB2312" w:eastAsia="仿宋_GB2312"/>
          <w:b w:val="0"/>
          <w:sz w:val="32"/>
        </w:rPr>
        <w:t>3.住房保障支出(类)33.33万元,占5.56%。</w:t>
      </w:r>
    </w:p>
    <w:p w14:paraId="3040AEFB">
      <w:pPr>
        <w:spacing w:line="640" w:lineRule="exact"/>
        <w:ind w:firstLine="640"/>
        <w:jc w:val="both"/>
        <w:outlineLvl w:val="3"/>
      </w:pPr>
      <w:r>
        <w:rPr>
          <w:rFonts w:ascii="楷体_GB2312" w:hAnsi="楷体_GB2312" w:eastAsia="楷体_GB2312"/>
          <w:b/>
          <w:sz w:val="32"/>
        </w:rPr>
        <w:t>（三）一般公共预算财政拨款支出决算具体情况</w:t>
      </w:r>
    </w:p>
    <w:p w14:paraId="027D931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0.00万元，比上年决算减少0.24万元，下降100.00%,主要原因是：上年度退休人员年末自然减员，本年无退休人员，退休经费支出减少。</w:t>
      </w:r>
    </w:p>
    <w:p w14:paraId="447D7DE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42.41万元，比上年决算增加7.37万元，增长21.03%,主要原因是：本年在职人员工资基数调增，养老缴费基数上涨，相应支出增加。</w:t>
      </w:r>
    </w:p>
    <w:p w14:paraId="0F3C72AD">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11.55万元，比上年决算减少1.41万元，下降10.88%,主要原因是：本年自治区医疗服务与保障能力提升（卫生健康人才队伍建设）补助项目资金减少。</w:t>
      </w:r>
    </w:p>
    <w:p w14:paraId="584F398A">
      <w:pPr>
        <w:spacing w:line="580" w:lineRule="exact"/>
        <w:ind w:firstLine="640"/>
        <w:jc w:val="both"/>
      </w:pPr>
      <w:r>
        <w:rPr>
          <w:rFonts w:ascii="仿宋_GB2312" w:hAnsi="仿宋_GB2312" w:eastAsia="仿宋_GB2312"/>
          <w:b w:val="0"/>
          <w:sz w:val="32"/>
        </w:rPr>
        <w:t>4.卫生健康支出(类)基层医疗卫生机构(款)乡镇卫生院(项):支出决算数为352.53万元，比上年决算增加17.20万元，增长5.13%,主要原因是：本年在职人员工资基数调增，相应人员经费支出增加。</w:t>
      </w:r>
    </w:p>
    <w:p w14:paraId="2D9D8DC9">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15.58万元，比上年决算减少32.75万元，下降67.76%,主要原因是：本年基本药物制度补助项目、自治区地方公共卫生项目支出较上年减少，相应支出减少。</w:t>
      </w:r>
    </w:p>
    <w:p w14:paraId="1F8D4726">
      <w:pPr>
        <w:spacing w:line="580" w:lineRule="exact"/>
        <w:ind w:firstLine="640"/>
        <w:jc w:val="both"/>
      </w:pPr>
      <w:r>
        <w:rPr>
          <w:rFonts w:ascii="仿宋_GB2312" w:hAnsi="仿宋_GB2312" w:eastAsia="仿宋_GB2312"/>
          <w:b w:val="0"/>
          <w:sz w:val="32"/>
        </w:rPr>
        <w:t>6.卫生健康支出(类)公共卫生(款)基本公共卫生服务(项):支出决算数为90.49万元，比上年决算增加18.10万元，增长25.00%,主要原因是：本年基本公共卫生服务补助项目经费较上年增加。</w:t>
      </w:r>
    </w:p>
    <w:p w14:paraId="247A8D83">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7.卫生健康支出(类)公共卫生(款)突发公共卫生事件应急处理(项):支出决算数为0.00万元，比上年决算减少51.96万元，下降100.00%,主要原因是：本年未安排疏勒县突发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w:t>
      </w:r>
    </w:p>
    <w:p w14:paraId="7D2BE4B6">
      <w:pPr>
        <w:spacing w:line="580" w:lineRule="exact"/>
        <w:ind w:firstLine="640"/>
        <w:jc w:val="both"/>
      </w:pPr>
      <w:r>
        <w:rPr>
          <w:rFonts w:ascii="仿宋_GB2312" w:hAnsi="仿宋_GB2312" w:eastAsia="仿宋_GB2312"/>
          <w:b w:val="0"/>
          <w:sz w:val="32"/>
        </w:rPr>
        <w:t>8.卫生健康支出(类)公共卫生(款)其他公共卫生支出(项):支出决算数为51.92万元，比上年决算增加51.92万元，增长100.00%,主要原因是：本年自治区公共卫生服务[地方公共卫生]补助项目增加。</w:t>
      </w:r>
    </w:p>
    <w:p w14:paraId="33CD3BC3">
      <w:pPr>
        <w:spacing w:line="580" w:lineRule="exact"/>
        <w:ind w:firstLine="640"/>
        <w:jc w:val="both"/>
      </w:pPr>
      <w:r>
        <w:rPr>
          <w:rFonts w:ascii="仿宋_GB2312" w:hAnsi="仿宋_GB2312" w:eastAsia="仿宋_GB2312"/>
          <w:b w:val="0"/>
          <w:sz w:val="32"/>
        </w:rPr>
        <w:t>9.卫生健康支出(类)计划生育事务(款)</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服务(项):支出决算数为1.66万元，比上年决算增加1.19万元，增长253.19%,主要原因是：本年计生服务项目资金较上年增加。</w:t>
      </w:r>
    </w:p>
    <w:p w14:paraId="36180913">
      <w:pPr>
        <w:spacing w:line="580" w:lineRule="exact"/>
        <w:ind w:firstLine="640"/>
        <w:jc w:val="both"/>
      </w:pPr>
      <w:r>
        <w:rPr>
          <w:rFonts w:ascii="仿宋_GB2312" w:hAnsi="仿宋_GB2312" w:eastAsia="仿宋_GB2312"/>
          <w:b w:val="0"/>
          <w:sz w:val="32"/>
        </w:rPr>
        <w:t>10.住房保障支出(类)住房改革支出(款)住房公积金(项):支出决算数为33.33万元，比上年决算增加5.63万元，增长20.32%,主要原因是：本年在职人员工资基数调增，公积金缴费基数上涨，相应支出增加。</w:t>
      </w:r>
    </w:p>
    <w:p w14:paraId="45178E3E">
      <w:pPr>
        <w:spacing w:line="640" w:lineRule="exact"/>
        <w:ind w:firstLine="640"/>
        <w:jc w:val="both"/>
        <w:outlineLvl w:val="2"/>
      </w:pPr>
      <w:r>
        <w:rPr>
          <w:rFonts w:ascii="黑体" w:hAnsi="黑体" w:eastAsia="黑体"/>
          <w:sz w:val="32"/>
        </w:rPr>
        <w:t>六、一般公共预算财政拨款基本支出决算情况说明</w:t>
      </w:r>
    </w:p>
    <w:p w14:paraId="389E75E5">
      <w:pPr>
        <w:spacing w:line="580" w:lineRule="exact"/>
        <w:ind w:firstLine="640"/>
        <w:jc w:val="both"/>
      </w:pPr>
      <w:r>
        <w:rPr>
          <w:rFonts w:ascii="仿宋_GB2312" w:hAnsi="仿宋_GB2312" w:eastAsia="仿宋_GB2312"/>
          <w:b w:val="0"/>
          <w:sz w:val="32"/>
        </w:rPr>
        <w:t>2024年度一般公共预算财政拨款基本支出428.27万元，其中：</w:t>
      </w:r>
      <w:r>
        <w:rPr>
          <w:rFonts w:ascii="仿宋_GB2312" w:hAnsi="仿宋_GB2312" w:eastAsia="仿宋_GB2312"/>
          <w:b/>
          <w:sz w:val="32"/>
        </w:rPr>
        <w:t>人员经费428.27万元，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0ABB975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F87954E">
      <w:pPr>
        <w:spacing w:line="640" w:lineRule="exact"/>
        <w:ind w:firstLine="640"/>
        <w:jc w:val="both"/>
        <w:outlineLvl w:val="2"/>
      </w:pPr>
      <w:r>
        <w:rPr>
          <w:rFonts w:ascii="黑体" w:hAnsi="黑体" w:eastAsia="黑体"/>
          <w:sz w:val="32"/>
        </w:rPr>
        <w:t>七、政府性基金预算财政拨款收入支出决算情况说明</w:t>
      </w:r>
    </w:p>
    <w:p w14:paraId="27BDCB82">
      <w:pPr>
        <w:spacing w:line="580" w:lineRule="exact"/>
        <w:ind w:firstLine="640"/>
        <w:jc w:val="both"/>
      </w:pPr>
      <w:r>
        <w:rPr>
          <w:rFonts w:ascii="仿宋_GB2312" w:hAnsi="仿宋_GB2312" w:eastAsia="仿宋_GB2312"/>
          <w:b/>
          <w:sz w:val="32"/>
        </w:rPr>
        <w:t>2024年度政府性基金预算财政拨款收入总计0.23万元，</w:t>
      </w:r>
      <w:r>
        <w:rPr>
          <w:rFonts w:ascii="仿宋_GB2312" w:hAnsi="仿宋_GB2312" w:eastAsia="仿宋_GB2312"/>
          <w:b w:val="0"/>
          <w:sz w:val="32"/>
        </w:rPr>
        <w:t>其中：年初结转和结余0.00万元，本年收入0.23万元。</w:t>
      </w:r>
      <w:r>
        <w:rPr>
          <w:rFonts w:ascii="仿宋_GB2312" w:hAnsi="仿宋_GB2312" w:eastAsia="仿宋_GB2312"/>
          <w:b/>
          <w:sz w:val="32"/>
        </w:rPr>
        <w:t>政府性基金预算财政拨款支出总计0.23万元，</w:t>
      </w:r>
      <w:r>
        <w:rPr>
          <w:rFonts w:ascii="仿宋_GB2312" w:hAnsi="仿宋_GB2312" w:eastAsia="仿宋_GB2312"/>
          <w:b w:val="0"/>
          <w:sz w:val="32"/>
        </w:rPr>
        <w:t>其中：年末结转和结余0.00万元，本年支出0.23万元。</w:t>
      </w:r>
    </w:p>
    <w:p w14:paraId="08BE94E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增加0.23万元，增长100.00%，主要原因是：本年增加血压计和血糖测试仪费项目，导致经费较上年增加。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年初预算数0.23万元，决算数0.23万元，预决算差异率0.00%，主要原因是：严格按照预算执行，预决算无差异。</w:t>
      </w:r>
    </w:p>
    <w:p w14:paraId="3DC26446">
      <w:pPr>
        <w:spacing w:line="580" w:lineRule="exact"/>
        <w:ind w:firstLine="640"/>
        <w:jc w:val="both"/>
      </w:pPr>
      <w:r>
        <w:rPr>
          <w:rFonts w:ascii="仿宋_GB2312" w:hAnsi="仿宋_GB2312" w:eastAsia="仿宋_GB2312"/>
          <w:b w:val="0"/>
          <w:sz w:val="32"/>
        </w:rPr>
        <w:t>政府性基金预算财政拨款支出0.23万元。</w:t>
      </w:r>
    </w:p>
    <w:p w14:paraId="533BD406">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0.23万元，比上年决算增加0.23万元，增长100.00%,主要原因是：本年增加血压计和血糖测试仪费项目，导致经费较上年增加。</w:t>
      </w:r>
    </w:p>
    <w:p w14:paraId="32CE7CE3">
      <w:pPr>
        <w:spacing w:line="640" w:lineRule="exact"/>
        <w:ind w:firstLine="640"/>
        <w:jc w:val="both"/>
        <w:outlineLvl w:val="2"/>
      </w:pPr>
      <w:r>
        <w:rPr>
          <w:rFonts w:ascii="黑体" w:hAnsi="黑体" w:eastAsia="黑体"/>
          <w:sz w:val="32"/>
        </w:rPr>
        <w:t>八、国有资本经营预算财政拨款收入支出决算情况说明</w:t>
      </w:r>
    </w:p>
    <w:p w14:paraId="12FA68A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3574AF">
      <w:pPr>
        <w:spacing w:line="640" w:lineRule="exact"/>
        <w:ind w:firstLine="640"/>
        <w:jc w:val="both"/>
        <w:outlineLvl w:val="2"/>
      </w:pPr>
      <w:r>
        <w:rPr>
          <w:rFonts w:ascii="黑体" w:hAnsi="黑体" w:eastAsia="黑体"/>
          <w:sz w:val="32"/>
        </w:rPr>
        <w:t>九、财政拨款“三公”经费支出决算情况说明</w:t>
      </w:r>
    </w:p>
    <w:p w14:paraId="3C9C567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6589D4F">
      <w:pPr>
        <w:spacing w:line="580" w:lineRule="exact"/>
        <w:ind w:firstLine="640"/>
        <w:jc w:val="both"/>
      </w:pPr>
      <w:r>
        <w:rPr>
          <w:rFonts w:ascii="仿宋_GB2312" w:hAnsi="仿宋_GB2312" w:eastAsia="仿宋_GB2312"/>
          <w:b/>
          <w:sz w:val="32"/>
        </w:rPr>
        <w:t>具体情况如下：</w:t>
      </w:r>
    </w:p>
    <w:p w14:paraId="50E0869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D3514D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差异车辆2辆，为救护车，均未使用财政拨款</w:t>
      </w:r>
      <w:r>
        <w:rPr>
          <w:rFonts w:hint="eastAsia" w:ascii="仿宋_GB2312" w:hAnsi="仿宋_GB2312" w:eastAsia="仿宋_GB2312"/>
          <w:b w:val="0"/>
          <w:sz w:val="32"/>
          <w:lang w:eastAsia="zh-CN"/>
        </w:rPr>
        <w:t>“三公”经费</w:t>
      </w:r>
      <w:r>
        <w:rPr>
          <w:rFonts w:ascii="仿宋_GB2312" w:hAnsi="仿宋_GB2312" w:eastAsia="仿宋_GB2312"/>
          <w:b w:val="0"/>
          <w:sz w:val="32"/>
        </w:rPr>
        <w:t>，由医疗收入经费保障。</w:t>
      </w:r>
    </w:p>
    <w:p w14:paraId="2F86D25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EC59E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4353B5B">
      <w:pPr>
        <w:spacing w:line="640" w:lineRule="exact"/>
        <w:ind w:firstLine="640"/>
        <w:jc w:val="both"/>
        <w:outlineLvl w:val="2"/>
      </w:pPr>
      <w:r>
        <w:rPr>
          <w:rFonts w:ascii="黑体" w:hAnsi="黑体" w:eastAsia="黑体"/>
          <w:sz w:val="32"/>
        </w:rPr>
        <w:t>十、其他重要事项的情况说明</w:t>
      </w:r>
    </w:p>
    <w:p w14:paraId="016C6FA9">
      <w:pPr>
        <w:spacing w:line="640" w:lineRule="exact"/>
        <w:ind w:firstLine="640"/>
        <w:jc w:val="both"/>
        <w:outlineLvl w:val="3"/>
      </w:pPr>
      <w:r>
        <w:rPr>
          <w:rFonts w:ascii="楷体_GB2312" w:hAnsi="楷体_GB2312" w:eastAsia="楷体_GB2312"/>
          <w:b/>
          <w:sz w:val="32"/>
        </w:rPr>
        <w:t>（一）机关运行经费及公用经费支出情况</w:t>
      </w:r>
    </w:p>
    <w:p w14:paraId="15195DDD">
      <w:pPr>
        <w:spacing w:line="580" w:lineRule="exact"/>
        <w:ind w:firstLine="640"/>
        <w:jc w:val="both"/>
      </w:pPr>
      <w:r>
        <w:rPr>
          <w:rFonts w:ascii="仿宋_GB2312" w:hAnsi="仿宋_GB2312" w:eastAsia="仿宋_GB2312"/>
          <w:b w:val="0"/>
          <w:sz w:val="32"/>
        </w:rPr>
        <w:t>2024年度疏勒县塔尕尔其乡卫生院（事业单位）公用经费支出0.00万元，比上年增加0.00万元，增长0.00%，主要原因是：2023年与2024年均未安排公用经费支出。</w:t>
      </w:r>
    </w:p>
    <w:p w14:paraId="6E3F4696">
      <w:pPr>
        <w:spacing w:line="640" w:lineRule="exact"/>
        <w:ind w:firstLine="640"/>
        <w:jc w:val="both"/>
        <w:outlineLvl w:val="3"/>
      </w:pPr>
      <w:r>
        <w:rPr>
          <w:rFonts w:ascii="楷体_GB2312" w:hAnsi="楷体_GB2312" w:eastAsia="楷体_GB2312"/>
          <w:b/>
          <w:sz w:val="32"/>
        </w:rPr>
        <w:t>（二）政府采购情况</w:t>
      </w:r>
    </w:p>
    <w:p w14:paraId="04D85B5A">
      <w:pPr>
        <w:spacing w:line="580" w:lineRule="exact"/>
        <w:ind w:firstLine="640"/>
        <w:jc w:val="both"/>
      </w:pPr>
      <w:r>
        <w:rPr>
          <w:rFonts w:ascii="仿宋_GB2312" w:hAnsi="仿宋_GB2312" w:eastAsia="仿宋_GB2312"/>
          <w:b w:val="0"/>
          <w:sz w:val="32"/>
        </w:rPr>
        <w:t>2024年度政府采购支出总额22.85万元，其中：政府采购货物支出13.23万元、政府采购工程支出0.00万元、政府采购服务支出9.61万元。</w:t>
      </w:r>
    </w:p>
    <w:p w14:paraId="6C8FD990">
      <w:pPr>
        <w:spacing w:line="580" w:lineRule="exact"/>
        <w:ind w:firstLine="640"/>
        <w:jc w:val="both"/>
      </w:pPr>
      <w:r>
        <w:rPr>
          <w:rFonts w:ascii="仿宋_GB2312" w:hAnsi="仿宋_GB2312" w:eastAsia="仿宋_GB2312"/>
          <w:b w:val="0"/>
          <w:sz w:val="32"/>
        </w:rPr>
        <w:t>授予中小企业合同金额21.34万元，占政府采购支出总额的93.39%，其中：授予小微企业合同金额19.00万元，占政府采购支出总额的83.15%。</w:t>
      </w:r>
    </w:p>
    <w:p w14:paraId="01A9CFB0">
      <w:pPr>
        <w:spacing w:line="640" w:lineRule="exact"/>
        <w:ind w:firstLine="640"/>
        <w:jc w:val="both"/>
        <w:outlineLvl w:val="3"/>
      </w:pPr>
      <w:r>
        <w:rPr>
          <w:rFonts w:ascii="楷体_GB2312" w:hAnsi="楷体_GB2312" w:eastAsia="楷体_GB2312"/>
          <w:b/>
          <w:sz w:val="32"/>
        </w:rPr>
        <w:t>（三）国有资产占用情况说明</w:t>
      </w:r>
    </w:p>
    <w:p w14:paraId="67A5FF9F">
      <w:pPr>
        <w:spacing w:line="580" w:lineRule="exact"/>
        <w:ind w:firstLine="640"/>
        <w:jc w:val="both"/>
      </w:pPr>
      <w:r>
        <w:rPr>
          <w:rFonts w:ascii="仿宋_GB2312" w:hAnsi="仿宋_GB2312" w:eastAsia="仿宋_GB2312"/>
          <w:b w:val="0"/>
          <w:sz w:val="32"/>
        </w:rPr>
        <w:t>截至2024年12月31日，房屋785.87平方米，价值132.32万元。车辆2辆，价值35.70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1B64CFEB">
      <w:pPr>
        <w:spacing w:line="640" w:lineRule="exact"/>
        <w:ind w:firstLine="640"/>
        <w:jc w:val="both"/>
        <w:outlineLvl w:val="2"/>
      </w:pPr>
      <w:r>
        <w:rPr>
          <w:rFonts w:ascii="黑体" w:hAnsi="黑体" w:eastAsia="黑体"/>
          <w:sz w:val="32"/>
        </w:rPr>
        <w:t>十一、预算绩效的情况说明</w:t>
      </w:r>
    </w:p>
    <w:p w14:paraId="761AC12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5E326B71">
      <w:r>
        <w:br w:type="page"/>
      </w:r>
    </w:p>
    <w:p w14:paraId="4DC3565E">
      <w:pPr>
        <w:spacing w:line="640" w:lineRule="exact"/>
        <w:ind w:firstLine="640"/>
        <w:jc w:val="both"/>
        <w:outlineLvl w:val="2"/>
      </w:pPr>
      <w:r>
        <w:rPr>
          <w:rFonts w:ascii="黑体" w:hAnsi="黑体" w:eastAsia="黑体"/>
          <w:sz w:val="32"/>
        </w:rPr>
        <w:t>十二、其他需说明的事项</w:t>
      </w:r>
    </w:p>
    <w:p w14:paraId="02FB5F77">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56BCE6DE">
      <w:r>
        <w:br w:type="page"/>
      </w:r>
    </w:p>
    <w:p w14:paraId="3C2727B9">
      <w:pPr>
        <w:spacing w:line="240" w:lineRule="auto"/>
        <w:jc w:val="center"/>
        <w:outlineLvl w:val="1"/>
      </w:pPr>
      <w:r>
        <w:rPr>
          <w:rFonts w:ascii="黑体" w:hAnsi="黑体" w:eastAsia="黑体"/>
          <w:sz w:val="32"/>
        </w:rPr>
        <w:t>第三部分 专业名词解释</w:t>
      </w:r>
    </w:p>
    <w:p w14:paraId="3DF43D8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4ABD41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8CBCCB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934336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98E11E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3E56C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682EB2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FDB6C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15746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5414F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F27E14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EF8F6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F5B76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168C0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B79D8B">
      <w:r>
        <w:br w:type="page"/>
      </w:r>
    </w:p>
    <w:p w14:paraId="5F771447">
      <w:pPr>
        <w:spacing w:line="240" w:lineRule="auto"/>
        <w:jc w:val="center"/>
        <w:outlineLvl w:val="1"/>
      </w:pPr>
      <w:r>
        <w:rPr>
          <w:rFonts w:ascii="黑体" w:hAnsi="黑体" w:eastAsia="黑体"/>
          <w:sz w:val="32"/>
        </w:rPr>
        <w:t>第四部分 部门决算报表（见附表）</w:t>
      </w:r>
    </w:p>
    <w:p w14:paraId="776484F6">
      <w:pPr>
        <w:spacing w:line="240" w:lineRule="auto"/>
        <w:ind w:firstLine="640"/>
        <w:jc w:val="both"/>
      </w:pPr>
      <w:r>
        <w:rPr>
          <w:rFonts w:ascii="仿宋_GB2312" w:hAnsi="仿宋_GB2312" w:eastAsia="仿宋_GB2312"/>
          <w:b w:val="0"/>
          <w:sz w:val="32"/>
        </w:rPr>
        <w:t>一、《收入支出决算总表》</w:t>
      </w:r>
    </w:p>
    <w:p w14:paraId="1948E063">
      <w:pPr>
        <w:spacing w:line="240" w:lineRule="auto"/>
        <w:ind w:firstLine="640"/>
        <w:jc w:val="both"/>
      </w:pPr>
      <w:r>
        <w:rPr>
          <w:rFonts w:ascii="仿宋_GB2312" w:hAnsi="仿宋_GB2312" w:eastAsia="仿宋_GB2312"/>
          <w:b w:val="0"/>
          <w:sz w:val="32"/>
        </w:rPr>
        <w:t>二、《收入决算表》</w:t>
      </w:r>
    </w:p>
    <w:p w14:paraId="6E5FDC03">
      <w:pPr>
        <w:spacing w:line="240" w:lineRule="auto"/>
        <w:ind w:firstLine="640"/>
        <w:jc w:val="both"/>
      </w:pPr>
      <w:r>
        <w:rPr>
          <w:rFonts w:ascii="仿宋_GB2312" w:hAnsi="仿宋_GB2312" w:eastAsia="仿宋_GB2312"/>
          <w:b w:val="0"/>
          <w:sz w:val="32"/>
        </w:rPr>
        <w:t>三、《支出决算表》</w:t>
      </w:r>
    </w:p>
    <w:p w14:paraId="29E394E5">
      <w:pPr>
        <w:spacing w:line="240" w:lineRule="auto"/>
        <w:ind w:firstLine="640"/>
        <w:jc w:val="both"/>
      </w:pPr>
      <w:r>
        <w:rPr>
          <w:rFonts w:ascii="仿宋_GB2312" w:hAnsi="仿宋_GB2312" w:eastAsia="仿宋_GB2312"/>
          <w:b w:val="0"/>
          <w:sz w:val="32"/>
        </w:rPr>
        <w:t>四、《财政拨款收入支出决算总表》</w:t>
      </w:r>
    </w:p>
    <w:p w14:paraId="008B6689">
      <w:pPr>
        <w:spacing w:line="240" w:lineRule="auto"/>
        <w:ind w:firstLine="640"/>
        <w:jc w:val="both"/>
      </w:pPr>
      <w:r>
        <w:rPr>
          <w:rFonts w:ascii="仿宋_GB2312" w:hAnsi="仿宋_GB2312" w:eastAsia="仿宋_GB2312"/>
          <w:b w:val="0"/>
          <w:sz w:val="32"/>
        </w:rPr>
        <w:t>五、《一般公共预算财政拨款支出决算表》</w:t>
      </w:r>
    </w:p>
    <w:p w14:paraId="5EBE3504">
      <w:pPr>
        <w:spacing w:line="240" w:lineRule="auto"/>
        <w:ind w:firstLine="640"/>
        <w:jc w:val="both"/>
      </w:pPr>
      <w:r>
        <w:rPr>
          <w:rFonts w:ascii="仿宋_GB2312" w:hAnsi="仿宋_GB2312" w:eastAsia="仿宋_GB2312"/>
          <w:b w:val="0"/>
          <w:sz w:val="32"/>
        </w:rPr>
        <w:t>六、《一般公共预算财政拨款基本支出决算表》</w:t>
      </w:r>
    </w:p>
    <w:p w14:paraId="7445EB57">
      <w:pPr>
        <w:spacing w:line="240" w:lineRule="auto"/>
        <w:ind w:firstLine="640"/>
        <w:jc w:val="both"/>
      </w:pPr>
      <w:r>
        <w:rPr>
          <w:rFonts w:ascii="仿宋_GB2312" w:hAnsi="仿宋_GB2312" w:eastAsia="仿宋_GB2312"/>
          <w:b w:val="0"/>
          <w:sz w:val="32"/>
        </w:rPr>
        <w:t>七、《政府性基金预算财政拨款收入支出决算表》</w:t>
      </w:r>
    </w:p>
    <w:p w14:paraId="268E09F3">
      <w:pPr>
        <w:spacing w:line="240" w:lineRule="auto"/>
        <w:ind w:firstLine="640"/>
        <w:jc w:val="both"/>
      </w:pPr>
      <w:r>
        <w:rPr>
          <w:rFonts w:ascii="仿宋_GB2312" w:hAnsi="仿宋_GB2312" w:eastAsia="仿宋_GB2312"/>
          <w:b w:val="0"/>
          <w:sz w:val="32"/>
        </w:rPr>
        <w:t>八、《国有资本经营预算财政拨款收入支出决算表》</w:t>
      </w:r>
    </w:p>
    <w:p w14:paraId="46E5A23C">
      <w:pPr>
        <w:spacing w:line="240" w:lineRule="auto"/>
        <w:ind w:firstLine="640"/>
        <w:jc w:val="both"/>
      </w:pPr>
      <w:r>
        <w:rPr>
          <w:rFonts w:ascii="仿宋_GB2312" w:hAnsi="仿宋_GB2312" w:eastAsia="仿宋_GB2312"/>
          <w:b w:val="0"/>
          <w:sz w:val="32"/>
        </w:rPr>
        <w:t>九、《财政拨款“三公”经费支出决算表》</w:t>
      </w:r>
    </w:p>
    <w:p w14:paraId="585F9545">
      <w:pPr>
        <w:spacing w:line="240" w:lineRule="auto"/>
        <w:ind w:firstLine="640"/>
        <w:jc w:val="both"/>
      </w:pPr>
    </w:p>
    <w:p w14:paraId="4BC469E9">
      <w:pPr>
        <w:spacing w:line="240" w:lineRule="auto"/>
        <w:ind w:firstLine="640"/>
        <w:jc w:val="both"/>
      </w:pPr>
    </w:p>
    <w:p w14:paraId="4E1EE725">
      <w:pPr>
        <w:spacing w:line="240" w:lineRule="auto"/>
        <w:ind w:firstLine="640"/>
        <w:jc w:val="both"/>
      </w:pPr>
    </w:p>
    <w:p w14:paraId="7AE4CEDA">
      <w:pPr>
        <w:spacing w:line="240" w:lineRule="auto"/>
        <w:ind w:firstLine="640"/>
        <w:jc w:val="both"/>
      </w:pPr>
    </w:p>
    <w:p w14:paraId="278F12B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3E704D-2DC4-471F-93C2-4ECB7CE38B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1BEE4BA-F435-47FA-A0E7-5BA2E3F2A901}"/>
  </w:font>
  <w:font w:name="仿宋_GB2312">
    <w:altName w:val="仿宋"/>
    <w:panose1 w:val="02010609030101010101"/>
    <w:charset w:val="86"/>
    <w:family w:val="modern"/>
    <w:pitch w:val="default"/>
    <w:sig w:usb0="00000000" w:usb1="00000000" w:usb2="00000000" w:usb3="00000000" w:csb0="00040000" w:csb1="00000000"/>
    <w:embedRegular r:id="rId3" w:fontKey="{39000888-9B97-435D-A5B0-F9A79EC51A06}"/>
  </w:font>
  <w:font w:name="楷体_GB2312">
    <w:altName w:val="楷体"/>
    <w:panose1 w:val="02010609030101010101"/>
    <w:charset w:val="86"/>
    <w:family w:val="auto"/>
    <w:pitch w:val="default"/>
    <w:sig w:usb0="00000000" w:usb1="00000000" w:usb2="00000000" w:usb3="00000000" w:csb0="00040000" w:csb1="00000000"/>
    <w:embedRegular r:id="rId4" w:fontKey="{EF77B014-251D-4D1C-8044-45C77F7DB395}"/>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456ADB"/>
    <w:rsid w:val="55DA564E"/>
    <w:rsid w:val="56E07045"/>
    <w:rsid w:val="583059FA"/>
    <w:rsid w:val="587E6212"/>
    <w:rsid w:val="5AFC6609"/>
    <w:rsid w:val="5D4869E5"/>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5590</Words>
  <Characters>6342</Characters>
  <Lines>0</Lines>
  <Paragraphs>0</Paragraphs>
  <TotalTime>2</TotalTime>
  <ScaleCrop>false</ScaleCrop>
  <LinksUpToDate>false</LinksUpToDate>
  <CharactersWithSpaces>6352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2025-09-26T05:30:09Z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