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疏勒县技工学校2024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CBE89FF">
      <w:r>
        <w:br w:type="page"/>
      </w:r>
    </w:p>
    <w:p w14:paraId="684FAD4A">
      <w:pPr>
        <w:spacing w:line="640" w:lineRule="exact"/>
        <w:jc w:val="center"/>
        <w:outlineLvl w:val="1"/>
      </w:pPr>
      <w:r>
        <w:rPr>
          <w:rFonts w:ascii="黑体" w:hAnsi="黑体" w:eastAsia="黑体"/>
          <w:sz w:val="32"/>
        </w:rPr>
        <w:t>第一部分 单位概况</w:t>
      </w:r>
    </w:p>
    <w:p w14:paraId="036D437F">
      <w:pPr>
        <w:spacing w:line="640" w:lineRule="exact"/>
        <w:ind w:firstLine="640"/>
        <w:jc w:val="both"/>
        <w:outlineLvl w:val="2"/>
      </w:pPr>
      <w:r>
        <w:rPr>
          <w:rFonts w:ascii="黑体" w:hAnsi="黑体" w:eastAsia="黑体"/>
          <w:sz w:val="32"/>
        </w:rPr>
        <w:t>一、主要职能</w:t>
      </w:r>
    </w:p>
    <w:p w14:paraId="4045C09E">
      <w:pPr>
        <w:spacing w:line="580" w:lineRule="exact"/>
        <w:ind w:firstLine="640"/>
        <w:jc w:val="both"/>
      </w:pPr>
      <w:r>
        <w:rPr>
          <w:rFonts w:ascii="仿宋_GB2312" w:hAnsi="仿宋_GB2312" w:eastAsia="仿宋_GB2312"/>
          <w:sz w:val="32"/>
        </w:rPr>
        <w:t>（1）开展职业技能培训，提出职业技能培训总体规划、专业设置等方案。</w:t>
      </w:r>
    </w:p>
    <w:p w14:paraId="6DADDA04">
      <w:pPr>
        <w:spacing w:line="580" w:lineRule="exact"/>
        <w:ind w:firstLine="640"/>
        <w:jc w:val="both"/>
      </w:pPr>
      <w:r>
        <w:rPr>
          <w:rFonts w:ascii="仿宋_GB2312" w:hAnsi="仿宋_GB2312" w:eastAsia="仿宋_GB2312"/>
          <w:sz w:val="32"/>
        </w:rPr>
        <w:t>（2）加强学校师资队伍建设，积极开展教师培训培养，提高专兼职教师的教育教学水平。</w:t>
      </w:r>
    </w:p>
    <w:p w14:paraId="0EF8C52E">
      <w:pPr>
        <w:spacing w:line="580" w:lineRule="exact"/>
        <w:ind w:firstLine="640"/>
        <w:jc w:val="both"/>
      </w:pPr>
      <w:r>
        <w:rPr>
          <w:rFonts w:ascii="仿宋_GB2312" w:hAnsi="仿宋_GB2312" w:eastAsia="仿宋_GB2312"/>
          <w:sz w:val="32"/>
        </w:rPr>
        <w:t>（3）立足用于市场需求，科学设置培训科目和实训内容，扎实开展城乡应用技术型人才培训，不断提升劳动力职业素质，拓宽就业创业渠道。</w:t>
      </w:r>
    </w:p>
    <w:p w14:paraId="02FBEBB4">
      <w:pPr>
        <w:spacing w:line="640" w:lineRule="exact"/>
        <w:ind w:firstLine="640"/>
        <w:jc w:val="both"/>
        <w:outlineLvl w:val="2"/>
      </w:pPr>
      <w:r>
        <w:rPr>
          <w:rFonts w:ascii="黑体" w:hAnsi="黑体" w:eastAsia="黑体"/>
          <w:sz w:val="32"/>
        </w:rPr>
        <w:t>二、机构设置及人员情况</w:t>
      </w:r>
    </w:p>
    <w:p w14:paraId="54A0D60C">
      <w:pPr>
        <w:spacing w:line="580" w:lineRule="exact"/>
        <w:ind w:firstLine="640"/>
        <w:jc w:val="both"/>
      </w:pPr>
      <w:r>
        <w:rPr>
          <w:rFonts w:ascii="仿宋_GB2312" w:hAnsi="仿宋_GB2312" w:eastAsia="仿宋_GB2312"/>
          <w:sz w:val="32"/>
        </w:rPr>
        <w:t>疏勒县技工学校2024年度，实有人数47人，其中：在职人员47人，增加5人；离休人员0人，增加0人；退休人员0人,增加0人。</w:t>
      </w:r>
    </w:p>
    <w:p w14:paraId="4F92C5E8">
      <w:pPr>
        <w:spacing w:line="580" w:lineRule="exact"/>
        <w:ind w:firstLine="640"/>
        <w:jc w:val="both"/>
      </w:pPr>
      <w:r>
        <w:rPr>
          <w:rFonts w:ascii="仿宋_GB2312" w:hAnsi="仿宋_GB2312" w:eastAsia="仿宋_GB2312"/>
          <w:sz w:val="32"/>
        </w:rPr>
        <w:t>疏勒县技工学校无下属预算单位，下设8个科室，分别是：综合股、政治工作股、教育股、财务股、总务股、招生就业中心、实训中心、保卫股。</w:t>
      </w:r>
    </w:p>
    <w:p w14:paraId="02230ABF">
      <w:r>
        <w:br w:type="page"/>
      </w:r>
    </w:p>
    <w:p w14:paraId="40FD7AA7">
      <w:pPr>
        <w:spacing w:line="240" w:lineRule="auto"/>
        <w:jc w:val="center"/>
        <w:outlineLvl w:val="1"/>
      </w:pPr>
      <w:r>
        <w:rPr>
          <w:rFonts w:ascii="黑体" w:hAnsi="黑体" w:eastAsia="黑体"/>
          <w:sz w:val="32"/>
        </w:rPr>
        <w:t>第二部分 部门决算情况说明</w:t>
      </w:r>
    </w:p>
    <w:p w14:paraId="465275DC">
      <w:pPr>
        <w:spacing w:line="640" w:lineRule="exact"/>
        <w:ind w:firstLine="640"/>
        <w:jc w:val="both"/>
        <w:outlineLvl w:val="2"/>
      </w:pPr>
      <w:r>
        <w:rPr>
          <w:rFonts w:ascii="黑体" w:hAnsi="黑体" w:eastAsia="黑体"/>
          <w:sz w:val="32"/>
        </w:rPr>
        <w:t>一、收入支出决算总体情况说明</w:t>
      </w:r>
    </w:p>
    <w:p w14:paraId="7CD7724D">
      <w:pPr>
        <w:spacing w:line="580" w:lineRule="exact"/>
        <w:ind w:firstLine="640"/>
        <w:jc w:val="both"/>
      </w:pPr>
      <w:r>
        <w:rPr>
          <w:rFonts w:ascii="仿宋_GB2312" w:hAnsi="仿宋_GB2312" w:eastAsia="仿宋_GB2312"/>
          <w:b/>
          <w:sz w:val="32"/>
        </w:rPr>
        <w:t>2024年度收入总计987.63万元，</w:t>
      </w:r>
      <w:r>
        <w:rPr>
          <w:rFonts w:ascii="仿宋_GB2312" w:hAnsi="仿宋_GB2312" w:eastAsia="仿宋_GB2312"/>
          <w:b w:val="0"/>
          <w:sz w:val="32"/>
        </w:rPr>
        <w:t>其中：本年收入合计987.63万元，使用非财政拨款结余（含专用结余）0.00万元，年初结转和结余0.00万元。</w:t>
      </w:r>
    </w:p>
    <w:p w14:paraId="729EBA2B">
      <w:pPr>
        <w:spacing w:line="580" w:lineRule="exact"/>
        <w:ind w:firstLine="640"/>
        <w:jc w:val="both"/>
      </w:pPr>
      <w:r>
        <w:rPr>
          <w:rFonts w:ascii="仿宋_GB2312" w:hAnsi="仿宋_GB2312" w:eastAsia="仿宋_GB2312"/>
          <w:b/>
          <w:sz w:val="32"/>
        </w:rPr>
        <w:t>2024年度支出总计987.63万元，</w:t>
      </w:r>
      <w:r>
        <w:rPr>
          <w:rFonts w:ascii="仿宋_GB2312" w:hAnsi="仿宋_GB2312" w:eastAsia="仿宋_GB2312"/>
          <w:b w:val="0"/>
          <w:sz w:val="32"/>
        </w:rPr>
        <w:t>其中：本年支出合计987.63万元，结余分配0.00万元，年末结转和结余0.00万元。</w:t>
      </w:r>
    </w:p>
    <w:p w14:paraId="714D4113">
      <w:pPr>
        <w:spacing w:line="580" w:lineRule="exact"/>
        <w:ind w:firstLine="640"/>
        <w:jc w:val="both"/>
      </w:pPr>
      <w:r>
        <w:rPr>
          <w:rFonts w:ascii="仿宋_GB2312" w:hAnsi="仿宋_GB2312" w:eastAsia="仿宋_GB2312"/>
          <w:b w:val="0"/>
          <w:sz w:val="32"/>
        </w:rPr>
        <w:t>收入支出总体与上年相比，减少1,674.19万元，下降62.90%，主要原因是：本年减少疏勒县喀什地区疏勒县新建技工学校建设项目，导致经费较上年减少。</w:t>
      </w:r>
    </w:p>
    <w:p w14:paraId="4A852385">
      <w:pPr>
        <w:spacing w:line="640" w:lineRule="exact"/>
        <w:ind w:firstLine="640"/>
        <w:jc w:val="both"/>
        <w:outlineLvl w:val="2"/>
      </w:pPr>
      <w:r>
        <w:rPr>
          <w:rFonts w:ascii="黑体" w:hAnsi="黑体" w:eastAsia="黑体"/>
          <w:sz w:val="32"/>
        </w:rPr>
        <w:t>二、收入决算情况说明</w:t>
      </w:r>
    </w:p>
    <w:p w14:paraId="58E71EFE">
      <w:pPr>
        <w:spacing w:line="580" w:lineRule="exact"/>
        <w:ind w:firstLine="640"/>
        <w:jc w:val="both"/>
      </w:pPr>
      <w:r>
        <w:rPr>
          <w:rFonts w:ascii="仿宋_GB2312" w:hAnsi="仿宋_GB2312" w:eastAsia="仿宋_GB2312"/>
          <w:b/>
          <w:sz w:val="32"/>
        </w:rPr>
        <w:t>本年收入987.63万元，</w:t>
      </w:r>
      <w:r>
        <w:rPr>
          <w:rFonts w:ascii="仿宋_GB2312" w:hAnsi="仿宋_GB2312" w:eastAsia="仿宋_GB2312"/>
          <w:b w:val="0"/>
          <w:sz w:val="32"/>
        </w:rPr>
        <w:t>其中：财政拨款收入775.80万元，占78.55%；上级补助收入0.00万元，占0.00%；事业收入0.00万元，占0.00%；经营收入0.00万元，占0.00%；附属单位上缴收入0.00万元，占0.00%；其他收入211.83万元，占21.45%。</w:t>
      </w:r>
    </w:p>
    <w:p w14:paraId="6CA462E0">
      <w:pPr>
        <w:spacing w:line="640" w:lineRule="exact"/>
        <w:ind w:firstLine="640"/>
        <w:jc w:val="both"/>
        <w:outlineLvl w:val="2"/>
      </w:pPr>
      <w:r>
        <w:rPr>
          <w:rFonts w:ascii="黑体" w:hAnsi="黑体" w:eastAsia="黑体"/>
          <w:sz w:val="32"/>
        </w:rPr>
        <w:t>三、支出决算情况说明</w:t>
      </w:r>
    </w:p>
    <w:p w14:paraId="483A47DD">
      <w:pPr>
        <w:spacing w:line="580" w:lineRule="exact"/>
        <w:ind w:firstLine="640"/>
        <w:jc w:val="both"/>
      </w:pPr>
      <w:r>
        <w:rPr>
          <w:rFonts w:ascii="仿宋_GB2312" w:hAnsi="仿宋_GB2312" w:eastAsia="仿宋_GB2312"/>
          <w:b/>
          <w:sz w:val="32"/>
        </w:rPr>
        <w:t>本年支出987.63万元，</w:t>
      </w:r>
      <w:r>
        <w:rPr>
          <w:rFonts w:ascii="仿宋_GB2312" w:hAnsi="仿宋_GB2312" w:eastAsia="仿宋_GB2312"/>
          <w:b w:val="0"/>
          <w:sz w:val="32"/>
        </w:rPr>
        <w:t>其中：基本支出775.80万元，占78.55%；项目支出211.83万元，占21.45%；上缴上级支出0.00万元，占0.00%；经营支出0.00万元，占0.00%；对附属单位补助支出0.00万元，占0.00%。</w:t>
      </w:r>
    </w:p>
    <w:p w14:paraId="6DFCC669">
      <w:pPr>
        <w:spacing w:line="640" w:lineRule="exact"/>
        <w:ind w:firstLine="640"/>
        <w:jc w:val="both"/>
        <w:outlineLvl w:val="2"/>
      </w:pPr>
      <w:r>
        <w:rPr>
          <w:rFonts w:ascii="黑体" w:hAnsi="黑体" w:eastAsia="黑体"/>
          <w:sz w:val="32"/>
        </w:rPr>
        <w:t>四、财政拨款收入支出决算总体情况说明</w:t>
      </w:r>
    </w:p>
    <w:p w14:paraId="68EEB027">
      <w:pPr>
        <w:spacing w:line="580" w:lineRule="exact"/>
        <w:ind w:firstLine="640"/>
        <w:jc w:val="both"/>
      </w:pPr>
      <w:r>
        <w:rPr>
          <w:rFonts w:ascii="仿宋_GB2312" w:hAnsi="仿宋_GB2312" w:eastAsia="仿宋_GB2312"/>
          <w:b/>
          <w:sz w:val="32"/>
        </w:rPr>
        <w:t>2024年度财政拨款收入总计775.80万元，</w:t>
      </w:r>
      <w:r>
        <w:rPr>
          <w:rFonts w:ascii="仿宋_GB2312" w:hAnsi="仿宋_GB2312" w:eastAsia="仿宋_GB2312"/>
          <w:b w:val="0"/>
          <w:sz w:val="32"/>
        </w:rPr>
        <w:t>其中：年初财政拨款结转和结余0.00万元，本年财政拨款收入775.80万元。</w:t>
      </w:r>
      <w:r>
        <w:rPr>
          <w:rFonts w:ascii="仿宋_GB2312" w:hAnsi="仿宋_GB2312" w:eastAsia="仿宋_GB2312"/>
          <w:b/>
          <w:sz w:val="32"/>
        </w:rPr>
        <w:t>财政拨款支出总计775.80万元，</w:t>
      </w:r>
      <w:r>
        <w:rPr>
          <w:rFonts w:ascii="仿宋_GB2312" w:hAnsi="仿宋_GB2312" w:eastAsia="仿宋_GB2312"/>
          <w:b w:val="0"/>
          <w:sz w:val="32"/>
        </w:rPr>
        <w:t>其中：年末财政拨款结转和结余0.00万元，本年财政拨款支出775.80万元。</w:t>
      </w:r>
    </w:p>
    <w:p w14:paraId="3ADB849F">
      <w:pPr>
        <w:keepNext w:val="0"/>
        <w:keepLines w:val="0"/>
        <w:pageBreakBefore w:val="0"/>
        <w:widowControl w:val="0"/>
        <w:kinsoku/>
        <w:wordWrap/>
        <w:overflowPunct/>
        <w:topLinePunct w:val="0"/>
        <w:autoSpaceDE/>
        <w:autoSpaceDN/>
        <w:bidi w:val="0"/>
        <w:adjustRightInd/>
        <w:snapToGrid/>
        <w:spacing w:line="580" w:lineRule="exact"/>
        <w:ind w:right="-160" w:rightChars="-50" w:firstLine="641"/>
        <w:jc w:val="both"/>
        <w:textAlignment w:val="auto"/>
      </w:pPr>
      <w:r>
        <w:rPr>
          <w:rFonts w:ascii="仿宋_GB2312" w:hAnsi="仿宋_GB2312" w:eastAsia="仿宋_GB2312"/>
          <w:b/>
          <w:sz w:val="32"/>
        </w:rPr>
        <w:t>财政拨款收入支出总体与上年相比，</w:t>
      </w:r>
      <w:r>
        <w:rPr>
          <w:rFonts w:ascii="仿宋_GB2312" w:hAnsi="仿宋_GB2312" w:eastAsia="仿宋_GB2312"/>
          <w:b w:val="0"/>
          <w:sz w:val="32"/>
        </w:rPr>
        <w:t>减少1,886.02万元，下降70.85%，主要原因是：本年减少疏勒县喀什地区疏勒县新建技工学校建设项目，导致经费较上年减少。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年初预算数717.68万元，决算数775.80万元，预决算差异率8.10%，主要原因是：本年在职人员增加，年中追加人员经费及人员工资、社保、公积金基数调增部分</w:t>
      </w:r>
      <w:r>
        <w:rPr>
          <w:rFonts w:hint="eastAsia" w:ascii="仿宋_GB2312" w:hAnsi="仿宋_GB2312" w:eastAsia="仿宋_GB2312"/>
          <w:b w:val="0"/>
          <w:sz w:val="32"/>
          <w:lang w:val="en-US" w:eastAsia="zh-CN"/>
        </w:rPr>
        <w:t>资金</w:t>
      </w:r>
      <w:r>
        <w:rPr>
          <w:rFonts w:ascii="仿宋_GB2312" w:hAnsi="仿宋_GB2312" w:eastAsia="仿宋_GB2312"/>
          <w:b w:val="0"/>
          <w:sz w:val="32"/>
        </w:rPr>
        <w:t>，导致预决算存在差异。</w:t>
      </w:r>
    </w:p>
    <w:p w14:paraId="4E7637F9">
      <w:pPr>
        <w:spacing w:line="640" w:lineRule="exact"/>
        <w:ind w:firstLine="640"/>
        <w:jc w:val="both"/>
        <w:outlineLvl w:val="2"/>
      </w:pPr>
      <w:r>
        <w:rPr>
          <w:rFonts w:ascii="黑体" w:hAnsi="黑体" w:eastAsia="黑体"/>
          <w:sz w:val="32"/>
        </w:rPr>
        <w:t>五、一般公共预算财政拨款支出决算情况说明</w:t>
      </w:r>
    </w:p>
    <w:p w14:paraId="0F09A0B7">
      <w:pPr>
        <w:spacing w:line="640" w:lineRule="exact"/>
        <w:ind w:firstLine="640"/>
        <w:jc w:val="both"/>
        <w:outlineLvl w:val="3"/>
      </w:pPr>
      <w:r>
        <w:rPr>
          <w:rFonts w:ascii="楷体_GB2312" w:hAnsi="楷体_GB2312" w:eastAsia="楷体_GB2312"/>
          <w:b/>
          <w:sz w:val="32"/>
        </w:rPr>
        <w:t>（一）一般公共预算财政拨款支出决算总体情况</w:t>
      </w:r>
    </w:p>
    <w:p w14:paraId="3F1CE03E">
      <w:pPr>
        <w:spacing w:line="580" w:lineRule="exact"/>
        <w:ind w:firstLine="640"/>
        <w:jc w:val="both"/>
      </w:pPr>
      <w:r>
        <w:rPr>
          <w:rFonts w:ascii="仿宋_GB2312" w:hAnsi="仿宋_GB2312" w:eastAsia="仿宋_GB2312"/>
          <w:b/>
          <w:sz w:val="32"/>
        </w:rPr>
        <w:t>2024年度一般公共预算财政拨款支出775.80万元，</w:t>
      </w:r>
      <w:r>
        <w:rPr>
          <w:rFonts w:ascii="仿宋_GB2312" w:hAnsi="仿宋_GB2312" w:eastAsia="仿宋_GB2312"/>
          <w:b w:val="0"/>
          <w:sz w:val="32"/>
        </w:rPr>
        <w:t>占本年支出合计的78.55%。</w:t>
      </w:r>
      <w:r>
        <w:rPr>
          <w:rFonts w:ascii="仿宋_GB2312" w:hAnsi="仿宋_GB2312" w:eastAsia="仿宋_GB2312"/>
          <w:b/>
          <w:sz w:val="32"/>
        </w:rPr>
        <w:t>与上年相比，</w:t>
      </w:r>
      <w:r>
        <w:rPr>
          <w:rFonts w:ascii="仿宋_GB2312" w:hAnsi="仿宋_GB2312" w:eastAsia="仿宋_GB2312"/>
          <w:b w:val="0"/>
          <w:sz w:val="32"/>
        </w:rPr>
        <w:t>增加113.98万元，增长17.22%，主要原因是：本年在职人员增加，在职人员工资调增、社保、公积金基数调增，人员经费增加。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年初预算数717.68万元，决算数775.80万元，预决算差异率8.10%，主要原因是：本年在职人员增加，年中追加人员经费及人员工资、社保、公积金基数调增部分资金，导致预决算存在差异。</w:t>
      </w:r>
    </w:p>
    <w:p w14:paraId="5FCEB7AE">
      <w:pPr>
        <w:spacing w:line="640" w:lineRule="exact"/>
        <w:ind w:firstLine="640"/>
        <w:jc w:val="both"/>
        <w:outlineLvl w:val="3"/>
      </w:pPr>
      <w:r>
        <w:rPr>
          <w:rFonts w:ascii="楷体_GB2312" w:hAnsi="楷体_GB2312" w:eastAsia="楷体_GB2312"/>
          <w:b/>
          <w:sz w:val="32"/>
        </w:rPr>
        <w:t>（二）一般公共预算财政拨款支出决算结构情况</w:t>
      </w:r>
    </w:p>
    <w:p w14:paraId="635F1D37">
      <w:pPr>
        <w:spacing w:line="580" w:lineRule="exact"/>
        <w:ind w:firstLine="640"/>
        <w:jc w:val="both"/>
      </w:pPr>
      <w:r>
        <w:rPr>
          <w:rFonts w:ascii="仿宋_GB2312" w:hAnsi="仿宋_GB2312" w:eastAsia="仿宋_GB2312"/>
          <w:b w:val="0"/>
          <w:sz w:val="32"/>
        </w:rPr>
        <w:t>1.教育支出(类)624.12万元,占80.45%。</w:t>
      </w:r>
    </w:p>
    <w:p w14:paraId="62194F2C">
      <w:pPr>
        <w:spacing w:line="580" w:lineRule="exact"/>
        <w:ind w:firstLine="640"/>
        <w:jc w:val="both"/>
      </w:pPr>
      <w:r>
        <w:rPr>
          <w:rFonts w:ascii="仿宋_GB2312" w:hAnsi="仿宋_GB2312" w:eastAsia="仿宋_GB2312"/>
          <w:b w:val="0"/>
          <w:sz w:val="32"/>
        </w:rPr>
        <w:t>2.社会保障和就业支出(类)68.72万元,占8.86%。</w:t>
      </w:r>
    </w:p>
    <w:p w14:paraId="1F14D876">
      <w:pPr>
        <w:spacing w:line="580" w:lineRule="exact"/>
        <w:ind w:firstLine="640"/>
        <w:jc w:val="both"/>
      </w:pPr>
      <w:r>
        <w:rPr>
          <w:rFonts w:ascii="仿宋_GB2312" w:hAnsi="仿宋_GB2312" w:eastAsia="仿宋_GB2312"/>
          <w:b w:val="0"/>
          <w:sz w:val="32"/>
        </w:rPr>
        <w:t>3.卫生健康支出(类)29.21万元,占3.77%。</w:t>
      </w:r>
    </w:p>
    <w:p w14:paraId="15A9E32F">
      <w:pPr>
        <w:spacing w:line="580" w:lineRule="exact"/>
        <w:ind w:firstLine="640"/>
        <w:jc w:val="both"/>
      </w:pPr>
      <w:r>
        <w:rPr>
          <w:rFonts w:ascii="仿宋_GB2312" w:hAnsi="仿宋_GB2312" w:eastAsia="仿宋_GB2312"/>
          <w:b w:val="0"/>
          <w:sz w:val="32"/>
        </w:rPr>
        <w:t>4.住房保障支出(类)53.75万元,占6.93%。</w:t>
      </w:r>
    </w:p>
    <w:p w14:paraId="2FF86A48">
      <w:pPr>
        <w:spacing w:line="640" w:lineRule="exact"/>
        <w:ind w:firstLine="640"/>
        <w:jc w:val="both"/>
        <w:outlineLvl w:val="3"/>
      </w:pPr>
      <w:r>
        <w:rPr>
          <w:rFonts w:ascii="楷体_GB2312" w:hAnsi="楷体_GB2312" w:eastAsia="楷体_GB2312"/>
          <w:b/>
          <w:sz w:val="32"/>
        </w:rPr>
        <w:t>（三）一般公共预算财政拨款支出决算具体情况</w:t>
      </w:r>
    </w:p>
    <w:p w14:paraId="01E086CF">
      <w:pPr>
        <w:spacing w:line="580" w:lineRule="exact"/>
        <w:ind w:firstLine="640"/>
        <w:jc w:val="both"/>
      </w:pPr>
      <w:r>
        <w:rPr>
          <w:rFonts w:ascii="仿宋_GB2312" w:hAnsi="仿宋_GB2312" w:eastAsia="仿宋_GB2312"/>
          <w:b w:val="0"/>
          <w:sz w:val="32"/>
        </w:rPr>
        <w:t>1.教育支出(类)其他教育支出(款)其他教育支出(项):支出决算数为624.12万元，比上年决算增加86.61万元，增长16.11%,主要原因是：本年在职人员增加，人员工资基数调增，人员经费增加。</w:t>
      </w:r>
    </w:p>
    <w:p w14:paraId="1302936E">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68.72万元，比上年决算增加12.83万元，增长22.96%,主要原因是：本年在职人员增加，人员工资调增，养老保险缴费较上年增加。</w:t>
      </w:r>
    </w:p>
    <w:p w14:paraId="362602DC">
      <w:pPr>
        <w:spacing w:line="580" w:lineRule="exact"/>
        <w:ind w:firstLine="640"/>
        <w:jc w:val="both"/>
      </w:pPr>
      <w:r>
        <w:rPr>
          <w:rFonts w:ascii="仿宋_GB2312" w:hAnsi="仿宋_GB2312" w:eastAsia="仿宋_GB2312"/>
          <w:b w:val="0"/>
          <w:sz w:val="32"/>
        </w:rPr>
        <w:t>3.卫生健康支出(类)行政事业单位医疗(款)事业单位医疗(项):支出决算数为29.21万元，比上年决算增加5.46万元，增长22.99%,主要原因是：本年在职人员增加，人员工资调增，事业单位医疗支出增加。</w:t>
      </w:r>
    </w:p>
    <w:p w14:paraId="348E70D9">
      <w:pPr>
        <w:spacing w:line="580" w:lineRule="exact"/>
        <w:ind w:firstLine="640"/>
        <w:jc w:val="both"/>
      </w:pPr>
      <w:r>
        <w:rPr>
          <w:rFonts w:ascii="仿宋_GB2312" w:hAnsi="仿宋_GB2312" w:eastAsia="仿宋_GB2312"/>
          <w:b w:val="0"/>
          <w:sz w:val="32"/>
        </w:rPr>
        <w:t>4.住房保障支出(类)住房改革支出(款)住房公积金(项):支出决算数为53.75万元，比上年决算增加9.08万元，增长20.33%,主要原因是：本年在职人员增加，人员工资调增，住房公积金支出较上年增加。</w:t>
      </w:r>
    </w:p>
    <w:p w14:paraId="778F5A8D">
      <w:pPr>
        <w:spacing w:line="640" w:lineRule="exact"/>
        <w:ind w:firstLine="640"/>
        <w:jc w:val="both"/>
        <w:outlineLvl w:val="2"/>
      </w:pPr>
      <w:r>
        <w:rPr>
          <w:rFonts w:ascii="黑体" w:hAnsi="黑体" w:eastAsia="黑体"/>
          <w:sz w:val="32"/>
        </w:rPr>
        <w:t>六、一般公共预算财政拨款基本支出决算情况说明</w:t>
      </w:r>
    </w:p>
    <w:p w14:paraId="4DA440EF">
      <w:pPr>
        <w:spacing w:line="580" w:lineRule="exact"/>
        <w:ind w:firstLine="640"/>
        <w:jc w:val="both"/>
      </w:pPr>
      <w:r>
        <w:rPr>
          <w:rFonts w:ascii="仿宋_GB2312" w:hAnsi="仿宋_GB2312" w:eastAsia="仿宋_GB2312"/>
          <w:b w:val="0"/>
          <w:sz w:val="32"/>
        </w:rPr>
        <w:t>2024年度一般公共预算财政拨款基本支出775.80万元，其中：</w:t>
      </w:r>
      <w:r>
        <w:rPr>
          <w:rFonts w:ascii="仿宋_GB2312" w:hAnsi="仿宋_GB2312" w:eastAsia="仿宋_GB2312"/>
          <w:b/>
          <w:sz w:val="32"/>
        </w:rPr>
        <w:t>人员经费662.55万元，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4B7D4ACA">
      <w:pPr>
        <w:spacing w:line="580" w:lineRule="exact"/>
        <w:ind w:firstLine="640"/>
        <w:jc w:val="both"/>
      </w:pPr>
      <w:r>
        <w:rPr>
          <w:rFonts w:ascii="仿宋_GB2312" w:hAnsi="仿宋_GB2312" w:eastAsia="仿宋_GB2312"/>
          <w:b/>
          <w:sz w:val="32"/>
        </w:rPr>
        <w:t>公用经费113.24万元，</w:t>
      </w:r>
      <w:r>
        <w:rPr>
          <w:rFonts w:ascii="仿宋_GB2312" w:hAnsi="仿宋_GB2312" w:eastAsia="仿宋_GB2312"/>
          <w:b w:val="0"/>
          <w:sz w:val="32"/>
        </w:rPr>
        <w:t>包括：办公费、水费、电费、邮电费、取暖费、差旅费。</w:t>
      </w:r>
    </w:p>
    <w:p w14:paraId="31382288">
      <w:pPr>
        <w:spacing w:line="640" w:lineRule="exact"/>
        <w:ind w:firstLine="640"/>
        <w:jc w:val="both"/>
        <w:outlineLvl w:val="2"/>
      </w:pPr>
      <w:r>
        <w:rPr>
          <w:rFonts w:ascii="黑体" w:hAnsi="黑体" w:eastAsia="黑体"/>
          <w:sz w:val="32"/>
        </w:rPr>
        <w:t>七、政府性基金预算财政拨款收入支出决算情况说明</w:t>
      </w:r>
    </w:p>
    <w:p w14:paraId="1295CCE8">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05B6D8A0">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减少2,000.00万元，下降100.00%，主要原因是：本年减少疏勒县喀什地区疏勒县新建技工学校建设项目，导致经费较上年减少。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年初预算数0.00万元，决算数0.00万元，预决算差异率0.00%，主要原因是：本年未安排政府性基金预算。</w:t>
      </w:r>
    </w:p>
    <w:p w14:paraId="188D893D">
      <w:pPr>
        <w:spacing w:line="580" w:lineRule="exact"/>
        <w:ind w:firstLine="640"/>
        <w:jc w:val="both"/>
      </w:pPr>
      <w:r>
        <w:rPr>
          <w:rFonts w:ascii="仿宋_GB2312" w:hAnsi="仿宋_GB2312" w:eastAsia="仿宋_GB2312"/>
          <w:b w:val="0"/>
          <w:sz w:val="32"/>
        </w:rPr>
        <w:t>政府性基金预算财政拨款支出0.00万元。</w:t>
      </w:r>
    </w:p>
    <w:p w14:paraId="15E5A47B">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0.00万元，比上年决算减少2,000.00万元，下降100.00%,主要原因是：本年减少疏勒县喀什地区疏勒县新建技工学校建设项目，导致经费较上年减少。</w:t>
      </w:r>
    </w:p>
    <w:p w14:paraId="5A99A628">
      <w:pPr>
        <w:spacing w:line="640" w:lineRule="exact"/>
        <w:ind w:firstLine="640"/>
        <w:jc w:val="both"/>
        <w:outlineLvl w:val="2"/>
      </w:pPr>
      <w:r>
        <w:rPr>
          <w:rFonts w:ascii="黑体" w:hAnsi="黑体" w:eastAsia="黑体"/>
          <w:sz w:val="32"/>
        </w:rPr>
        <w:t>八、国有资本经营预算财政拨款收入支出决算情况说明</w:t>
      </w:r>
    </w:p>
    <w:p w14:paraId="1F573C4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2299BAD">
      <w:pPr>
        <w:spacing w:line="640" w:lineRule="exact"/>
        <w:ind w:firstLine="640"/>
        <w:jc w:val="both"/>
        <w:outlineLvl w:val="2"/>
      </w:pPr>
      <w:r>
        <w:rPr>
          <w:rFonts w:ascii="黑体" w:hAnsi="黑体" w:eastAsia="黑体"/>
          <w:sz w:val="32"/>
        </w:rPr>
        <w:t>九、财政拨款“三公”经费支出决算情况说明</w:t>
      </w:r>
    </w:p>
    <w:p w14:paraId="42EFA2FF">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F72071F">
      <w:pPr>
        <w:spacing w:line="580" w:lineRule="exact"/>
        <w:ind w:firstLine="640"/>
        <w:jc w:val="both"/>
      </w:pPr>
      <w:r>
        <w:rPr>
          <w:rFonts w:ascii="仿宋_GB2312" w:hAnsi="仿宋_GB2312" w:eastAsia="仿宋_GB2312"/>
          <w:b/>
          <w:sz w:val="32"/>
        </w:rPr>
        <w:t>具体情况如下：</w:t>
      </w:r>
    </w:p>
    <w:p w14:paraId="52E584C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3DB093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4328B1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0EA6EF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E5506D6">
      <w:pPr>
        <w:spacing w:line="640" w:lineRule="exact"/>
        <w:ind w:firstLine="640"/>
        <w:jc w:val="both"/>
        <w:outlineLvl w:val="2"/>
      </w:pPr>
      <w:r>
        <w:rPr>
          <w:rFonts w:ascii="黑体" w:hAnsi="黑体" w:eastAsia="黑体"/>
          <w:sz w:val="32"/>
        </w:rPr>
        <w:t>十、其他重要事项的情况说明</w:t>
      </w:r>
    </w:p>
    <w:p w14:paraId="7A022103">
      <w:pPr>
        <w:spacing w:line="640" w:lineRule="exact"/>
        <w:ind w:firstLine="640"/>
        <w:jc w:val="both"/>
        <w:outlineLvl w:val="3"/>
      </w:pPr>
      <w:r>
        <w:rPr>
          <w:rFonts w:ascii="楷体_GB2312" w:hAnsi="楷体_GB2312" w:eastAsia="楷体_GB2312"/>
          <w:b/>
          <w:sz w:val="32"/>
        </w:rPr>
        <w:t>（一）机关运行经费及公用经费支出情况</w:t>
      </w:r>
    </w:p>
    <w:p w14:paraId="1745BCA2">
      <w:pPr>
        <w:spacing w:line="580" w:lineRule="exact"/>
        <w:ind w:firstLine="640"/>
        <w:jc w:val="both"/>
      </w:pPr>
      <w:r>
        <w:rPr>
          <w:rFonts w:ascii="仿宋_GB2312" w:hAnsi="仿宋_GB2312" w:eastAsia="仿宋_GB2312"/>
          <w:b w:val="0"/>
          <w:sz w:val="32"/>
        </w:rPr>
        <w:t>2024年度疏勒县技工学校（事业单位）公用经费支出113.24万元，比上年增加62.96万元，增长125.22%，主要原因是：本年取暖费、邮电费支出增加，导致公用经费增加。</w:t>
      </w:r>
    </w:p>
    <w:p w14:paraId="64EE5EDA">
      <w:pPr>
        <w:spacing w:line="640" w:lineRule="exact"/>
        <w:ind w:firstLine="640"/>
        <w:jc w:val="both"/>
        <w:outlineLvl w:val="3"/>
      </w:pPr>
      <w:r>
        <w:rPr>
          <w:rFonts w:ascii="楷体_GB2312" w:hAnsi="楷体_GB2312" w:eastAsia="楷体_GB2312"/>
          <w:b/>
          <w:sz w:val="32"/>
        </w:rPr>
        <w:t>（二）政府采购情况</w:t>
      </w:r>
    </w:p>
    <w:p w14:paraId="0790B78A">
      <w:pPr>
        <w:spacing w:line="580" w:lineRule="exact"/>
        <w:ind w:firstLine="640"/>
        <w:jc w:val="both"/>
      </w:pPr>
      <w:r>
        <w:rPr>
          <w:rFonts w:ascii="仿宋_GB2312" w:hAnsi="仿宋_GB2312" w:eastAsia="仿宋_GB2312"/>
          <w:b w:val="0"/>
          <w:sz w:val="32"/>
        </w:rPr>
        <w:t>2024年度政府采购支出总额325.16万元，其中：政府采购货物支出200.17万元、政府采购工程支出36.80万元、政府采购服务支出88.20万元。</w:t>
      </w:r>
    </w:p>
    <w:p w14:paraId="1763221D">
      <w:pPr>
        <w:spacing w:line="580" w:lineRule="exact"/>
        <w:ind w:firstLine="640"/>
        <w:jc w:val="both"/>
      </w:pPr>
      <w:r>
        <w:rPr>
          <w:rFonts w:ascii="仿宋_GB2312" w:hAnsi="仿宋_GB2312" w:eastAsia="仿宋_GB2312"/>
          <w:b w:val="0"/>
          <w:sz w:val="32"/>
        </w:rPr>
        <w:t>授予中小企业合同金额325.16万元，占政府采购支出总额的100.00%，其中：授予小微企业合同金额136.19万元，占政府采购支出总额的41.88%。</w:t>
      </w:r>
    </w:p>
    <w:p w14:paraId="49787880">
      <w:pPr>
        <w:spacing w:line="640" w:lineRule="exact"/>
        <w:ind w:firstLine="640"/>
        <w:jc w:val="both"/>
        <w:outlineLvl w:val="3"/>
      </w:pPr>
      <w:r>
        <w:rPr>
          <w:rFonts w:ascii="楷体_GB2312" w:hAnsi="楷体_GB2312" w:eastAsia="楷体_GB2312"/>
          <w:b/>
          <w:sz w:val="32"/>
        </w:rPr>
        <w:t>（三）国有资产占用情况说明</w:t>
      </w:r>
    </w:p>
    <w:p w14:paraId="701EDA2D">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83C16CD">
      <w:pPr>
        <w:spacing w:line="640" w:lineRule="exact"/>
        <w:ind w:firstLine="640"/>
        <w:jc w:val="both"/>
        <w:outlineLvl w:val="2"/>
      </w:pPr>
      <w:r>
        <w:rPr>
          <w:rFonts w:ascii="黑体" w:hAnsi="黑体" w:eastAsia="黑体"/>
          <w:sz w:val="32"/>
        </w:rPr>
        <w:t>十一、预算绩效的情况说明</w:t>
      </w:r>
    </w:p>
    <w:p w14:paraId="3444BF7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根据预算绩效管理要求，本单位2024年度预算绩效管理形成整体支出绩效自评表1个，全年预算总额987.63万元，实际执行总额987.63万元；预</w:t>
      </w:r>
      <w:bookmarkStart w:id="0" w:name="_GoBack"/>
      <w:bookmarkEnd w:id="0"/>
      <w:r>
        <w:rPr>
          <w:rFonts w:ascii="仿宋_GB2312" w:hAnsi="仿宋_GB2312" w:eastAsia="仿宋_GB2312"/>
          <w:b w:val="0"/>
          <w:sz w:val="32"/>
        </w:rPr>
        <w:t>算绩效评价项目</w:t>
      </w:r>
      <w:r>
        <w:rPr>
          <w:rFonts w:hint="eastAsia" w:ascii="仿宋_GB2312" w:hAnsi="仿宋_GB2312" w:eastAsia="仿宋_GB2312"/>
          <w:b w:val="0"/>
          <w:sz w:val="32"/>
          <w:lang w:val="en-US" w:eastAsia="zh-CN"/>
        </w:rPr>
        <w:t>2</w:t>
      </w:r>
      <w:r>
        <w:rPr>
          <w:rFonts w:ascii="仿宋_GB2312" w:hAnsi="仿宋_GB2312" w:eastAsia="仿宋_GB2312"/>
          <w:b w:val="0"/>
          <w:sz w:val="32"/>
        </w:rPr>
        <w:t>个，全年预算数</w:t>
      </w:r>
      <w:r>
        <w:rPr>
          <w:rFonts w:hint="eastAsia" w:ascii="仿宋_GB2312" w:hAnsi="仿宋_GB2312" w:eastAsia="仿宋_GB2312"/>
          <w:b w:val="0"/>
          <w:sz w:val="32"/>
          <w:lang w:val="en-US" w:eastAsia="zh-CN"/>
        </w:rPr>
        <w:t>2,0</w:t>
      </w:r>
      <w:r>
        <w:rPr>
          <w:rFonts w:ascii="仿宋_GB2312" w:hAnsi="仿宋_GB2312" w:eastAsia="仿宋_GB2312"/>
          <w:b w:val="0"/>
          <w:sz w:val="32"/>
        </w:rPr>
        <w:t>30.35万元，全年执行数</w:t>
      </w:r>
      <w:r>
        <w:rPr>
          <w:rFonts w:hint="eastAsia" w:ascii="仿宋_GB2312" w:hAnsi="仿宋_GB2312" w:eastAsia="仿宋_GB2312"/>
          <w:b w:val="0"/>
          <w:sz w:val="32"/>
          <w:lang w:val="en-US" w:eastAsia="zh-CN"/>
        </w:rPr>
        <w:t>2,0</w:t>
      </w:r>
      <w:r>
        <w:rPr>
          <w:rFonts w:ascii="仿宋_GB2312" w:hAnsi="仿宋_GB2312" w:eastAsia="仿宋_GB2312"/>
          <w:b w:val="0"/>
          <w:sz w:val="32"/>
        </w:rPr>
        <w:t>30.35万元。预算绩效管理取得的成效：一是根据单位人员及项目相关数据对年度预算支出做出了科学的预算；二是根据预算收入科学规划各项支出，严格落实过紧日子的要求；三是统一了单位量入为出，严格根据预算落实工作的思想。发现的问题及原因：一是</w:t>
      </w:r>
      <w:r>
        <w:rPr>
          <w:rFonts w:hint="eastAsia" w:ascii="仿宋_GB2312" w:hAnsi="仿宋_GB2312" w:eastAsia="仿宋_GB2312"/>
          <w:b w:val="0"/>
          <w:sz w:val="32"/>
          <w:lang w:eastAsia="zh-CN"/>
        </w:rPr>
        <w:t>本单位</w:t>
      </w:r>
      <w:r>
        <w:rPr>
          <w:rFonts w:ascii="仿宋_GB2312" w:hAnsi="仿宋_GB2312" w:eastAsia="仿宋_GB2312"/>
          <w:b w:val="0"/>
          <w:sz w:val="32"/>
        </w:rPr>
        <w:t>业务人员绩效管理经验不足，需加强业务工作人员的绩效工作综合能力；二是</w:t>
      </w:r>
      <w:r>
        <w:rPr>
          <w:rFonts w:hint="eastAsia" w:ascii="仿宋_GB2312" w:hAnsi="仿宋_GB2312" w:eastAsia="仿宋_GB2312"/>
          <w:b w:val="0"/>
          <w:sz w:val="32"/>
          <w:lang w:eastAsia="zh-CN"/>
        </w:rPr>
        <w:t>本单位</w:t>
      </w:r>
      <w:r>
        <w:rPr>
          <w:rFonts w:ascii="仿宋_GB2312" w:hAnsi="仿宋_GB2312" w:eastAsia="仿宋_GB2312"/>
          <w:b w:val="0"/>
          <w:sz w:val="32"/>
        </w:rPr>
        <w:t>业务人员缺少带着问题去评价的意识，现场评价的工作量少，后续效益评价比较薄弱。下一步改进措施：一是</w:t>
      </w:r>
      <w:r>
        <w:rPr>
          <w:rFonts w:hint="eastAsia" w:ascii="仿宋_GB2312" w:hAnsi="仿宋_GB2312" w:eastAsia="仿宋_GB2312"/>
          <w:b w:val="0"/>
          <w:sz w:val="32"/>
          <w:lang w:eastAsia="zh-CN"/>
        </w:rPr>
        <w:t>本单位</w:t>
      </w:r>
      <w:r>
        <w:rPr>
          <w:rFonts w:ascii="仿宋_GB2312" w:hAnsi="仿宋_GB2312" w:eastAsia="仿宋_GB2312"/>
          <w:b w:val="0"/>
          <w:sz w:val="32"/>
        </w:rPr>
        <w:t>将积极参加业务股室组织的相关培训，并加强与各预算单位绩效专干人员的交流，取长补短，不断提高业务能力；二是培养专业的绩效专干队伍并加强队伍专业能力建设和思想建设。具体附整体支出绩效自评表，项目支出绩效自评表。</w:t>
      </w:r>
    </w:p>
    <w:p w14:paraId="29C9913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E432C0C">
        <w:tblPrEx>
          <w:tblCellMar>
            <w:top w:w="0" w:type="dxa"/>
            <w:left w:w="108" w:type="dxa"/>
            <w:bottom w:w="0" w:type="dxa"/>
            <w:right w:w="108" w:type="dxa"/>
          </w:tblCellMar>
        </w:tblPrEx>
        <w:tc>
          <w:tcPr>
            <w:tcW w:w="8847" w:type="dxa"/>
            <w:gridSpan w:val="9"/>
            <w:vAlign w:val="center"/>
          </w:tcPr>
          <w:p w14:paraId="1B2EC943">
            <w:pPr>
              <w:jc w:val="center"/>
            </w:pPr>
            <w:r>
              <w:rPr>
                <w:rFonts w:ascii="宋体" w:hAnsi="宋体" w:eastAsia="宋体"/>
                <w:sz w:val="24"/>
              </w:rPr>
              <w:t>单位整体支出绩效自评表</w:t>
            </w:r>
          </w:p>
        </w:tc>
      </w:tr>
      <w:tr w14:paraId="7E26BCC9">
        <w:tblPrEx>
          <w:tblCellMar>
            <w:top w:w="0" w:type="dxa"/>
            <w:left w:w="108" w:type="dxa"/>
            <w:bottom w:w="0" w:type="dxa"/>
            <w:right w:w="108" w:type="dxa"/>
          </w:tblCellMar>
        </w:tblPrEx>
        <w:tc>
          <w:tcPr>
            <w:tcW w:w="8847" w:type="dxa"/>
            <w:gridSpan w:val="9"/>
            <w:vAlign w:val="center"/>
          </w:tcPr>
          <w:p w14:paraId="6E5F3746">
            <w:pPr>
              <w:jc w:val="center"/>
            </w:pPr>
            <w:r>
              <w:rPr>
                <w:rFonts w:ascii="宋体" w:hAnsi="宋体" w:eastAsia="宋体"/>
                <w:sz w:val="24"/>
              </w:rPr>
              <w:t>（2024年度）</w:t>
            </w:r>
          </w:p>
        </w:tc>
      </w:tr>
      <w:tr w14:paraId="0680501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E1445">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7E94FB5">
            <w:pPr>
              <w:jc w:val="center"/>
            </w:pPr>
            <w:r>
              <w:rPr>
                <w:rFonts w:ascii="宋体" w:hAnsi="宋体" w:eastAsia="宋体"/>
                <w:sz w:val="16"/>
              </w:rPr>
              <w:t>疏勒县技工学校</w:t>
            </w:r>
          </w:p>
        </w:tc>
      </w:tr>
      <w:tr w14:paraId="7216D34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55C558">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9D9E0">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9369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99CC3">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629E5">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CC7C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CC17E">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DACB5">
            <w:pPr>
              <w:jc w:val="center"/>
            </w:pPr>
            <w:r>
              <w:rPr>
                <w:rFonts w:ascii="宋体" w:hAnsi="宋体" w:eastAsia="宋体"/>
                <w:sz w:val="16"/>
              </w:rPr>
              <w:t>得分</w:t>
            </w:r>
          </w:p>
        </w:tc>
      </w:tr>
      <w:tr w14:paraId="116871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248E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33991">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78696">
            <w:pPr>
              <w:jc w:val="center"/>
            </w:pPr>
            <w:r>
              <w:rPr>
                <w:rFonts w:ascii="宋体" w:hAnsi="宋体" w:eastAsia="宋体"/>
                <w:sz w:val="16"/>
              </w:rPr>
              <w:t>717.68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3E751">
            <w:pPr>
              <w:jc w:val="center"/>
            </w:pPr>
            <w:r>
              <w:rPr>
                <w:rFonts w:ascii="宋体" w:hAnsi="宋体" w:eastAsia="宋体"/>
                <w:sz w:val="16"/>
              </w:rPr>
              <w:t>987.63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99FF0">
            <w:pPr>
              <w:jc w:val="center"/>
            </w:pPr>
            <w:r>
              <w:rPr>
                <w:rFonts w:ascii="宋体" w:hAnsi="宋体" w:eastAsia="宋体"/>
                <w:sz w:val="16"/>
              </w:rPr>
              <w:t>987.63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4711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756A9">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47C9D">
            <w:pPr>
              <w:jc w:val="center"/>
            </w:pPr>
            <w:r>
              <w:rPr>
                <w:rFonts w:ascii="宋体" w:hAnsi="宋体" w:eastAsia="宋体"/>
                <w:sz w:val="16"/>
              </w:rPr>
              <w:t>10</w:t>
            </w:r>
          </w:p>
        </w:tc>
      </w:tr>
      <w:tr w14:paraId="2925A3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1CD10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EFC6B">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48D0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72ADD">
            <w:pPr>
              <w:jc w:val="center"/>
            </w:pPr>
            <w:r>
              <w:rPr>
                <w:rFonts w:ascii="宋体" w:hAnsi="宋体" w:eastAsia="宋体"/>
                <w:sz w:val="16"/>
              </w:rPr>
              <w:t>10.05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98C8A">
            <w:pPr>
              <w:jc w:val="center"/>
            </w:pPr>
            <w:r>
              <w:rPr>
                <w:rFonts w:ascii="宋体" w:hAnsi="宋体" w:eastAsia="宋体"/>
                <w:sz w:val="16"/>
              </w:rPr>
              <w:t>10.05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234E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7FC9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41907">
            <w:pPr>
              <w:jc w:val="center"/>
            </w:pPr>
            <w:r>
              <w:rPr>
                <w:rFonts w:ascii="宋体" w:hAnsi="宋体" w:eastAsia="宋体"/>
                <w:sz w:val="16"/>
              </w:rPr>
              <w:t>—</w:t>
            </w:r>
          </w:p>
        </w:tc>
      </w:tr>
      <w:tr w14:paraId="3878C3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9946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9F81F">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B8038">
            <w:pPr>
              <w:jc w:val="center"/>
            </w:pPr>
            <w:r>
              <w:rPr>
                <w:rFonts w:ascii="宋体" w:hAnsi="宋体" w:eastAsia="宋体"/>
                <w:sz w:val="16"/>
              </w:rPr>
              <w:t>717.68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69DE0">
            <w:pPr>
              <w:jc w:val="center"/>
            </w:pPr>
            <w:r>
              <w:rPr>
                <w:rFonts w:ascii="宋体" w:hAnsi="宋体" w:eastAsia="宋体"/>
                <w:sz w:val="16"/>
              </w:rPr>
              <w:t>765.75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9985C">
            <w:pPr>
              <w:jc w:val="center"/>
            </w:pPr>
            <w:r>
              <w:rPr>
                <w:rFonts w:ascii="宋体" w:hAnsi="宋体" w:eastAsia="宋体"/>
                <w:sz w:val="16"/>
              </w:rPr>
              <w:t>765.75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EEE4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81FE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498AE">
            <w:pPr>
              <w:jc w:val="center"/>
            </w:pPr>
            <w:r>
              <w:rPr>
                <w:rFonts w:ascii="宋体" w:hAnsi="宋体" w:eastAsia="宋体"/>
                <w:sz w:val="16"/>
              </w:rPr>
              <w:t>—</w:t>
            </w:r>
          </w:p>
        </w:tc>
      </w:tr>
      <w:tr w14:paraId="77FB36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EF78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51D8B">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44E7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4AB0C">
            <w:pPr>
              <w:jc w:val="center"/>
            </w:pPr>
            <w:r>
              <w:rPr>
                <w:rFonts w:ascii="宋体" w:hAnsi="宋体" w:eastAsia="宋体"/>
                <w:sz w:val="16"/>
              </w:rPr>
              <w:t>211.83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B1BF2">
            <w:pPr>
              <w:jc w:val="center"/>
            </w:pPr>
            <w:r>
              <w:rPr>
                <w:rFonts w:ascii="宋体" w:hAnsi="宋体" w:eastAsia="宋体"/>
                <w:sz w:val="16"/>
              </w:rPr>
              <w:t>211.83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79DF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7E9E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8B3B0">
            <w:pPr>
              <w:jc w:val="center"/>
            </w:pPr>
            <w:r>
              <w:rPr>
                <w:rFonts w:ascii="宋体" w:hAnsi="宋体" w:eastAsia="宋体"/>
                <w:sz w:val="16"/>
              </w:rPr>
              <w:t>—</w:t>
            </w:r>
          </w:p>
        </w:tc>
      </w:tr>
      <w:tr w14:paraId="1F132A5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EC3F9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ED6F9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D4B56A">
            <w:pPr>
              <w:jc w:val="center"/>
            </w:pPr>
            <w:r>
              <w:rPr>
                <w:rFonts w:ascii="宋体" w:hAnsi="宋体" w:eastAsia="宋体"/>
                <w:sz w:val="16"/>
              </w:rPr>
              <w:t>实际完成情况</w:t>
            </w:r>
          </w:p>
        </w:tc>
      </w:tr>
      <w:tr w14:paraId="1B9DAB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5E7F8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9641E62">
            <w:pPr>
              <w:jc w:val="both"/>
            </w:pPr>
            <w:r>
              <w:rPr>
                <w:rFonts w:ascii="宋体" w:hAnsi="宋体" w:eastAsia="宋体"/>
                <w:sz w:val="16"/>
              </w:rPr>
              <w:t>积极贯彻落实党和国家关于技工教育的相关政策，依据自治区开展农（居）民职业技能培训的要求，积极提出职业技能培训总体规划、专业设置等方案，充分发挥经费的保障作用，加强基层干部管理及技能教育骨干教师的培养。加强教师队伍建设，积极开展教师教育培养，提高专兼职教师的教学水平，立足市场需求，科学设置培训科目和实训内容，扎实开展城乡应用型技能人才培养，不断提升劳动力职业素质和技能水平，拓宽城乡农（居）民就业创业渠道。</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7D7E1B">
            <w:pPr>
              <w:jc w:val="both"/>
            </w:pPr>
            <w:r>
              <w:rPr>
                <w:rFonts w:ascii="宋体" w:hAnsi="宋体" w:eastAsia="宋体"/>
                <w:sz w:val="16"/>
              </w:rPr>
              <w:t>本年度</w:t>
            </w:r>
            <w:r>
              <w:rPr>
                <w:rFonts w:hint="eastAsia" w:ascii="宋体" w:hAnsi="宋体"/>
                <w:sz w:val="16"/>
                <w:lang w:eastAsia="zh-CN"/>
              </w:rPr>
              <w:t>本单位</w:t>
            </w:r>
            <w:r>
              <w:rPr>
                <w:rFonts w:ascii="宋体" w:hAnsi="宋体" w:eastAsia="宋体"/>
                <w:sz w:val="16"/>
              </w:rPr>
              <w:t>积极贯彻落实党和国家关于技工教育的相关政策，依据自治区开展农（居）民职业技能培训的要求，积极提出职业技能培训总体规划、专业设置等方案，充分发挥经费的保障作用，加强基层干部管理及技能教育骨干教师的培养。加强教师队伍建设，积极开展教师教育培养，提高专兼职教师的教学水平，立足市场需求，科学设置培训科目和实训内容，扎实开展城乡应用型技能人才培养，不断提升劳动力职业素质和技能水平，拓宽城乡农（居）民就业创业渠道。本年度完成师资培训在职人员17人，并取得相关技能等级证书；校内外共开展职业技能培训78班次共2293人；学历制技能认定合格率达91.7%；学历制就业率达82.32%。</w:t>
            </w:r>
          </w:p>
        </w:tc>
      </w:tr>
      <w:tr w14:paraId="6008C57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F994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7CE2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83CF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1C730">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95210">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472E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AD1C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9D3AA">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8C80D">
            <w:pPr>
              <w:jc w:val="center"/>
            </w:pPr>
            <w:r>
              <w:rPr>
                <w:rFonts w:ascii="宋体" w:hAnsi="宋体" w:eastAsia="宋体"/>
                <w:sz w:val="16"/>
              </w:rPr>
              <w:t>得分</w:t>
            </w:r>
          </w:p>
        </w:tc>
      </w:tr>
      <w:tr w14:paraId="0752DC7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61BB5">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9B859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B2C3F">
            <w:pPr>
              <w:jc w:val="center"/>
            </w:pPr>
            <w:r>
              <w:rPr>
                <w:rFonts w:ascii="宋体" w:hAnsi="宋体" w:eastAsia="宋体"/>
                <w:sz w:val="16"/>
              </w:rPr>
              <w:t>师资培训技能鉴定合格率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B978C">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F5260">
            <w:pPr>
              <w:jc w:val="center"/>
            </w:pPr>
            <w:r>
              <w:rPr>
                <w:rFonts w:ascii="宋体" w:hAnsi="宋体" w:eastAsia="宋体"/>
                <w:sz w:val="16"/>
              </w:rPr>
              <w:t>2023年技工学校工作总结2024年工作计划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0254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19BF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EEA73">
            <w:pPr>
              <w:jc w:val="center"/>
            </w:pPr>
            <w:r>
              <w:rPr>
                <w:rFonts w:ascii="宋体" w:hAnsi="宋体" w:eastAsia="宋体"/>
                <w:sz w:val="16"/>
              </w:rPr>
              <w:t>102.04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4C319">
            <w:pPr>
              <w:jc w:val="center"/>
            </w:pPr>
            <w:r>
              <w:rPr>
                <w:rFonts w:ascii="宋体" w:hAnsi="宋体" w:eastAsia="宋体"/>
                <w:sz w:val="16"/>
              </w:rPr>
              <w:t>15</w:t>
            </w:r>
          </w:p>
        </w:tc>
      </w:tr>
      <w:tr w14:paraId="40CF75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86B89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2C9E1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D1514">
            <w:pPr>
              <w:jc w:val="center"/>
            </w:pPr>
            <w:r>
              <w:rPr>
                <w:rFonts w:ascii="宋体" w:hAnsi="宋体" w:eastAsia="宋体"/>
                <w:sz w:val="16"/>
              </w:rPr>
              <w:t>学制教育取证率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DB269">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10BE5">
            <w:pPr>
              <w:jc w:val="center"/>
            </w:pPr>
            <w:r>
              <w:rPr>
                <w:rFonts w:ascii="宋体" w:hAnsi="宋体" w:eastAsia="宋体"/>
                <w:sz w:val="16"/>
              </w:rPr>
              <w:t>2023年技工学校工作总结2024年工作计划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75F5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9652A">
            <w:pPr>
              <w:jc w:val="center"/>
            </w:pPr>
            <w:r>
              <w:rPr>
                <w:rFonts w:ascii="宋体" w:hAnsi="宋体" w:eastAsia="宋体"/>
                <w:sz w:val="16"/>
              </w:rPr>
              <w:t>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FAB07">
            <w:pPr>
              <w:jc w:val="center"/>
            </w:pPr>
            <w:r>
              <w:rPr>
                <w:rFonts w:ascii="宋体" w:hAnsi="宋体" w:eastAsia="宋体"/>
                <w:sz w:val="16"/>
              </w:rPr>
              <w:t>102.22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FC666">
            <w:pPr>
              <w:jc w:val="center"/>
            </w:pPr>
            <w:r>
              <w:rPr>
                <w:rFonts w:ascii="宋体" w:hAnsi="宋体" w:eastAsia="宋体"/>
                <w:sz w:val="16"/>
              </w:rPr>
              <w:t>15</w:t>
            </w:r>
          </w:p>
        </w:tc>
      </w:tr>
      <w:tr w14:paraId="0D9772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84AF7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7FD55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868CC">
            <w:pPr>
              <w:jc w:val="center"/>
            </w:pPr>
            <w:r>
              <w:rPr>
                <w:rFonts w:ascii="宋体" w:hAnsi="宋体" w:eastAsia="宋体"/>
                <w:sz w:val="16"/>
              </w:rPr>
              <w:t>师资培训教职工人数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EF6D5">
            <w:pPr>
              <w:jc w:val="center"/>
            </w:pPr>
            <w:r>
              <w:rPr>
                <w:rFonts w:ascii="宋体" w:hAnsi="宋体" w:eastAsia="宋体"/>
                <w:sz w:val="16"/>
              </w:rPr>
              <w:t>&gt;=17人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9C739">
            <w:pPr>
              <w:jc w:val="center"/>
            </w:pPr>
            <w:r>
              <w:rPr>
                <w:rFonts w:ascii="宋体" w:hAnsi="宋体" w:eastAsia="宋体"/>
                <w:sz w:val="16"/>
              </w:rPr>
              <w:t>2023年技工学校工作总结2024年工作计划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5629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F1916">
            <w:pPr>
              <w:jc w:val="center"/>
            </w:pPr>
            <w:r>
              <w:rPr>
                <w:rFonts w:ascii="宋体" w:hAnsi="宋体" w:eastAsia="宋体"/>
                <w:sz w:val="16"/>
              </w:rPr>
              <w:t>17人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5874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6D356">
            <w:pPr>
              <w:jc w:val="center"/>
            </w:pPr>
            <w:r>
              <w:rPr>
                <w:rFonts w:ascii="宋体" w:hAnsi="宋体" w:eastAsia="宋体"/>
                <w:sz w:val="16"/>
              </w:rPr>
              <w:t>10</w:t>
            </w:r>
          </w:p>
        </w:tc>
      </w:tr>
      <w:tr w14:paraId="4DB87D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EB472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9ED1E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9609D">
            <w:pPr>
              <w:jc w:val="center"/>
            </w:pPr>
            <w:r>
              <w:rPr>
                <w:rFonts w:ascii="宋体" w:hAnsi="宋体" w:eastAsia="宋体"/>
                <w:sz w:val="16"/>
              </w:rPr>
              <w:t>学历制就业率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5C299">
            <w:pPr>
              <w:jc w:val="center"/>
            </w:pPr>
            <w:r>
              <w:rPr>
                <w:rFonts w:ascii="宋体" w:hAnsi="宋体" w:eastAsia="宋体"/>
                <w:sz w:val="16"/>
              </w:rPr>
              <w:t>&gt;=83%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F8A04">
            <w:pPr>
              <w:jc w:val="center"/>
            </w:pPr>
            <w:r>
              <w:rPr>
                <w:rFonts w:ascii="宋体" w:hAnsi="宋体" w:eastAsia="宋体"/>
                <w:sz w:val="16"/>
              </w:rPr>
              <w:t>2023年技工学校工作总结2024年工作计划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C212B">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F05941">
            <w:pPr>
              <w:jc w:val="center"/>
            </w:pPr>
            <w:r>
              <w:rPr>
                <w:rFonts w:ascii="宋体" w:hAnsi="宋体" w:eastAsia="宋体"/>
                <w:sz w:val="16"/>
              </w:rPr>
              <w:t>83.32%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714C9">
            <w:pPr>
              <w:jc w:val="center"/>
            </w:pPr>
            <w:r>
              <w:rPr>
                <w:rFonts w:ascii="宋体" w:hAnsi="宋体" w:eastAsia="宋体"/>
                <w:sz w:val="16"/>
              </w:rPr>
              <w:t>100.39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4F65C">
            <w:pPr>
              <w:jc w:val="center"/>
            </w:pPr>
            <w:r>
              <w:rPr>
                <w:rFonts w:ascii="宋体" w:hAnsi="宋体" w:eastAsia="宋体"/>
                <w:sz w:val="16"/>
              </w:rPr>
              <w:t>25</w:t>
            </w:r>
          </w:p>
        </w:tc>
      </w:tr>
      <w:tr w14:paraId="7ECE0B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8608A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3F48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A61E1">
            <w:pPr>
              <w:jc w:val="center"/>
            </w:pPr>
            <w:r>
              <w:rPr>
                <w:rFonts w:ascii="宋体" w:hAnsi="宋体" w:eastAsia="宋体"/>
                <w:sz w:val="16"/>
              </w:rPr>
              <w:t>校内外职业技能培训开展班次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FC838">
            <w:pPr>
              <w:jc w:val="center"/>
            </w:pPr>
            <w:r>
              <w:rPr>
                <w:rFonts w:ascii="宋体" w:hAnsi="宋体" w:eastAsia="宋体"/>
                <w:sz w:val="16"/>
              </w:rPr>
              <w:t>&gt;=78班次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8F36A">
            <w:pPr>
              <w:jc w:val="center"/>
            </w:pPr>
            <w:r>
              <w:rPr>
                <w:rFonts w:ascii="宋体" w:hAnsi="宋体" w:eastAsia="宋体"/>
                <w:sz w:val="16"/>
              </w:rPr>
              <w:t>2023年技工学校工作总结2024年工作计划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DC872">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00B58">
            <w:pPr>
              <w:jc w:val="center"/>
            </w:pPr>
            <w:r>
              <w:rPr>
                <w:rFonts w:ascii="宋体" w:hAnsi="宋体" w:eastAsia="宋体"/>
                <w:sz w:val="16"/>
              </w:rPr>
              <w:t>78班次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8C30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8F693">
            <w:pPr>
              <w:jc w:val="center"/>
            </w:pPr>
            <w:r>
              <w:rPr>
                <w:rFonts w:ascii="宋体" w:hAnsi="宋体" w:eastAsia="宋体"/>
                <w:sz w:val="16"/>
              </w:rPr>
              <w:t>25</w:t>
            </w:r>
          </w:p>
        </w:tc>
      </w:tr>
    </w:tbl>
    <w:p w14:paraId="55D7F2E1">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15"/>
        <w:gridCol w:w="856"/>
        <w:gridCol w:w="615"/>
        <w:gridCol w:w="615"/>
        <w:gridCol w:w="621"/>
        <w:gridCol w:w="615"/>
        <w:gridCol w:w="615"/>
        <w:gridCol w:w="776"/>
        <w:gridCol w:w="632"/>
        <w:gridCol w:w="611"/>
        <w:gridCol w:w="633"/>
      </w:tblGrid>
      <w:tr w14:paraId="3F5FD109">
        <w:tblPrEx>
          <w:tblCellMar>
            <w:top w:w="0" w:type="dxa"/>
            <w:left w:w="108" w:type="dxa"/>
            <w:bottom w:w="0" w:type="dxa"/>
            <w:right w:w="108" w:type="dxa"/>
          </w:tblCellMar>
        </w:tblPrEx>
        <w:tc>
          <w:tcPr>
            <w:tcW w:w="8848" w:type="dxa"/>
            <w:gridSpan w:val="14"/>
            <w:vAlign w:val="center"/>
          </w:tcPr>
          <w:p w14:paraId="7BCA50CA">
            <w:pPr>
              <w:jc w:val="center"/>
            </w:pPr>
            <w:r>
              <w:rPr>
                <w:rFonts w:ascii="宋体" w:hAnsi="宋体" w:eastAsia="宋体"/>
                <w:sz w:val="24"/>
              </w:rPr>
              <w:t>项目支出绩效自评表</w:t>
            </w:r>
          </w:p>
        </w:tc>
      </w:tr>
      <w:tr w14:paraId="35978D56">
        <w:tblPrEx>
          <w:tblCellMar>
            <w:top w:w="0" w:type="dxa"/>
            <w:left w:w="108" w:type="dxa"/>
            <w:bottom w:w="0" w:type="dxa"/>
            <w:right w:w="108" w:type="dxa"/>
          </w:tblCellMar>
        </w:tblPrEx>
        <w:tc>
          <w:tcPr>
            <w:tcW w:w="8848" w:type="dxa"/>
            <w:gridSpan w:val="14"/>
            <w:vAlign w:val="center"/>
          </w:tcPr>
          <w:p w14:paraId="270E8D69">
            <w:pPr>
              <w:jc w:val="center"/>
            </w:pPr>
            <w:r>
              <w:rPr>
                <w:rFonts w:ascii="宋体" w:hAnsi="宋体" w:eastAsia="宋体"/>
                <w:sz w:val="24"/>
              </w:rPr>
              <w:t>(2024年度)</w:t>
            </w:r>
          </w:p>
        </w:tc>
      </w:tr>
      <w:tr w14:paraId="1A4D5E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7D60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182C851">
            <w:pPr>
              <w:jc w:val="center"/>
            </w:pPr>
            <w:r>
              <w:rPr>
                <w:rFonts w:ascii="宋体" w:hAnsi="宋体" w:eastAsia="宋体"/>
                <w:sz w:val="16"/>
              </w:rPr>
              <w:t>疏勒县职业教育能力提升项目（疏勒县技工学校与东营技师学院人才交流项目）</w:t>
            </w:r>
          </w:p>
        </w:tc>
      </w:tr>
      <w:tr w14:paraId="1C6F1D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8C14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4570DC">
            <w:pPr>
              <w:jc w:val="center"/>
            </w:pPr>
            <w:r>
              <w:rPr>
                <w:rFonts w:ascii="宋体" w:hAnsi="宋体" w:eastAsia="宋体"/>
                <w:sz w:val="16"/>
              </w:rPr>
              <w:t>疏勒县人力资源和社会保障局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21EF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B18CA5">
            <w:pPr>
              <w:jc w:val="center"/>
            </w:pPr>
            <w:r>
              <w:rPr>
                <w:rFonts w:ascii="宋体" w:hAnsi="宋体" w:eastAsia="宋体"/>
                <w:sz w:val="16"/>
              </w:rPr>
              <w:t>疏勒县技工学校</w:t>
            </w:r>
          </w:p>
        </w:tc>
      </w:tr>
      <w:tr w14:paraId="04077F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2629E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BC8C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E2E6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415F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DCA0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99CD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5B82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233F5">
            <w:pPr>
              <w:jc w:val="center"/>
            </w:pPr>
            <w:r>
              <w:rPr>
                <w:rFonts w:ascii="宋体" w:hAnsi="宋体" w:eastAsia="宋体"/>
                <w:sz w:val="16"/>
              </w:rPr>
              <w:t>得分</w:t>
            </w:r>
          </w:p>
        </w:tc>
      </w:tr>
      <w:tr w14:paraId="7C8FF3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D66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7214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06E9D">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8A9B2">
            <w:pPr>
              <w:jc w:val="center"/>
            </w:pPr>
            <w:r>
              <w:rPr>
                <w:rFonts w:ascii="宋体" w:hAnsi="宋体" w:eastAsia="宋体"/>
                <w:sz w:val="16"/>
              </w:rPr>
              <w:t>30.35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092BC">
            <w:pPr>
              <w:jc w:val="center"/>
            </w:pPr>
            <w:r>
              <w:rPr>
                <w:rFonts w:ascii="宋体" w:hAnsi="宋体" w:eastAsia="宋体"/>
                <w:sz w:val="16"/>
              </w:rPr>
              <w:t>30.35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10F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5B00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FF02B">
            <w:pPr>
              <w:jc w:val="center"/>
            </w:pPr>
            <w:r>
              <w:rPr>
                <w:rFonts w:ascii="宋体" w:hAnsi="宋体" w:eastAsia="宋体"/>
                <w:sz w:val="16"/>
              </w:rPr>
              <w:t>10.00分</w:t>
            </w:r>
          </w:p>
        </w:tc>
      </w:tr>
      <w:tr w14:paraId="1D3C70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085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D361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484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E6A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092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D2F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FC6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56FF9">
            <w:pPr>
              <w:jc w:val="center"/>
            </w:pPr>
            <w:r>
              <w:rPr>
                <w:rFonts w:ascii="宋体" w:hAnsi="宋体" w:eastAsia="宋体"/>
                <w:sz w:val="16"/>
              </w:rPr>
              <w:t>—</w:t>
            </w:r>
          </w:p>
        </w:tc>
      </w:tr>
      <w:tr w14:paraId="283680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C99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09C4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BF13E">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7E579">
            <w:pPr>
              <w:jc w:val="center"/>
            </w:pPr>
            <w:r>
              <w:rPr>
                <w:rFonts w:ascii="宋体" w:hAnsi="宋体" w:eastAsia="宋体"/>
                <w:sz w:val="16"/>
              </w:rPr>
              <w:t>30.35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96974">
            <w:pPr>
              <w:jc w:val="center"/>
            </w:pPr>
            <w:r>
              <w:rPr>
                <w:rFonts w:ascii="宋体" w:hAnsi="宋体" w:eastAsia="宋体"/>
                <w:sz w:val="16"/>
              </w:rPr>
              <w:t>30.35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C79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59A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9BEB2">
            <w:pPr>
              <w:jc w:val="center"/>
            </w:pPr>
            <w:r>
              <w:rPr>
                <w:rFonts w:ascii="宋体" w:hAnsi="宋体" w:eastAsia="宋体"/>
                <w:sz w:val="16"/>
              </w:rPr>
              <w:t>—</w:t>
            </w:r>
          </w:p>
        </w:tc>
      </w:tr>
      <w:tr w14:paraId="1EB843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11C7B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B6376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BCEE15">
            <w:pPr>
              <w:jc w:val="center"/>
            </w:pPr>
            <w:r>
              <w:rPr>
                <w:rFonts w:ascii="宋体" w:hAnsi="宋体" w:eastAsia="宋体"/>
                <w:sz w:val="16"/>
              </w:rPr>
              <w:t>实际完成情况</w:t>
            </w:r>
          </w:p>
        </w:tc>
      </w:tr>
      <w:tr w14:paraId="700882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55B9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F6D26B">
            <w:pPr>
              <w:jc w:val="both"/>
            </w:pPr>
            <w:r>
              <w:rPr>
                <w:rFonts w:ascii="宋体" w:hAnsi="宋体" w:eastAsia="宋体"/>
                <w:sz w:val="16"/>
              </w:rPr>
              <w:t>项目计划投资30.35万元，通过培训17人，培训4个工种，培训课时240课时，协助疏勒县技工学校提升教师的操作技能和创新能力，打造高技能、高素养的教师队伍，项目实施后，有效提高参训教师专业技能水平和学校教学水平，参训教师满意度达95%及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A99CA9">
            <w:pPr>
              <w:jc w:val="both"/>
            </w:pPr>
            <w:r>
              <w:rPr>
                <w:rFonts w:hint="eastAsia" w:ascii="宋体" w:hAnsi="宋体"/>
                <w:sz w:val="16"/>
                <w:lang w:eastAsia="zh-CN"/>
              </w:rPr>
              <w:t>截至</w:t>
            </w:r>
            <w:r>
              <w:rPr>
                <w:rFonts w:ascii="宋体" w:hAnsi="宋体" w:eastAsia="宋体"/>
                <w:sz w:val="16"/>
              </w:rPr>
              <w:t>2024年12月31日，项目实际投资总额为30.352万元，主要用于培训17名教师，4个工种，人均培训课时240课时，项目实施后，有效提升参训</w:t>
            </w:r>
            <w:r>
              <w:rPr>
                <w:rFonts w:hint="eastAsia" w:ascii="宋体" w:hAnsi="宋体"/>
                <w:sz w:val="16"/>
                <w:lang w:eastAsia="zh-CN"/>
              </w:rPr>
              <w:t>教师</w:t>
            </w:r>
            <w:r>
              <w:rPr>
                <w:rFonts w:ascii="宋体" w:hAnsi="宋体" w:eastAsia="宋体"/>
                <w:sz w:val="16"/>
              </w:rPr>
              <w:t>专业技能水平，有效提升了学校教学水平，参训教师满意度100%。</w:t>
            </w:r>
          </w:p>
        </w:tc>
      </w:tr>
      <w:tr w14:paraId="411C7F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AEF5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F3C7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02F8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0F91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8340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0E71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0FDF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227F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7D04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A9EE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4864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8A85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EB1D1">
            <w:pPr>
              <w:jc w:val="center"/>
            </w:pPr>
            <w:r>
              <w:rPr>
                <w:rFonts w:ascii="宋体" w:hAnsi="宋体" w:eastAsia="宋体"/>
                <w:sz w:val="16"/>
              </w:rPr>
              <w:t>偏差原因分析及改进措施</w:t>
            </w:r>
          </w:p>
        </w:tc>
      </w:tr>
      <w:tr w14:paraId="0D19A7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E371F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ECC4A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652DA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DFB21">
            <w:pPr>
              <w:jc w:val="center"/>
            </w:pPr>
            <w:r>
              <w:rPr>
                <w:rFonts w:ascii="宋体" w:hAnsi="宋体" w:eastAsia="宋体"/>
                <w:sz w:val="16"/>
              </w:rPr>
              <w:t>参加培训人数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41309">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B2D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663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E3BD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99A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CFD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C3318">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ABBBD">
            <w:pPr>
              <w:jc w:val="center"/>
            </w:pPr>
            <w:r>
              <w:rPr>
                <w:rFonts w:ascii="宋体" w:hAnsi="宋体" w:eastAsia="宋体"/>
                <w:sz w:val="16"/>
              </w:rPr>
              <w:t>7.53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53525">
            <w:pPr>
              <w:jc w:val="center"/>
            </w:pPr>
          </w:p>
        </w:tc>
      </w:tr>
      <w:tr w14:paraId="5148F7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3CE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31C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683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5B672">
            <w:pPr>
              <w:jc w:val="center"/>
            </w:pPr>
            <w:r>
              <w:rPr>
                <w:rFonts w:ascii="宋体" w:hAnsi="宋体" w:eastAsia="宋体"/>
                <w:sz w:val="16"/>
              </w:rPr>
              <w:t>培训工种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E236E">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104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9C0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99C4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766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4FB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0043C">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0D6E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2D0FC">
            <w:pPr>
              <w:jc w:val="center"/>
            </w:pPr>
          </w:p>
        </w:tc>
      </w:tr>
      <w:tr w14:paraId="18D63B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5DA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FE3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30C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78EE1">
            <w:pPr>
              <w:jc w:val="center"/>
            </w:pPr>
            <w:r>
              <w:rPr>
                <w:rFonts w:ascii="宋体" w:hAnsi="宋体" w:eastAsia="宋体"/>
                <w:sz w:val="16"/>
              </w:rPr>
              <w:t>培训课时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B2A3D">
            <w:pPr>
              <w:jc w:val="center"/>
            </w:pPr>
            <w:r>
              <w:rPr>
                <w:rFonts w:ascii="宋体" w:hAnsi="宋体" w:eastAsia="宋体"/>
                <w:sz w:val="16"/>
              </w:rPr>
              <w:t>=240课时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435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95E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56F4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3C4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2D3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2F479">
            <w:pPr>
              <w:jc w:val="center"/>
            </w:pPr>
            <w:r>
              <w:rPr>
                <w:rFonts w:ascii="宋体" w:hAnsi="宋体" w:eastAsia="宋体"/>
                <w:sz w:val="16"/>
              </w:rPr>
              <w:t>=240课时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A3EF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5BC51">
            <w:pPr>
              <w:jc w:val="center"/>
            </w:pPr>
          </w:p>
        </w:tc>
      </w:tr>
      <w:tr w14:paraId="2D5311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910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7E6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2D9E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BA897">
            <w:pPr>
              <w:jc w:val="center"/>
            </w:pPr>
            <w:r>
              <w:rPr>
                <w:rFonts w:ascii="宋体" w:hAnsi="宋体" w:eastAsia="宋体"/>
                <w:sz w:val="16"/>
              </w:rPr>
              <w:t>结业考试通过率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C94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109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323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E411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4F8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74C9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0BA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ACF6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6B376">
            <w:pPr>
              <w:jc w:val="center"/>
            </w:pPr>
          </w:p>
        </w:tc>
      </w:tr>
      <w:tr w14:paraId="29AF48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CE0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366F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34527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59DA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B40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796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D0C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A74B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D4D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FE6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E20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497D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9F24A">
            <w:pPr>
              <w:jc w:val="center"/>
            </w:pPr>
          </w:p>
        </w:tc>
      </w:tr>
      <w:tr w14:paraId="6857C6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798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106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FD7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9027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352AF">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F20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C20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AEF4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D09C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2F2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35CD8">
            <w:pPr>
              <w:jc w:val="center"/>
            </w:pPr>
            <w:r>
              <w:rPr>
                <w:rFonts w:ascii="宋体" w:hAnsi="宋体" w:eastAsia="宋体"/>
                <w:sz w:val="16"/>
              </w:rPr>
              <w:t>=2024年12月16日</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270C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7FB53">
            <w:pPr>
              <w:jc w:val="center"/>
            </w:pPr>
          </w:p>
        </w:tc>
      </w:tr>
      <w:tr w14:paraId="33A268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4E2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BD6BE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E62E9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E7871">
            <w:pPr>
              <w:jc w:val="center"/>
            </w:pPr>
            <w:r>
              <w:rPr>
                <w:rFonts w:ascii="宋体" w:hAnsi="宋体" w:eastAsia="宋体"/>
                <w:sz w:val="16"/>
              </w:rPr>
              <w:t>人员往返交通费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5C510">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4574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A8B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A92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59F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415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1A18F">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0D9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58654">
            <w:pPr>
              <w:jc w:val="center"/>
            </w:pPr>
          </w:p>
        </w:tc>
      </w:tr>
      <w:tr w14:paraId="18910B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58B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246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0F0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B097C">
            <w:pPr>
              <w:jc w:val="center"/>
            </w:pPr>
            <w:r>
              <w:rPr>
                <w:rFonts w:ascii="宋体" w:hAnsi="宋体" w:eastAsia="宋体"/>
                <w:sz w:val="16"/>
              </w:rPr>
              <w:t>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CA6C5">
            <w:pPr>
              <w:jc w:val="center"/>
            </w:pPr>
            <w:r>
              <w:rPr>
                <w:rFonts w:ascii="宋体" w:hAnsi="宋体" w:eastAsia="宋体"/>
                <w:sz w:val="16"/>
              </w:rPr>
              <w:t>&lt;=21.352万元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8241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FA9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0FD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E38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6D7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2DAB2">
            <w:pPr>
              <w:jc w:val="center"/>
            </w:pPr>
            <w:r>
              <w:rPr>
                <w:rFonts w:ascii="宋体" w:hAnsi="宋体" w:eastAsia="宋体"/>
                <w:sz w:val="16"/>
              </w:rPr>
              <w:t>=21.352万元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009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D375B">
            <w:pPr>
              <w:jc w:val="center"/>
            </w:pPr>
          </w:p>
        </w:tc>
      </w:tr>
      <w:tr w14:paraId="0F5B4C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DD8F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86D60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A29E4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432B2">
            <w:pPr>
              <w:jc w:val="center"/>
            </w:pPr>
            <w:r>
              <w:rPr>
                <w:rFonts w:ascii="宋体" w:hAnsi="宋体" w:eastAsia="宋体"/>
                <w:sz w:val="16"/>
              </w:rPr>
              <w:t>提高参训教师专业技能水平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7390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9F0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D12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9CA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2EAB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2C3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BF97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2C9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42446">
            <w:pPr>
              <w:jc w:val="center"/>
            </w:pPr>
          </w:p>
        </w:tc>
      </w:tr>
      <w:tr w14:paraId="05432C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BFF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ABA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8D6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BB733">
            <w:pPr>
              <w:jc w:val="center"/>
            </w:pPr>
            <w:r>
              <w:rPr>
                <w:rFonts w:ascii="宋体" w:hAnsi="宋体" w:eastAsia="宋体"/>
                <w:sz w:val="16"/>
              </w:rPr>
              <w:t>提升学校教学水平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95AA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878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4BF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8C1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2AFB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D94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97E5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23D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7620A">
            <w:pPr>
              <w:jc w:val="center"/>
            </w:pPr>
          </w:p>
        </w:tc>
      </w:tr>
      <w:tr w14:paraId="7FEF88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457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40A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C24C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F5AF1">
            <w:pPr>
              <w:jc w:val="center"/>
            </w:pPr>
            <w:r>
              <w:rPr>
                <w:rFonts w:ascii="宋体" w:hAnsi="宋体" w:eastAsia="宋体"/>
                <w:sz w:val="16"/>
              </w:rPr>
              <w:t>参训教师满意度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A491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822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8AF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4E9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5E34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A5A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026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C96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90815">
            <w:pPr>
              <w:jc w:val="center"/>
            </w:pPr>
            <w:r>
              <w:rPr>
                <w:rFonts w:ascii="宋体" w:hAnsi="宋体" w:eastAsia="宋体"/>
                <w:sz w:val="16"/>
              </w:rPr>
              <w:t>该项目指标参训教师满意度&gt;=95%，因项目实际问卷调查满意度为100%，个指标偏差为5%；改进措施：根据项目实际情况合理设置预期指标值，使完成值与预期指标值一致。</w:t>
            </w:r>
          </w:p>
        </w:tc>
      </w:tr>
      <w:tr w14:paraId="7D0A17D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9D28D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86AD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D8792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990D1">
            <w:pPr>
              <w:jc w:val="center"/>
            </w:pPr>
            <w:r>
              <w:rPr>
                <w:rFonts w:ascii="宋体" w:hAnsi="宋体" w:eastAsia="宋体"/>
                <w:sz w:val="16"/>
              </w:rPr>
              <w:t>99.53分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6762E5B"/>
        </w:tc>
      </w:tr>
    </w:tbl>
    <w:p w14:paraId="2A4E4512">
      <w:r>
        <w:br w:type="page"/>
      </w:r>
    </w:p>
    <w:p w14:paraId="380ACFCF">
      <w:pPr>
        <w:spacing w:line="640" w:lineRule="exact"/>
        <w:ind w:firstLine="640"/>
        <w:jc w:val="both"/>
        <w:outlineLvl w:val="2"/>
      </w:pPr>
      <w:r>
        <w:rPr>
          <w:rFonts w:ascii="黑体" w:hAnsi="黑体" w:eastAsia="黑体"/>
          <w:sz w:val="32"/>
        </w:rPr>
        <w:t>十二、其他需说明的事项</w:t>
      </w:r>
    </w:p>
    <w:p w14:paraId="70BF6D0C">
      <w:pPr>
        <w:spacing w:line="580" w:lineRule="exact"/>
        <w:ind w:firstLine="640"/>
        <w:jc w:val="both"/>
      </w:pPr>
      <w:r>
        <w:rPr>
          <w:rFonts w:ascii="仿宋_GB2312" w:hAnsi="仿宋_GB2312" w:eastAsia="仿宋_GB2312"/>
          <w:b w:val="0"/>
          <w:sz w:val="32"/>
        </w:rPr>
        <w:t>本单位无其他需说明的事项。</w:t>
      </w:r>
    </w:p>
    <w:p w14:paraId="76B664A5">
      <w:r>
        <w:br w:type="page"/>
      </w:r>
    </w:p>
    <w:p w14:paraId="6C4F9BA2">
      <w:pPr>
        <w:spacing w:line="240" w:lineRule="auto"/>
        <w:jc w:val="center"/>
        <w:outlineLvl w:val="1"/>
      </w:pPr>
      <w:r>
        <w:rPr>
          <w:rFonts w:ascii="黑体" w:hAnsi="黑体" w:eastAsia="黑体"/>
          <w:sz w:val="32"/>
        </w:rPr>
        <w:t>第三部分 专业名词解释</w:t>
      </w:r>
    </w:p>
    <w:p w14:paraId="7E60AA5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3FFDA5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983FA1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559801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640A37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92E4FD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26ED96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BA5084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9D26E9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29600F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E19482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ED911D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9F427D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05FA99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832E559">
      <w:r>
        <w:br w:type="page"/>
      </w:r>
    </w:p>
    <w:p w14:paraId="389E4269">
      <w:pPr>
        <w:spacing w:line="240" w:lineRule="auto"/>
        <w:jc w:val="center"/>
        <w:outlineLvl w:val="1"/>
      </w:pPr>
      <w:r>
        <w:rPr>
          <w:rFonts w:ascii="黑体" w:hAnsi="黑体" w:eastAsia="黑体"/>
          <w:sz w:val="32"/>
        </w:rPr>
        <w:t>第四部分 部门决算报表（见附表）</w:t>
      </w:r>
    </w:p>
    <w:p w14:paraId="6AA95CBB">
      <w:pPr>
        <w:spacing w:line="240" w:lineRule="auto"/>
        <w:ind w:firstLine="640"/>
        <w:jc w:val="both"/>
      </w:pPr>
      <w:r>
        <w:rPr>
          <w:rFonts w:ascii="仿宋_GB2312" w:hAnsi="仿宋_GB2312" w:eastAsia="仿宋_GB2312"/>
          <w:b w:val="0"/>
          <w:sz w:val="32"/>
        </w:rPr>
        <w:t>一、《收入支出决算总表》</w:t>
      </w:r>
    </w:p>
    <w:p w14:paraId="768966C3">
      <w:pPr>
        <w:spacing w:line="240" w:lineRule="auto"/>
        <w:ind w:firstLine="640"/>
        <w:jc w:val="both"/>
      </w:pPr>
      <w:r>
        <w:rPr>
          <w:rFonts w:ascii="仿宋_GB2312" w:hAnsi="仿宋_GB2312" w:eastAsia="仿宋_GB2312"/>
          <w:b w:val="0"/>
          <w:sz w:val="32"/>
        </w:rPr>
        <w:t>二、《收入决算表》</w:t>
      </w:r>
    </w:p>
    <w:p w14:paraId="00FF9CE3">
      <w:pPr>
        <w:spacing w:line="240" w:lineRule="auto"/>
        <w:ind w:firstLine="640"/>
        <w:jc w:val="both"/>
      </w:pPr>
      <w:r>
        <w:rPr>
          <w:rFonts w:ascii="仿宋_GB2312" w:hAnsi="仿宋_GB2312" w:eastAsia="仿宋_GB2312"/>
          <w:b w:val="0"/>
          <w:sz w:val="32"/>
        </w:rPr>
        <w:t>三、《支出决算表》</w:t>
      </w:r>
    </w:p>
    <w:p w14:paraId="235F12BF">
      <w:pPr>
        <w:spacing w:line="240" w:lineRule="auto"/>
        <w:ind w:firstLine="640"/>
        <w:jc w:val="both"/>
      </w:pPr>
      <w:r>
        <w:rPr>
          <w:rFonts w:ascii="仿宋_GB2312" w:hAnsi="仿宋_GB2312" w:eastAsia="仿宋_GB2312"/>
          <w:b w:val="0"/>
          <w:sz w:val="32"/>
        </w:rPr>
        <w:t>四、《财政拨款收入支出决算总表》</w:t>
      </w:r>
    </w:p>
    <w:p w14:paraId="0C88759A">
      <w:pPr>
        <w:spacing w:line="240" w:lineRule="auto"/>
        <w:ind w:firstLine="640"/>
        <w:jc w:val="both"/>
      </w:pPr>
      <w:r>
        <w:rPr>
          <w:rFonts w:ascii="仿宋_GB2312" w:hAnsi="仿宋_GB2312" w:eastAsia="仿宋_GB2312"/>
          <w:b w:val="0"/>
          <w:sz w:val="32"/>
        </w:rPr>
        <w:t>五、《一般公共预算财政拨款支出决算表》</w:t>
      </w:r>
    </w:p>
    <w:p w14:paraId="3F61928C">
      <w:pPr>
        <w:spacing w:line="240" w:lineRule="auto"/>
        <w:ind w:firstLine="640"/>
        <w:jc w:val="both"/>
      </w:pPr>
      <w:r>
        <w:rPr>
          <w:rFonts w:ascii="仿宋_GB2312" w:hAnsi="仿宋_GB2312" w:eastAsia="仿宋_GB2312"/>
          <w:b w:val="0"/>
          <w:sz w:val="32"/>
        </w:rPr>
        <w:t>六、《一般公共预算财政拨款基本支出决算表》</w:t>
      </w:r>
    </w:p>
    <w:p w14:paraId="52F4DD5A">
      <w:pPr>
        <w:spacing w:line="240" w:lineRule="auto"/>
        <w:ind w:firstLine="640"/>
        <w:jc w:val="both"/>
      </w:pPr>
      <w:r>
        <w:rPr>
          <w:rFonts w:ascii="仿宋_GB2312" w:hAnsi="仿宋_GB2312" w:eastAsia="仿宋_GB2312"/>
          <w:b w:val="0"/>
          <w:sz w:val="32"/>
        </w:rPr>
        <w:t>七、《政府性基金预算财政拨款收入支出决算表》</w:t>
      </w:r>
    </w:p>
    <w:p w14:paraId="19C6985A">
      <w:pPr>
        <w:spacing w:line="240" w:lineRule="auto"/>
        <w:ind w:firstLine="640"/>
        <w:jc w:val="both"/>
      </w:pPr>
      <w:r>
        <w:rPr>
          <w:rFonts w:ascii="仿宋_GB2312" w:hAnsi="仿宋_GB2312" w:eastAsia="仿宋_GB2312"/>
          <w:b w:val="0"/>
          <w:sz w:val="32"/>
        </w:rPr>
        <w:t>八、《国有资本经营预算财政拨款收入支出决算表》</w:t>
      </w:r>
    </w:p>
    <w:p w14:paraId="35B79163">
      <w:pPr>
        <w:spacing w:line="240" w:lineRule="auto"/>
        <w:ind w:firstLine="640"/>
        <w:jc w:val="both"/>
      </w:pPr>
      <w:r>
        <w:rPr>
          <w:rFonts w:ascii="仿宋_GB2312" w:hAnsi="仿宋_GB2312" w:eastAsia="仿宋_GB2312"/>
          <w:b w:val="0"/>
          <w:sz w:val="32"/>
        </w:rPr>
        <w:t>九、《财政拨款“三公”经费支出决算表》</w:t>
      </w:r>
    </w:p>
    <w:p w14:paraId="7C3FECE1">
      <w:pPr>
        <w:spacing w:line="240" w:lineRule="auto"/>
        <w:ind w:firstLine="640"/>
        <w:jc w:val="both"/>
      </w:pPr>
    </w:p>
    <w:p w14:paraId="461BA5BB">
      <w:pPr>
        <w:spacing w:line="240" w:lineRule="auto"/>
        <w:ind w:firstLine="640"/>
        <w:jc w:val="both"/>
      </w:pPr>
    </w:p>
    <w:p w14:paraId="7E51D171">
      <w:pPr>
        <w:spacing w:line="240" w:lineRule="auto"/>
        <w:ind w:firstLine="640"/>
        <w:jc w:val="both"/>
      </w:pPr>
    </w:p>
    <w:p w14:paraId="4EC94C81">
      <w:pPr>
        <w:spacing w:line="240" w:lineRule="auto"/>
        <w:ind w:firstLine="640"/>
        <w:jc w:val="both"/>
      </w:pPr>
    </w:p>
    <w:p w14:paraId="5AC7BEF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600FB88-596F-4B1B-BA0C-91D9FB15E6D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7A6B13B-CFD0-4ADF-94F6-A0490477E19B}"/>
  </w:font>
  <w:font w:name="仿宋_GB2312">
    <w:panose1 w:val="02010609030101010101"/>
    <w:charset w:val="86"/>
    <w:family w:val="modern"/>
    <w:pitch w:val="default"/>
    <w:sig w:usb0="00000001" w:usb1="080E0000" w:usb2="00000000" w:usb3="00000000" w:csb0="00040000" w:csb1="00000000"/>
    <w:embedRegular r:id="rId3" w:fontKey="{9F12B5E6-50F7-4475-AE5E-FC5888605BAB}"/>
  </w:font>
  <w:font w:name="楷体_GB2312">
    <w:panose1 w:val="02010609030101010101"/>
    <w:charset w:val="86"/>
    <w:family w:val="auto"/>
    <w:pitch w:val="default"/>
    <w:sig w:usb0="00000001" w:usb1="080E0000" w:usb2="00000000" w:usb3="00000000" w:csb0="00040000" w:csb1="00000000"/>
    <w:embedRegular r:id="rId4" w:fontKey="{6378CA10-6295-43EC-BE8F-7E0B60EA97D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0FC81AD0"/>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460716"/>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3033F89"/>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8D078E"/>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5102</Words>
  <Characters>5953</Characters>
  <Lines>0</Lines>
  <Paragraphs>0</Paragraphs>
  <TotalTime>4</TotalTime>
  <ScaleCrop>false</ScaleCrop>
  <LinksUpToDate>false</LinksUpToDate>
  <CharactersWithSpaces>5961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2025-09-26T09:22:21Z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