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57E86F9">
      <w:r>
        <w:br w:type="page"/>
      </w:r>
    </w:p>
    <w:p w14:paraId="53053288">
      <w:pPr>
        <w:spacing w:line="640" w:lineRule="exact"/>
        <w:jc w:val="center"/>
        <w:outlineLvl w:val="1"/>
      </w:pPr>
      <w:r>
        <w:rPr>
          <w:rFonts w:ascii="黑体" w:hAnsi="黑体" w:eastAsia="黑体"/>
          <w:sz w:val="32"/>
        </w:rPr>
        <w:t>第一部分 单位概况</w:t>
      </w:r>
    </w:p>
    <w:p w14:paraId="03F0E1F3">
      <w:pPr>
        <w:spacing w:line="640" w:lineRule="exact"/>
        <w:ind w:firstLine="640"/>
        <w:jc w:val="both"/>
        <w:outlineLvl w:val="2"/>
      </w:pPr>
      <w:r>
        <w:rPr>
          <w:rFonts w:ascii="黑体" w:hAnsi="黑体" w:eastAsia="黑体"/>
          <w:sz w:val="32"/>
        </w:rPr>
        <w:t>一、主要职能</w:t>
      </w:r>
    </w:p>
    <w:p w14:paraId="576B7726">
      <w:pPr>
        <w:spacing w:line="580" w:lineRule="exact"/>
        <w:ind w:firstLine="640"/>
        <w:jc w:val="both"/>
      </w:pPr>
      <w:r>
        <w:rPr>
          <w:rFonts w:ascii="仿宋_GB2312" w:hAnsi="仿宋_GB2312" w:eastAsia="仿宋_GB2312"/>
          <w:sz w:val="32"/>
        </w:rPr>
        <w:t>一是制定全县疾病预防控制技术对策和措施，并负责指导和组织实施；二是负责实施预防和控制信息的收集整理、统计分析、综合评价、反馈及</w:t>
      </w:r>
      <w:r>
        <w:rPr>
          <w:rFonts w:hint="eastAsia" w:ascii="仿宋_GB2312" w:hAnsi="仿宋_GB2312" w:eastAsia="仿宋_GB2312"/>
          <w:sz w:val="32"/>
          <w:lang w:eastAsia="zh-CN"/>
        </w:rPr>
        <w:t>防疫</w:t>
      </w:r>
      <w:r>
        <w:rPr>
          <w:rFonts w:ascii="仿宋_GB2312" w:hAnsi="仿宋_GB2312" w:eastAsia="仿宋_GB2312"/>
          <w:sz w:val="32"/>
        </w:rPr>
        <w:t>报告；三是开展疾病预防控制相关的监测技术等科研、培训和公众的健康促进、健康教育、疾病预防指导；四是负责对生物性、社会性、职业性等因素所致疾病的流行病学调查，承担疾病预防。疫点控制、疫区消毒及卫生学评价等任务；五是负责重大</w:t>
      </w:r>
      <w:r>
        <w:rPr>
          <w:rFonts w:hint="eastAsia" w:ascii="仿宋_GB2312" w:hAnsi="仿宋_GB2312" w:eastAsia="仿宋_GB2312"/>
          <w:sz w:val="32"/>
          <w:lang w:eastAsia="zh-CN"/>
        </w:rPr>
        <w:t>防疫</w:t>
      </w:r>
      <w:r>
        <w:rPr>
          <w:rFonts w:ascii="仿宋_GB2312" w:hAnsi="仿宋_GB2312" w:eastAsia="仿宋_GB2312"/>
          <w:sz w:val="32"/>
        </w:rPr>
        <w:t>和突发事件的调查，提出控制措施，参与对危害公共卫生中毒事件的调查；六是负责拟订全县免疫接种规划，并负责疫苗的使用管理、技术指导及效果分析评价；七是指导和承担全县救灾防病有关的技术工作及负责消杀药品的发放；八是指导和参与社区卫生服务及初级卫生保健工作；九是承办县委、县政府交办的其他工作。</w:t>
      </w:r>
    </w:p>
    <w:p w14:paraId="585DD415">
      <w:pPr>
        <w:spacing w:line="640" w:lineRule="exact"/>
        <w:ind w:firstLine="640"/>
        <w:jc w:val="both"/>
        <w:outlineLvl w:val="2"/>
      </w:pPr>
      <w:r>
        <w:rPr>
          <w:rFonts w:ascii="黑体" w:hAnsi="黑体" w:eastAsia="黑体"/>
          <w:sz w:val="32"/>
        </w:rPr>
        <w:t>二、机构设置及人员情况</w:t>
      </w:r>
    </w:p>
    <w:p w14:paraId="47F83037">
      <w:pPr>
        <w:spacing w:line="580" w:lineRule="exact"/>
        <w:ind w:firstLine="640"/>
        <w:jc w:val="both"/>
      </w:pPr>
      <w:r>
        <w:rPr>
          <w:rFonts w:ascii="仿宋_GB2312" w:hAnsi="仿宋_GB2312" w:eastAsia="仿宋_GB2312"/>
          <w:sz w:val="32"/>
        </w:rPr>
        <w:t>疏勒县疾病预防控制中心2024年度，实有人数72人，其中：在职人员50人，增加22人；离休人员0人，增加0人；退休人员22人,增加2人。</w:t>
      </w:r>
    </w:p>
    <w:p w14:paraId="454BAE6E">
      <w:pPr>
        <w:spacing w:line="580" w:lineRule="exact"/>
        <w:ind w:firstLine="640"/>
        <w:jc w:val="both"/>
      </w:pPr>
      <w:r>
        <w:rPr>
          <w:rFonts w:ascii="仿宋_GB2312" w:hAnsi="仿宋_GB2312" w:eastAsia="仿宋_GB2312"/>
          <w:sz w:val="32"/>
        </w:rPr>
        <w:t>疏勒县疾病预防控制中心无下属预算单位，下设7个科室，分别是：计免科、结防科、性艾科、检验科、防痨科、地方病科、监督所。</w:t>
      </w:r>
    </w:p>
    <w:p w14:paraId="38DA09ED">
      <w:r>
        <w:br w:type="page"/>
      </w:r>
    </w:p>
    <w:p w14:paraId="32E75433">
      <w:pPr>
        <w:spacing w:line="240" w:lineRule="auto"/>
        <w:jc w:val="center"/>
        <w:outlineLvl w:val="1"/>
      </w:pPr>
      <w:r>
        <w:rPr>
          <w:rFonts w:ascii="黑体" w:hAnsi="黑体" w:eastAsia="黑体"/>
          <w:sz w:val="32"/>
        </w:rPr>
        <w:t>第二部分 部门决算情况说明</w:t>
      </w:r>
    </w:p>
    <w:p w14:paraId="723383E3">
      <w:pPr>
        <w:spacing w:line="640" w:lineRule="exact"/>
        <w:ind w:firstLine="640"/>
        <w:jc w:val="both"/>
        <w:outlineLvl w:val="2"/>
      </w:pPr>
      <w:r>
        <w:rPr>
          <w:rFonts w:ascii="黑体" w:hAnsi="黑体" w:eastAsia="黑体"/>
          <w:sz w:val="32"/>
        </w:rPr>
        <w:t>一、收入支出决算总体情况说明</w:t>
      </w:r>
    </w:p>
    <w:p w14:paraId="5A77E10C">
      <w:pPr>
        <w:spacing w:line="580" w:lineRule="exact"/>
        <w:ind w:firstLine="640"/>
        <w:jc w:val="both"/>
      </w:pPr>
      <w:r>
        <w:rPr>
          <w:rFonts w:ascii="仿宋_GB2312" w:hAnsi="仿宋_GB2312" w:eastAsia="仿宋_GB2312"/>
          <w:b/>
          <w:sz w:val="32"/>
        </w:rPr>
        <w:t>2024年度收入总计1,880.89万元，</w:t>
      </w:r>
      <w:r>
        <w:rPr>
          <w:rFonts w:ascii="仿宋_GB2312" w:hAnsi="仿宋_GB2312" w:eastAsia="仿宋_GB2312"/>
          <w:b w:val="0"/>
          <w:sz w:val="32"/>
        </w:rPr>
        <w:t>其中：本年收入合计1,880.89万元，使用非财政拨款结余（含专用结余）0.00万元，年初结转和结余0.00万元。</w:t>
      </w:r>
    </w:p>
    <w:p w14:paraId="42BBC334">
      <w:pPr>
        <w:spacing w:line="580" w:lineRule="exact"/>
        <w:ind w:firstLine="640"/>
        <w:jc w:val="both"/>
      </w:pPr>
      <w:r>
        <w:rPr>
          <w:rFonts w:ascii="仿宋_GB2312" w:hAnsi="仿宋_GB2312" w:eastAsia="仿宋_GB2312"/>
          <w:b/>
          <w:sz w:val="32"/>
        </w:rPr>
        <w:t>2024年度支出总计1,880.89万元，</w:t>
      </w:r>
      <w:r>
        <w:rPr>
          <w:rFonts w:ascii="仿宋_GB2312" w:hAnsi="仿宋_GB2312" w:eastAsia="仿宋_GB2312"/>
          <w:b w:val="0"/>
          <w:sz w:val="32"/>
        </w:rPr>
        <w:t>其中：本年支出合计1,880.89万元，结余分配0.00万元，年末结转和结余0.00万元。</w:t>
      </w:r>
    </w:p>
    <w:p w14:paraId="31BDA706">
      <w:pPr>
        <w:spacing w:line="580" w:lineRule="exact"/>
        <w:ind w:firstLine="640"/>
        <w:jc w:val="both"/>
      </w:pPr>
      <w:r>
        <w:rPr>
          <w:rFonts w:ascii="仿宋_GB2312" w:hAnsi="仿宋_GB2312" w:eastAsia="仿宋_GB2312"/>
          <w:b w:val="0"/>
          <w:sz w:val="32"/>
        </w:rPr>
        <w:t>收入支出总体与上年相比，减少869.77万元，下降31.62%，主要原因是：本年度YQ防控物资采购项目经费较上年减少，导致经费较上年减少。</w:t>
      </w:r>
    </w:p>
    <w:p w14:paraId="47DBA931">
      <w:pPr>
        <w:spacing w:line="640" w:lineRule="exact"/>
        <w:ind w:firstLine="640"/>
        <w:jc w:val="both"/>
        <w:outlineLvl w:val="2"/>
      </w:pPr>
      <w:r>
        <w:rPr>
          <w:rFonts w:ascii="黑体" w:hAnsi="黑体" w:eastAsia="黑体"/>
          <w:sz w:val="32"/>
        </w:rPr>
        <w:t>二、收入决算情况说明</w:t>
      </w:r>
    </w:p>
    <w:p w14:paraId="1B62E8FC">
      <w:pPr>
        <w:spacing w:line="580" w:lineRule="exact"/>
        <w:ind w:firstLine="640"/>
        <w:jc w:val="both"/>
      </w:pPr>
      <w:r>
        <w:rPr>
          <w:rFonts w:ascii="仿宋_GB2312" w:hAnsi="仿宋_GB2312" w:eastAsia="仿宋_GB2312"/>
          <w:b/>
          <w:sz w:val="32"/>
        </w:rPr>
        <w:t>本年收入1,880.89万元，</w:t>
      </w:r>
      <w:r>
        <w:rPr>
          <w:rFonts w:ascii="仿宋_GB2312" w:hAnsi="仿宋_GB2312" w:eastAsia="仿宋_GB2312"/>
          <w:b w:val="0"/>
          <w:sz w:val="32"/>
        </w:rPr>
        <w:t>其中：财政拨款收入1,841.48万元，占97.90%；上级补助收入0.00万元，占0.00%；事业收入0.00万元，占0.00%；经营收入0.00万元，占0.00%；附属单位上缴收入0.00万元，占0.00%；其他收入39.41万元，占2.10%。</w:t>
      </w:r>
    </w:p>
    <w:p w14:paraId="080542BC">
      <w:pPr>
        <w:spacing w:line="640" w:lineRule="exact"/>
        <w:ind w:firstLine="640"/>
        <w:jc w:val="both"/>
        <w:outlineLvl w:val="2"/>
      </w:pPr>
      <w:r>
        <w:rPr>
          <w:rFonts w:ascii="黑体" w:hAnsi="黑体" w:eastAsia="黑体"/>
          <w:sz w:val="32"/>
        </w:rPr>
        <w:t>三、支出决算情况说明</w:t>
      </w:r>
    </w:p>
    <w:p w14:paraId="1B699619">
      <w:pPr>
        <w:spacing w:line="580" w:lineRule="exact"/>
        <w:ind w:firstLine="640"/>
        <w:jc w:val="both"/>
      </w:pPr>
      <w:r>
        <w:rPr>
          <w:rFonts w:ascii="仿宋_GB2312" w:hAnsi="仿宋_GB2312" w:eastAsia="仿宋_GB2312"/>
          <w:b/>
          <w:sz w:val="32"/>
        </w:rPr>
        <w:t>本年支出1,880.89万元，</w:t>
      </w:r>
      <w:r>
        <w:rPr>
          <w:rFonts w:ascii="仿宋_GB2312" w:hAnsi="仿宋_GB2312" w:eastAsia="仿宋_GB2312"/>
          <w:b w:val="0"/>
          <w:sz w:val="32"/>
        </w:rPr>
        <w:t>其中：基本支出760.31万元，占40.42%；项目支出1,120.58万元，占59.58%；上缴上级支出0.00万元，占0.00%；经营支出0.00万元，占0.00%；对附属单位补助支出0.00万元，占0.00%。</w:t>
      </w:r>
    </w:p>
    <w:p w14:paraId="13E5BBD8">
      <w:pPr>
        <w:spacing w:line="640" w:lineRule="exact"/>
        <w:ind w:firstLine="640"/>
        <w:jc w:val="both"/>
        <w:outlineLvl w:val="2"/>
      </w:pPr>
      <w:r>
        <w:rPr>
          <w:rFonts w:ascii="黑体" w:hAnsi="黑体" w:eastAsia="黑体"/>
          <w:sz w:val="32"/>
        </w:rPr>
        <w:t>四、财政拨款收入支出决算总体情况说明</w:t>
      </w:r>
    </w:p>
    <w:p w14:paraId="45850214">
      <w:pPr>
        <w:spacing w:line="580" w:lineRule="exact"/>
        <w:ind w:firstLine="640"/>
        <w:jc w:val="both"/>
      </w:pPr>
      <w:r>
        <w:rPr>
          <w:rFonts w:ascii="仿宋_GB2312" w:hAnsi="仿宋_GB2312" w:eastAsia="仿宋_GB2312"/>
          <w:b/>
          <w:sz w:val="32"/>
        </w:rPr>
        <w:t>2024年度财政拨款收入总计1,841.48万元，</w:t>
      </w:r>
      <w:r>
        <w:rPr>
          <w:rFonts w:ascii="仿宋_GB2312" w:hAnsi="仿宋_GB2312" w:eastAsia="仿宋_GB2312"/>
          <w:b w:val="0"/>
          <w:sz w:val="32"/>
        </w:rPr>
        <w:t>其中：年初财政拨款结转和结余0.00万元，本年财政拨款收入1,841.48万元。</w:t>
      </w:r>
      <w:r>
        <w:rPr>
          <w:rFonts w:ascii="仿宋_GB2312" w:hAnsi="仿宋_GB2312" w:eastAsia="仿宋_GB2312"/>
          <w:b/>
          <w:sz w:val="32"/>
        </w:rPr>
        <w:t>财政拨款支出总计1,841.48万元，</w:t>
      </w:r>
      <w:r>
        <w:rPr>
          <w:rFonts w:ascii="仿宋_GB2312" w:hAnsi="仿宋_GB2312" w:eastAsia="仿宋_GB2312"/>
          <w:b w:val="0"/>
          <w:sz w:val="32"/>
        </w:rPr>
        <w:t>其中：年末财政拨款结转和结余0.00万元，本年财政拨款支出1,841.48万元。</w:t>
      </w:r>
    </w:p>
    <w:p w14:paraId="2C9E324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减少853.74万元，下降31.68%，主要原因是：本年度YQ防控物资采购项目经费较上年减少，导致经费较上年减少。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858.85万元，决算数1,841.48万元，预决算差异率114.41%，主要原因是：本年机构改革，卫生健康服务站合并至本单位，在职人员增加，年中追加人员工资、社保、公积金基数调增部分资金及人员经费；追加YQ防控物资项目、疾病预防控制中心改建项目、麻疹防控疫苗采购项目等，导致预决算存在差异。</w:t>
      </w:r>
    </w:p>
    <w:p w14:paraId="5291155B">
      <w:pPr>
        <w:spacing w:line="640" w:lineRule="exact"/>
        <w:ind w:firstLine="640"/>
        <w:jc w:val="both"/>
        <w:outlineLvl w:val="2"/>
      </w:pPr>
      <w:r>
        <w:rPr>
          <w:rFonts w:ascii="黑体" w:hAnsi="黑体" w:eastAsia="黑体"/>
          <w:sz w:val="32"/>
        </w:rPr>
        <w:t>五、一般公共预算财政拨款支出决算情况说明</w:t>
      </w:r>
    </w:p>
    <w:p w14:paraId="2D9290A9">
      <w:pPr>
        <w:spacing w:line="640" w:lineRule="exact"/>
        <w:ind w:firstLine="640"/>
        <w:jc w:val="both"/>
        <w:outlineLvl w:val="3"/>
      </w:pPr>
      <w:r>
        <w:rPr>
          <w:rFonts w:ascii="楷体_GB2312" w:hAnsi="楷体_GB2312" w:eastAsia="楷体_GB2312"/>
          <w:b/>
          <w:sz w:val="32"/>
        </w:rPr>
        <w:t>（一）一般公共预算财政拨款支出决算总体情况</w:t>
      </w:r>
    </w:p>
    <w:p w14:paraId="61557627">
      <w:pPr>
        <w:spacing w:line="580" w:lineRule="exact"/>
        <w:ind w:firstLine="640"/>
        <w:jc w:val="both"/>
      </w:pPr>
      <w:r>
        <w:rPr>
          <w:rFonts w:ascii="仿宋_GB2312" w:hAnsi="仿宋_GB2312" w:eastAsia="仿宋_GB2312"/>
          <w:b/>
          <w:sz w:val="32"/>
        </w:rPr>
        <w:t>2024年度一般公共预算财政拨款支出1,841.48万元，</w:t>
      </w:r>
      <w:r>
        <w:rPr>
          <w:rFonts w:ascii="仿宋_GB2312" w:hAnsi="仿宋_GB2312" w:eastAsia="仿宋_GB2312"/>
          <w:b w:val="0"/>
          <w:sz w:val="32"/>
        </w:rPr>
        <w:t>占本年支出合计的97.90%。</w:t>
      </w:r>
      <w:r>
        <w:rPr>
          <w:rFonts w:ascii="仿宋_GB2312" w:hAnsi="仿宋_GB2312" w:eastAsia="仿宋_GB2312"/>
          <w:b/>
          <w:sz w:val="32"/>
        </w:rPr>
        <w:t>与上年相比，</w:t>
      </w:r>
      <w:r>
        <w:rPr>
          <w:rFonts w:ascii="仿宋_GB2312" w:hAnsi="仿宋_GB2312" w:eastAsia="仿宋_GB2312"/>
          <w:b w:val="0"/>
          <w:sz w:val="32"/>
        </w:rPr>
        <w:t>减少853.74万元，下降31.68%，主要原因是：本年度YQ防控物资采购项目经费较上年减少，导致经费较上年减少。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858.85万元，决算数1,841.48万元，预决算差异率114.41%，主要原因是：本年机构改革，卫生健康服务站合并至本单位，在职人员增加，年中追加人员工资、社保、公积金基数调增部分资金及人员经费；追加YQ防控物资项目、疾病预防控制中心改建项目、麻疹防控疫苗采购项目等，导致预决算存在差异。</w:t>
      </w:r>
    </w:p>
    <w:p w14:paraId="5BB33F18">
      <w:pPr>
        <w:spacing w:line="640" w:lineRule="exact"/>
        <w:ind w:firstLine="640"/>
        <w:jc w:val="both"/>
        <w:outlineLvl w:val="3"/>
      </w:pPr>
      <w:r>
        <w:rPr>
          <w:rFonts w:ascii="楷体_GB2312" w:hAnsi="楷体_GB2312" w:eastAsia="楷体_GB2312"/>
          <w:b/>
          <w:sz w:val="32"/>
        </w:rPr>
        <w:t>（二）一般公共预算财政拨款支出决算结构情况</w:t>
      </w:r>
    </w:p>
    <w:p w14:paraId="138F2461">
      <w:pPr>
        <w:spacing w:line="580" w:lineRule="exact"/>
        <w:ind w:firstLine="640"/>
        <w:jc w:val="both"/>
      </w:pPr>
      <w:r>
        <w:rPr>
          <w:rFonts w:ascii="仿宋_GB2312" w:hAnsi="仿宋_GB2312" w:eastAsia="仿宋_GB2312"/>
          <w:b w:val="0"/>
          <w:sz w:val="32"/>
        </w:rPr>
        <w:t>1.社会保障和就业支出(类)104.64万元,占5.68%。</w:t>
      </w:r>
    </w:p>
    <w:p w14:paraId="37F8782B">
      <w:pPr>
        <w:spacing w:line="580" w:lineRule="exact"/>
        <w:ind w:firstLine="640"/>
        <w:jc w:val="both"/>
      </w:pPr>
      <w:r>
        <w:rPr>
          <w:rFonts w:ascii="仿宋_GB2312" w:hAnsi="仿宋_GB2312" w:eastAsia="仿宋_GB2312"/>
          <w:b w:val="0"/>
          <w:sz w:val="32"/>
        </w:rPr>
        <w:t>2.卫生健康支出(类)1,682.45万元,占91.36%。</w:t>
      </w:r>
    </w:p>
    <w:p w14:paraId="5C0E1455">
      <w:pPr>
        <w:spacing w:line="580" w:lineRule="exact"/>
        <w:ind w:firstLine="640"/>
        <w:jc w:val="both"/>
      </w:pPr>
      <w:r>
        <w:rPr>
          <w:rFonts w:ascii="仿宋_GB2312" w:hAnsi="仿宋_GB2312" w:eastAsia="仿宋_GB2312"/>
          <w:b w:val="0"/>
          <w:sz w:val="32"/>
        </w:rPr>
        <w:t>3.农林水支出(类)1.68万元,占0.09%。</w:t>
      </w:r>
    </w:p>
    <w:p w14:paraId="14263A94">
      <w:pPr>
        <w:spacing w:line="580" w:lineRule="exact"/>
        <w:ind w:firstLine="640"/>
        <w:jc w:val="both"/>
      </w:pPr>
      <w:r>
        <w:rPr>
          <w:rFonts w:ascii="仿宋_GB2312" w:hAnsi="仿宋_GB2312" w:eastAsia="仿宋_GB2312"/>
          <w:b w:val="0"/>
          <w:sz w:val="32"/>
        </w:rPr>
        <w:t>4.住房保障支出(类)52.72万元,占2.86%。</w:t>
      </w:r>
    </w:p>
    <w:p w14:paraId="4E65B37A">
      <w:pPr>
        <w:spacing w:line="640" w:lineRule="exact"/>
        <w:ind w:firstLine="640"/>
        <w:jc w:val="both"/>
        <w:outlineLvl w:val="3"/>
      </w:pPr>
      <w:r>
        <w:rPr>
          <w:rFonts w:ascii="楷体_GB2312" w:hAnsi="楷体_GB2312" w:eastAsia="楷体_GB2312"/>
          <w:b/>
          <w:sz w:val="32"/>
        </w:rPr>
        <w:t>（三）一般公共预算财政拨款支出决算具体情况</w:t>
      </w:r>
    </w:p>
    <w:p w14:paraId="1F5C5B8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1.社会保障和就业支出(类)行政事业单位养老支出(款)事业单位离退休(项):支出决算数为27.35万元，比上年决算增加4.24万元，增长18.35%,主要原因是：本年退休人员增加，退休费支出增加。</w:t>
      </w:r>
    </w:p>
    <w:p w14:paraId="300AACA1">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69.37万元，比上年决算增加23.25万元，增长50.41%,主要原因是：本年机构改革，卫生健康服务站合并至本单位，在职人员增加，养老保险缴费较上年增加。</w:t>
      </w:r>
    </w:p>
    <w:p w14:paraId="471728A7">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3.社会保障和就业支出(类)行政事业单位养老支出(款)机关事业单位职业年金缴费支出(项):支出决算数为7.92万元，比上年决算增加7.92万元，增长100.00%,主要原因是：本年新增退休人员，职业年金缴费支出增加。</w:t>
      </w:r>
    </w:p>
    <w:p w14:paraId="533324DC">
      <w:pPr>
        <w:spacing w:line="580" w:lineRule="exact"/>
        <w:ind w:firstLine="640"/>
        <w:jc w:val="both"/>
      </w:pPr>
      <w:r>
        <w:rPr>
          <w:rFonts w:ascii="仿宋_GB2312" w:hAnsi="仿宋_GB2312" w:eastAsia="仿宋_GB2312"/>
          <w:b w:val="0"/>
          <w:sz w:val="32"/>
        </w:rPr>
        <w:t>4.卫生健康支出(类)公共卫生(款)疾病预防控制机构(项):支出决算数为567.04万元，比上年决算增加91.35万元，增长19.20%,主要原因是：本年机构改革，卫生健康服务站合并至本单位，在职人员增加，人员工资调增，人员经费增加。</w:t>
      </w:r>
    </w:p>
    <w:p w14:paraId="37B16F28">
      <w:pPr>
        <w:spacing w:line="580" w:lineRule="exact"/>
        <w:ind w:firstLine="640"/>
        <w:jc w:val="both"/>
      </w:pPr>
      <w:r>
        <w:rPr>
          <w:rFonts w:ascii="仿宋_GB2312" w:hAnsi="仿宋_GB2312" w:eastAsia="仿宋_GB2312"/>
          <w:b w:val="0"/>
          <w:sz w:val="32"/>
        </w:rPr>
        <w:t>5.卫生健康支出(类)公共卫生(款)卫生监督机构(项):支出决算数为75.91万元，比上年决算增加75.91万元，增长100.00%,主要原因是：本年机构改革，卫生健康服务站合并至本单位，在职人员增加，人员经费支出增加。</w:t>
      </w:r>
    </w:p>
    <w:p w14:paraId="673ABD3A">
      <w:pPr>
        <w:spacing w:line="580" w:lineRule="exact"/>
        <w:ind w:firstLine="640"/>
        <w:jc w:val="both"/>
      </w:pPr>
      <w:r>
        <w:rPr>
          <w:rFonts w:ascii="仿宋_GB2312" w:hAnsi="仿宋_GB2312" w:eastAsia="仿宋_GB2312"/>
          <w:b w:val="0"/>
          <w:sz w:val="32"/>
        </w:rPr>
        <w:t>6.卫生健康支出(类)公共卫生(款)基本公共卫生服务(项):支出决算数为14.88万元，比上年决算增加14.88万元，增长100.00%,主要原因是：本年增加中央基本公共卫生服务项目、2024年自治区公共卫生服务[地方公共卫生]补助项目、2024年中央基本公共卫生服务补助项目。</w:t>
      </w:r>
    </w:p>
    <w:p w14:paraId="491750FE">
      <w:pPr>
        <w:spacing w:line="580" w:lineRule="exact"/>
        <w:ind w:firstLine="640"/>
        <w:jc w:val="both"/>
      </w:pPr>
      <w:r>
        <w:rPr>
          <w:rFonts w:ascii="仿宋_GB2312" w:hAnsi="仿宋_GB2312" w:eastAsia="仿宋_GB2312"/>
          <w:b w:val="0"/>
          <w:sz w:val="32"/>
        </w:rPr>
        <w:t>7.卫生健康支出(类)公共卫生(款)重大公共卫生服务(项):支出决算数为92.98万元，比上年决算增加92.98万元，增长100.00%,主要原因是：本年增加YQ防控医疗物资采购项目2024年重大传染病防控经费项目。</w:t>
      </w:r>
    </w:p>
    <w:p w14:paraId="6F861366">
      <w:pPr>
        <w:spacing w:line="580" w:lineRule="exact"/>
        <w:ind w:firstLine="640"/>
        <w:jc w:val="both"/>
      </w:pPr>
      <w:r>
        <w:rPr>
          <w:rFonts w:ascii="仿宋_GB2312" w:hAnsi="仿宋_GB2312" w:eastAsia="仿宋_GB2312"/>
          <w:b w:val="0"/>
          <w:sz w:val="32"/>
        </w:rPr>
        <w:t>8.卫生健康支出(类)公共卫生(款)突发公共卫生事件应急处置(项):支出决算数为443.00万元，比上年决算减少1,620.89万元，下降78.54%,主要原因是：本年度YQ防控物资采购项目经费较上年减少，导致经费较上年减少。</w:t>
      </w:r>
    </w:p>
    <w:p w14:paraId="7199D65E">
      <w:pPr>
        <w:spacing w:line="580" w:lineRule="exact"/>
        <w:ind w:firstLine="640"/>
        <w:jc w:val="both"/>
      </w:pPr>
      <w:r>
        <w:rPr>
          <w:rFonts w:ascii="仿宋_GB2312" w:hAnsi="仿宋_GB2312" w:eastAsia="仿宋_GB2312"/>
          <w:b w:val="0"/>
          <w:sz w:val="32"/>
        </w:rPr>
        <w:t>9.卫生健康支出(类)公共卫生(款)其他公共卫生支出(项):支出决算数为487.58万元，比上年决算增加487.58万元，增长100.00%,主要原因是：本年增加喀什地区疏勒县疾病预防控制中心改建项目（回补）和疏勒县疾病预防控制中心麻疹YQ防控疫苗采购项目（第二批）。</w:t>
      </w:r>
    </w:p>
    <w:p w14:paraId="7CCAE7CF">
      <w:pPr>
        <w:spacing w:line="580" w:lineRule="exact"/>
        <w:ind w:firstLine="640"/>
        <w:jc w:val="both"/>
      </w:pPr>
      <w:r>
        <w:rPr>
          <w:rFonts w:ascii="仿宋_GB2312" w:hAnsi="仿宋_GB2312" w:eastAsia="仿宋_GB2312"/>
          <w:b w:val="0"/>
          <w:sz w:val="32"/>
        </w:rPr>
        <w:t>10.卫生健康支出(类)行政事业单位医疗(款)公务员医疗补助(项):支出决算数为1.06万元，比上年决算增加1.06万元，增长100.00%,主要原因是：本年机构改革，卫生健康服务站合并至本单位，在职人员增加，公务员医疗补助支出增加。</w:t>
      </w:r>
    </w:p>
    <w:p w14:paraId="3FD7C022">
      <w:pPr>
        <w:spacing w:line="580" w:lineRule="exact"/>
        <w:ind w:firstLine="640"/>
        <w:jc w:val="both"/>
      </w:pPr>
      <w:r>
        <w:rPr>
          <w:rFonts w:ascii="仿宋_GB2312" w:hAnsi="仿宋_GB2312" w:eastAsia="仿宋_GB2312"/>
          <w:b w:val="0"/>
          <w:sz w:val="32"/>
        </w:rPr>
        <w:t>11.卫生健康支出(类)其他卫生健康支出(款)其他卫生健康支出(项):支出决算数为0.00万元，比上年决算减少50.00万元，下降100.00%,主要原因是：本年减少2021年喀什地区疏勒县疾病预防控制中心改建项目。</w:t>
      </w:r>
    </w:p>
    <w:p w14:paraId="14E6675B">
      <w:pPr>
        <w:spacing w:line="580" w:lineRule="exact"/>
        <w:ind w:firstLine="640"/>
        <w:jc w:val="both"/>
      </w:pPr>
      <w:r>
        <w:rPr>
          <w:rFonts w:ascii="仿宋_GB2312" w:hAnsi="仿宋_GB2312" w:eastAsia="仿宋_GB2312"/>
          <w:b w:val="0"/>
          <w:sz w:val="32"/>
        </w:rPr>
        <w:t>12.农林水支出(类)农业农村(款)其他农业农村支出(项):支出决算数为1.68万元，比上年决算增加1.68万元，增长100.00%,主要原因是：本年增加2024年为民办实事项目经费。</w:t>
      </w:r>
    </w:p>
    <w:p w14:paraId="62A968D8">
      <w:pPr>
        <w:spacing w:line="580" w:lineRule="exact"/>
        <w:ind w:firstLine="640"/>
        <w:jc w:val="both"/>
      </w:pPr>
      <w:r>
        <w:rPr>
          <w:rFonts w:ascii="仿宋_GB2312" w:hAnsi="仿宋_GB2312" w:eastAsia="仿宋_GB2312"/>
          <w:b w:val="0"/>
          <w:sz w:val="32"/>
        </w:rPr>
        <w:t>13.住房保障支出(类)住房改革支出(款)住房公积金(项):支出决算数为52.72万元，比上年决算增加16.31万元，增长44.80%,主要原因是：本年机构改革，卫生健康服务站合并至本单位，在职人员增加，住房公积金支出增加。</w:t>
      </w:r>
    </w:p>
    <w:p w14:paraId="5D61B3C1">
      <w:pPr>
        <w:spacing w:line="640" w:lineRule="exact"/>
        <w:ind w:firstLine="640"/>
        <w:jc w:val="both"/>
        <w:outlineLvl w:val="2"/>
      </w:pPr>
      <w:r>
        <w:rPr>
          <w:rFonts w:ascii="黑体" w:hAnsi="黑体" w:eastAsia="黑体"/>
          <w:sz w:val="32"/>
        </w:rPr>
        <w:t>六、一般公共预算财政拨款基本支出决算情况说明</w:t>
      </w:r>
    </w:p>
    <w:p w14:paraId="0EFE26EE">
      <w:pPr>
        <w:spacing w:line="580" w:lineRule="exact"/>
        <w:ind w:firstLine="640"/>
        <w:jc w:val="both"/>
      </w:pPr>
      <w:r>
        <w:rPr>
          <w:rFonts w:ascii="仿宋_GB2312" w:hAnsi="仿宋_GB2312" w:eastAsia="仿宋_GB2312"/>
          <w:b w:val="0"/>
          <w:sz w:val="32"/>
        </w:rPr>
        <w:t>2024年度一般公共预算财政拨款基本支出760.31万元，其中：</w:t>
      </w:r>
      <w:r>
        <w:rPr>
          <w:rFonts w:ascii="仿宋_GB2312" w:hAnsi="仿宋_GB2312" w:eastAsia="仿宋_GB2312"/>
          <w:b/>
          <w:sz w:val="32"/>
        </w:rPr>
        <w:t>人员经费747.61万元，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7168227A">
      <w:pPr>
        <w:spacing w:line="580" w:lineRule="exact"/>
        <w:ind w:firstLine="640"/>
        <w:jc w:val="both"/>
      </w:pPr>
      <w:r>
        <w:rPr>
          <w:rFonts w:ascii="仿宋_GB2312" w:hAnsi="仿宋_GB2312" w:eastAsia="仿宋_GB2312"/>
          <w:b/>
          <w:sz w:val="32"/>
        </w:rPr>
        <w:t>公用经费12.70万元，</w:t>
      </w:r>
      <w:r>
        <w:rPr>
          <w:rFonts w:ascii="仿宋_GB2312" w:hAnsi="仿宋_GB2312" w:eastAsia="仿宋_GB2312"/>
          <w:b w:val="0"/>
          <w:sz w:val="32"/>
        </w:rPr>
        <w:t>包括：办公费、印刷费、取暖费、差旅费、维修（护）费、公务用车运行维护费。</w:t>
      </w:r>
    </w:p>
    <w:p w14:paraId="0D7D816F">
      <w:pPr>
        <w:spacing w:line="640" w:lineRule="exact"/>
        <w:ind w:firstLine="640"/>
        <w:jc w:val="both"/>
        <w:outlineLvl w:val="2"/>
      </w:pPr>
      <w:r>
        <w:rPr>
          <w:rFonts w:ascii="黑体" w:hAnsi="黑体" w:eastAsia="黑体"/>
          <w:sz w:val="32"/>
        </w:rPr>
        <w:t>七、政府性基金预算财政拨款收入支出决算情况说明</w:t>
      </w:r>
    </w:p>
    <w:p w14:paraId="2ECDB84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DBF73E3">
      <w:pPr>
        <w:spacing w:line="640" w:lineRule="exact"/>
        <w:ind w:firstLine="640"/>
        <w:jc w:val="both"/>
        <w:outlineLvl w:val="2"/>
      </w:pPr>
      <w:r>
        <w:rPr>
          <w:rFonts w:ascii="黑体" w:hAnsi="黑体" w:eastAsia="黑体"/>
          <w:sz w:val="32"/>
        </w:rPr>
        <w:t>八、国有资本经营预算财政拨款收入支出决算情况说明</w:t>
      </w:r>
    </w:p>
    <w:p w14:paraId="186EFA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CB1B22">
      <w:pPr>
        <w:spacing w:line="640" w:lineRule="exact"/>
        <w:ind w:firstLine="640"/>
        <w:jc w:val="both"/>
        <w:outlineLvl w:val="2"/>
      </w:pPr>
      <w:r>
        <w:rPr>
          <w:rFonts w:ascii="黑体" w:hAnsi="黑体" w:eastAsia="黑体"/>
          <w:sz w:val="32"/>
        </w:rPr>
        <w:t>九、财政拨款“三公”经费支出决算情况说明</w:t>
      </w:r>
    </w:p>
    <w:p w14:paraId="060C55BE">
      <w:pPr>
        <w:spacing w:line="580" w:lineRule="exact"/>
        <w:ind w:firstLine="640"/>
        <w:jc w:val="both"/>
      </w:pPr>
      <w:r>
        <w:rPr>
          <w:rFonts w:ascii="仿宋_GB2312" w:hAnsi="仿宋_GB2312" w:eastAsia="仿宋_GB2312"/>
          <w:b/>
          <w:sz w:val="32"/>
        </w:rPr>
        <w:t>2024年度财政拨款“三公”经费支出4.73万元，</w:t>
      </w:r>
      <w:r>
        <w:rPr>
          <w:rFonts w:ascii="仿宋_GB2312" w:hAnsi="仿宋_GB2312" w:eastAsia="仿宋_GB2312"/>
          <w:b w:val="0"/>
          <w:sz w:val="32"/>
        </w:rPr>
        <w:t>比上年增加3.38万元，增长250.37%，主要原因是：本年机构改革，卫生健康服务站合并至本单位，车辆运行维护费用增加。其中：因公出国（境）费支出0.00万元，占0.00%，比上年增加0.00万元，增长0.00%，主要原因是：2023年与2024年均未安排因公出国（境）费支出。公务用车购置及运行维护费支出4.73万元，占100.00%，比上年增加3.38万元，增长250.37%，主要原因是：本年机构改革，卫生健康服务站合并至本单位，车辆运行维护费用增加。公务接待费支出0.00万元，占0.00%，比上年增加0.00万元，增长0.00%，主要原因是：2023年与2024年均未安排公务接待费支出。</w:t>
      </w:r>
    </w:p>
    <w:p w14:paraId="20E3E9E2">
      <w:pPr>
        <w:spacing w:line="580" w:lineRule="exact"/>
        <w:ind w:firstLine="640"/>
        <w:jc w:val="both"/>
      </w:pPr>
      <w:r>
        <w:rPr>
          <w:rFonts w:ascii="仿宋_GB2312" w:hAnsi="仿宋_GB2312" w:eastAsia="仿宋_GB2312"/>
          <w:b/>
          <w:sz w:val="32"/>
        </w:rPr>
        <w:t>具体情况如下：</w:t>
      </w:r>
    </w:p>
    <w:p w14:paraId="3B8F41C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A195C7E">
      <w:pPr>
        <w:spacing w:line="580" w:lineRule="exact"/>
        <w:ind w:firstLine="640"/>
        <w:jc w:val="both"/>
      </w:pPr>
      <w:r>
        <w:rPr>
          <w:rFonts w:ascii="仿宋_GB2312" w:hAnsi="仿宋_GB2312" w:eastAsia="仿宋_GB2312"/>
          <w:b w:val="0"/>
          <w:sz w:val="32"/>
        </w:rPr>
        <w:t>公务用车购置及运行维护费4.73万元，其中：公务用车购置费0.00万元，公务用车运行维护费4.73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18BAB44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1994950">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4.73万元，决算数4.73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4.73万元，决算数4.73万元，预决算差异率0.00%，主要原因是：严格按照预算执行，预决算无差异。公务接待费全年预算数0.00万元，决算数0.00万元，预决算差异率0.00%，主要原因是：本单位无公务接待费。</w:t>
      </w:r>
    </w:p>
    <w:p w14:paraId="5DB7F920">
      <w:pPr>
        <w:spacing w:line="640" w:lineRule="exact"/>
        <w:ind w:firstLine="640"/>
        <w:jc w:val="both"/>
        <w:outlineLvl w:val="2"/>
      </w:pPr>
      <w:r>
        <w:rPr>
          <w:rFonts w:ascii="黑体" w:hAnsi="黑体" w:eastAsia="黑体"/>
          <w:sz w:val="32"/>
        </w:rPr>
        <w:t>十、其他重要事项的情况说明</w:t>
      </w:r>
    </w:p>
    <w:p w14:paraId="5208A928">
      <w:pPr>
        <w:spacing w:line="640" w:lineRule="exact"/>
        <w:ind w:firstLine="640"/>
        <w:jc w:val="both"/>
        <w:outlineLvl w:val="3"/>
      </w:pPr>
      <w:r>
        <w:rPr>
          <w:rFonts w:ascii="楷体_GB2312" w:hAnsi="楷体_GB2312" w:eastAsia="楷体_GB2312"/>
          <w:b/>
          <w:sz w:val="32"/>
        </w:rPr>
        <w:t>（一）机关运行经费及公用经费支出情况</w:t>
      </w:r>
    </w:p>
    <w:p w14:paraId="3FB887A6">
      <w:pPr>
        <w:spacing w:line="580" w:lineRule="exact"/>
        <w:ind w:firstLine="640"/>
        <w:jc w:val="both"/>
      </w:pPr>
      <w:r>
        <w:rPr>
          <w:rFonts w:ascii="仿宋_GB2312" w:hAnsi="仿宋_GB2312" w:eastAsia="仿宋_GB2312"/>
          <w:b w:val="0"/>
          <w:sz w:val="32"/>
        </w:rPr>
        <w:t>2024年度疏勒县疾病预防控制中心（事业单位）公用经费支出12.70万元，</w:t>
      </w:r>
      <w:bookmarkStart w:id="0" w:name="_GoBack"/>
      <w:r>
        <w:rPr>
          <w:rFonts w:ascii="仿宋_GB2312" w:hAnsi="仿宋_GB2312" w:eastAsia="仿宋_GB2312"/>
          <w:b w:val="0"/>
          <w:sz w:val="32"/>
        </w:rPr>
        <w:t>比上年增加9.66万元，增长317.76%，主要原因是：本年机构改革，卫生健康服务站合并至本单位，在职人员增加，公用经费支出增加。</w:t>
      </w:r>
    </w:p>
    <w:bookmarkEnd w:id="0"/>
    <w:p w14:paraId="59963192">
      <w:pPr>
        <w:spacing w:line="640" w:lineRule="exact"/>
        <w:ind w:firstLine="640"/>
        <w:jc w:val="both"/>
        <w:outlineLvl w:val="3"/>
      </w:pPr>
      <w:r>
        <w:rPr>
          <w:rFonts w:ascii="楷体_GB2312" w:hAnsi="楷体_GB2312" w:eastAsia="楷体_GB2312"/>
          <w:b/>
          <w:sz w:val="32"/>
        </w:rPr>
        <w:t>（二）政府采购情况</w:t>
      </w:r>
    </w:p>
    <w:p w14:paraId="30E26D9A">
      <w:pPr>
        <w:spacing w:line="580" w:lineRule="exact"/>
        <w:ind w:firstLine="640"/>
        <w:jc w:val="both"/>
      </w:pPr>
      <w:r>
        <w:rPr>
          <w:rFonts w:ascii="仿宋_GB2312" w:hAnsi="仿宋_GB2312" w:eastAsia="仿宋_GB2312"/>
          <w:b w:val="0"/>
          <w:sz w:val="32"/>
        </w:rPr>
        <w:t>2024年度政府采购支出总额35.73万元，其中：政府采购货物支出32.13万元、政府采购工程支出0.00万元、政府采购服务支出3.60万元。</w:t>
      </w:r>
    </w:p>
    <w:p w14:paraId="1AE75378">
      <w:pPr>
        <w:spacing w:line="580" w:lineRule="exact"/>
        <w:ind w:firstLine="640"/>
        <w:jc w:val="both"/>
      </w:pPr>
      <w:r>
        <w:rPr>
          <w:rFonts w:ascii="仿宋_GB2312" w:hAnsi="仿宋_GB2312" w:eastAsia="仿宋_GB2312"/>
          <w:b w:val="0"/>
          <w:sz w:val="32"/>
        </w:rPr>
        <w:t>授予中小企业合同金额35.73万元，占政府采购支出总额的100.00%，其中：授予小微企业合同金额35.73万元，占政府采购支出总额的100.00%。</w:t>
      </w:r>
    </w:p>
    <w:p w14:paraId="1F152416">
      <w:pPr>
        <w:spacing w:line="640" w:lineRule="exact"/>
        <w:ind w:firstLine="640"/>
        <w:jc w:val="both"/>
        <w:outlineLvl w:val="3"/>
      </w:pPr>
      <w:r>
        <w:rPr>
          <w:rFonts w:ascii="楷体_GB2312" w:hAnsi="楷体_GB2312" w:eastAsia="楷体_GB2312"/>
          <w:b/>
          <w:sz w:val="32"/>
        </w:rPr>
        <w:t>（三）国有资产占用情况说明</w:t>
      </w:r>
    </w:p>
    <w:p w14:paraId="66C6FCF0">
      <w:pPr>
        <w:spacing w:line="580" w:lineRule="exact"/>
        <w:ind w:firstLine="640"/>
        <w:jc w:val="both"/>
      </w:pPr>
      <w:r>
        <w:rPr>
          <w:rFonts w:ascii="仿宋_GB2312" w:hAnsi="仿宋_GB2312" w:eastAsia="仿宋_GB2312"/>
          <w:b w:val="0"/>
          <w:sz w:val="32"/>
        </w:rPr>
        <w:t>截至2024年12月31日，房屋2,127.00平方米，价值146.12万元。车辆8辆，价值114.97万元，其中：副部（省）级及以上领导用车0辆、主要负责人用车0辆、机要通信用车0辆、应急保障用车0辆、执法执勤用车2辆、特种专业技术用车2辆、离退休干部服务用车0辆、其他用车4辆，其他用车主要是：本单位疫苗运输车。单价100万元（含）以上设备（不含车辆）1台（套）。</w:t>
      </w:r>
    </w:p>
    <w:p w14:paraId="45EB6839">
      <w:pPr>
        <w:spacing w:line="640" w:lineRule="exact"/>
        <w:ind w:firstLine="640"/>
        <w:jc w:val="both"/>
        <w:outlineLvl w:val="2"/>
      </w:pPr>
      <w:r>
        <w:rPr>
          <w:rFonts w:ascii="黑体" w:hAnsi="黑体" w:eastAsia="黑体"/>
          <w:sz w:val="32"/>
        </w:rPr>
        <w:t>十一、预算绩效的情况说明</w:t>
      </w:r>
    </w:p>
    <w:p w14:paraId="4290D0D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1,880.89万元，实际执行总额1,880.89万元；预算绩效评价项目2个，全年预算数960.58万元，全年执行数960.58万元。预算绩效管理取得的成效：一是较好</w:t>
      </w:r>
      <w:r>
        <w:rPr>
          <w:rFonts w:hint="eastAsia" w:ascii="仿宋_GB2312" w:hAnsi="仿宋_GB2312" w:eastAsia="仿宋_GB2312"/>
          <w:b w:val="0"/>
          <w:sz w:val="32"/>
          <w:lang w:eastAsia="zh-CN"/>
        </w:rPr>
        <w:t>地</w:t>
      </w:r>
      <w:r>
        <w:rPr>
          <w:rFonts w:ascii="仿宋_GB2312" w:hAnsi="仿宋_GB2312" w:eastAsia="仿宋_GB2312"/>
          <w:b w:val="0"/>
          <w:sz w:val="32"/>
        </w:rPr>
        <w:t>完成了2024年初设定的工作任务，各</w:t>
      </w:r>
      <w:r>
        <w:rPr>
          <w:rFonts w:hint="eastAsia" w:ascii="仿宋_GB2312" w:hAnsi="仿宋_GB2312" w:eastAsia="仿宋_GB2312"/>
          <w:b w:val="0"/>
          <w:sz w:val="32"/>
          <w:lang w:eastAsia="zh-CN"/>
        </w:rPr>
        <w:t>项</w:t>
      </w:r>
      <w:r>
        <w:rPr>
          <w:rFonts w:ascii="仿宋_GB2312" w:hAnsi="仿宋_GB2312" w:eastAsia="仿宋_GB2312"/>
          <w:b w:val="0"/>
          <w:sz w:val="32"/>
        </w:rPr>
        <w:t>目得到有序开展；二是制定了专项资金管理工作制度，明确了资金拨付流程，层层审核，各项支出合法合规。发现的问题及原因：一是人才缺乏，项目负责人不固定，导致负责人对自评填报不熟悉；二是各项目工作任务均已完成，但项目资金支付进度较慢。下一步改进措施：一是通过强化专业培训、学习考察、业务交流等措施，帮助和促进本单位现有人员提高绩效管理业务水平、实际工作能力。强化预算绩效执行工作，指定专人负责预算执行监督管理，进一步推动预算绩效管理工作。二是借助第三方专业机构力量，贯彻落实全面预算绩效管理工作，建立全过程预算绩效管理链条，将绩效各个环节紧密贯通。具体附整体支出绩效自评表，项目支出绩效自评表和评价报告。</w:t>
      </w:r>
    </w:p>
    <w:p w14:paraId="53BC5B1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9CD23E9">
        <w:tblPrEx>
          <w:tblCellMar>
            <w:top w:w="0" w:type="dxa"/>
            <w:left w:w="108" w:type="dxa"/>
            <w:bottom w:w="0" w:type="dxa"/>
            <w:right w:w="108" w:type="dxa"/>
          </w:tblCellMar>
        </w:tblPrEx>
        <w:tc>
          <w:tcPr>
            <w:tcW w:w="8847" w:type="dxa"/>
            <w:gridSpan w:val="9"/>
            <w:vAlign w:val="center"/>
          </w:tcPr>
          <w:p w14:paraId="6D154074">
            <w:pPr>
              <w:jc w:val="center"/>
            </w:pPr>
            <w:r>
              <w:rPr>
                <w:rFonts w:ascii="宋体" w:hAnsi="宋体" w:eastAsia="宋体"/>
                <w:sz w:val="24"/>
              </w:rPr>
              <w:t>单位整体支出绩效自评表</w:t>
            </w:r>
          </w:p>
        </w:tc>
      </w:tr>
      <w:tr w14:paraId="2FE5D899">
        <w:tblPrEx>
          <w:tblCellMar>
            <w:top w:w="0" w:type="dxa"/>
            <w:left w:w="108" w:type="dxa"/>
            <w:bottom w:w="0" w:type="dxa"/>
            <w:right w:w="108" w:type="dxa"/>
          </w:tblCellMar>
        </w:tblPrEx>
        <w:tc>
          <w:tcPr>
            <w:tcW w:w="8847" w:type="dxa"/>
            <w:gridSpan w:val="9"/>
            <w:vAlign w:val="center"/>
          </w:tcPr>
          <w:p w14:paraId="4806206A">
            <w:pPr>
              <w:jc w:val="center"/>
            </w:pPr>
            <w:r>
              <w:rPr>
                <w:rFonts w:ascii="宋体" w:hAnsi="宋体" w:eastAsia="宋体"/>
                <w:sz w:val="24"/>
              </w:rPr>
              <w:t>（2024年度）</w:t>
            </w:r>
          </w:p>
        </w:tc>
      </w:tr>
      <w:tr w14:paraId="5DB500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F0C8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62A749">
            <w:pPr>
              <w:jc w:val="center"/>
            </w:pPr>
            <w:r>
              <w:rPr>
                <w:rFonts w:ascii="宋体" w:hAnsi="宋体" w:eastAsia="宋体"/>
                <w:sz w:val="16"/>
              </w:rPr>
              <w:t>疏勒县疾病预防控制中心</w:t>
            </w:r>
          </w:p>
        </w:tc>
      </w:tr>
      <w:tr w14:paraId="1AF73B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93102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391E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1165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5BE8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A3E31">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C645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EA0B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5E5A2">
            <w:pPr>
              <w:jc w:val="center"/>
            </w:pPr>
            <w:r>
              <w:rPr>
                <w:rFonts w:ascii="宋体" w:hAnsi="宋体" w:eastAsia="宋体"/>
                <w:sz w:val="16"/>
              </w:rPr>
              <w:t>得分</w:t>
            </w:r>
          </w:p>
        </w:tc>
      </w:tr>
      <w:tr w14:paraId="1D71B7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853A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5FF1D">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E7D13">
            <w:pPr>
              <w:jc w:val="center"/>
            </w:pPr>
            <w:r>
              <w:rPr>
                <w:rFonts w:ascii="宋体" w:hAnsi="宋体" w:eastAsia="宋体"/>
                <w:sz w:val="16"/>
              </w:rPr>
              <w:t>665.06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93385">
            <w:pPr>
              <w:jc w:val="center"/>
            </w:pPr>
            <w:r>
              <w:rPr>
                <w:rFonts w:ascii="宋体" w:hAnsi="宋体" w:eastAsia="宋体"/>
                <w:sz w:val="16"/>
              </w:rPr>
              <w:t>1,880.89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FCE69">
            <w:pPr>
              <w:jc w:val="center"/>
            </w:pPr>
            <w:r>
              <w:rPr>
                <w:rFonts w:ascii="宋体" w:hAnsi="宋体" w:eastAsia="宋体"/>
                <w:sz w:val="16"/>
              </w:rPr>
              <w:t>1,880.89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B73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CD123">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1A449">
            <w:pPr>
              <w:jc w:val="center"/>
            </w:pPr>
            <w:r>
              <w:rPr>
                <w:rFonts w:ascii="宋体" w:hAnsi="宋体" w:eastAsia="宋体"/>
                <w:sz w:val="16"/>
              </w:rPr>
              <w:t>10</w:t>
            </w:r>
          </w:p>
        </w:tc>
      </w:tr>
      <w:tr w14:paraId="684192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7CD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A413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EFAF7">
            <w:pPr>
              <w:jc w:val="center"/>
            </w:pPr>
            <w:r>
              <w:rPr>
                <w:rFonts w:ascii="宋体" w:hAnsi="宋体" w:eastAsia="宋体"/>
                <w:sz w:val="16"/>
              </w:rPr>
              <w:t>143.78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86F32">
            <w:pPr>
              <w:jc w:val="center"/>
            </w:pPr>
            <w:r>
              <w:rPr>
                <w:rFonts w:ascii="宋体" w:hAnsi="宋体" w:eastAsia="宋体"/>
                <w:sz w:val="16"/>
              </w:rPr>
              <w:t>134.46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0245B">
            <w:pPr>
              <w:jc w:val="center"/>
            </w:pPr>
            <w:r>
              <w:rPr>
                <w:rFonts w:ascii="宋体" w:hAnsi="宋体" w:eastAsia="宋体"/>
                <w:sz w:val="16"/>
              </w:rPr>
              <w:t>134.46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05F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AEE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66947">
            <w:pPr>
              <w:jc w:val="center"/>
            </w:pPr>
            <w:r>
              <w:rPr>
                <w:rFonts w:ascii="宋体" w:hAnsi="宋体" w:eastAsia="宋体"/>
                <w:sz w:val="16"/>
              </w:rPr>
              <w:t>—</w:t>
            </w:r>
          </w:p>
        </w:tc>
      </w:tr>
      <w:tr w14:paraId="1A5ED3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4D0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68AF9">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712D3">
            <w:pPr>
              <w:jc w:val="center"/>
            </w:pPr>
            <w:r>
              <w:rPr>
                <w:rFonts w:ascii="宋体" w:hAnsi="宋体" w:eastAsia="宋体"/>
                <w:sz w:val="16"/>
              </w:rPr>
              <w:t>521.28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DF423">
            <w:pPr>
              <w:jc w:val="center"/>
            </w:pPr>
            <w:r>
              <w:rPr>
                <w:rFonts w:ascii="宋体" w:hAnsi="宋体" w:eastAsia="宋体"/>
                <w:sz w:val="16"/>
              </w:rPr>
              <w:t>1,707.02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3A2E4">
            <w:pPr>
              <w:jc w:val="center"/>
            </w:pPr>
            <w:r>
              <w:rPr>
                <w:rFonts w:ascii="宋体" w:hAnsi="宋体" w:eastAsia="宋体"/>
                <w:sz w:val="16"/>
              </w:rPr>
              <w:t>1,707.02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BB7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191A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C62F1">
            <w:pPr>
              <w:jc w:val="center"/>
            </w:pPr>
            <w:r>
              <w:rPr>
                <w:rFonts w:ascii="宋体" w:hAnsi="宋体" w:eastAsia="宋体"/>
                <w:sz w:val="16"/>
              </w:rPr>
              <w:t>—</w:t>
            </w:r>
          </w:p>
        </w:tc>
      </w:tr>
      <w:tr w14:paraId="56B67B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137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AEBFE">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3428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AB065">
            <w:pPr>
              <w:jc w:val="center"/>
            </w:pPr>
            <w:r>
              <w:rPr>
                <w:rFonts w:ascii="宋体" w:hAnsi="宋体" w:eastAsia="宋体"/>
                <w:sz w:val="16"/>
              </w:rPr>
              <w:t>39.41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45D5B">
            <w:pPr>
              <w:jc w:val="center"/>
            </w:pPr>
            <w:r>
              <w:rPr>
                <w:rFonts w:ascii="宋体" w:hAnsi="宋体" w:eastAsia="宋体"/>
                <w:sz w:val="16"/>
              </w:rPr>
              <w:t>39.41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849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FE0F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AE5F2">
            <w:pPr>
              <w:jc w:val="center"/>
            </w:pPr>
            <w:r>
              <w:rPr>
                <w:rFonts w:ascii="宋体" w:hAnsi="宋体" w:eastAsia="宋体"/>
                <w:sz w:val="16"/>
              </w:rPr>
              <w:t>—</w:t>
            </w:r>
          </w:p>
        </w:tc>
      </w:tr>
      <w:tr w14:paraId="75AC4A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25E8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50A6C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D5AB11">
            <w:pPr>
              <w:jc w:val="center"/>
            </w:pPr>
            <w:r>
              <w:rPr>
                <w:rFonts w:ascii="宋体" w:hAnsi="宋体" w:eastAsia="宋体"/>
                <w:sz w:val="16"/>
              </w:rPr>
              <w:t>实际完成情况</w:t>
            </w:r>
          </w:p>
        </w:tc>
      </w:tr>
      <w:tr w14:paraId="3FA6B0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D96E2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1D8CB9">
            <w:pPr>
              <w:jc w:val="both"/>
            </w:pPr>
            <w:r>
              <w:rPr>
                <w:rFonts w:ascii="宋体" w:hAnsi="宋体" w:eastAsia="宋体"/>
                <w:sz w:val="16"/>
              </w:rPr>
              <w:t>开展对重点疾病及危害因素监测、加大培训力度、涉及县乡村工作人员、开展接种证查验工作、脊髓灰质炎强化免疫工作、结核病监测管理工作、落实奖励机制，加大力度提升防治工作、为提高医务人员素质和防治工作， 做到全覆盖结核病防治医务人员以及镇、村、社区干部培训、加大宣传力度、职业病与职业卫生工作、健康教育和健康促进工作。积极贯彻落实《预防接种工作规范》做好冷链运转条件下的预防接种工作。按上级工作要求认真落实新冠病毒疫苗接种工作。进一步加强接种门诊管理工作。预防接种安全及异常反应监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DE57DD">
            <w:pPr>
              <w:jc w:val="both"/>
            </w:pPr>
            <w:r>
              <w:rPr>
                <w:rFonts w:ascii="宋体" w:hAnsi="宋体" w:eastAsia="宋体"/>
                <w:sz w:val="16"/>
              </w:rPr>
              <w:t>一是完成传染病及突发公共卫生事件报告和处理工作。二是推进结核病防治工作再上新台阶，本年度病毒抗体筛查489728人次，达到了全覆盖。三是免疫规划工作稳步实施，对适龄儿童进行疫苗接种，通过广泛接种，建立了群体免疫屏障，保护了无法接种疫苗或免疫功能低下等特殊人群。四是开展碘缺乏病监测工作，掌握全县碘缺乏病的流行情况、变化趋势以及人群对碘的需求量，制定科学合理的补碘策略和防治措施提供数据支持，为我们及时发现和控制碘缺乏病的发生和流行，保护了人民群众的身体健康。四是多措并举开展宣传、培训、演练。五是全面提升检验检测能力，新建面积2300</w:t>
            </w:r>
            <w:r>
              <w:rPr>
                <w:rFonts w:hint="eastAsia" w:ascii="宋体" w:hAnsi="宋体"/>
                <w:sz w:val="16"/>
                <w:lang w:eastAsia="zh-CN"/>
              </w:rPr>
              <w:t>平方米</w:t>
            </w:r>
            <w:r>
              <w:rPr>
                <w:rFonts w:ascii="宋体" w:hAnsi="宋体" w:eastAsia="宋体"/>
                <w:sz w:val="16"/>
              </w:rPr>
              <w:t>的实验楼，采购仪器设备59套，为提升检验检测能力，提升实验室能力建设。六是全面提升卫生监督执法能力，执行国家级“双随机、一公开”119家，监督完成119家，监督完成率100%；执行县级“双随机、一公开”13家，立案1起；对行政处罚案件18件；12345平台受理反馈投诉103件。七是通过人间布鲁氏菌病监测工作，系统掌握我县人间布病</w:t>
            </w:r>
            <w:r>
              <w:rPr>
                <w:rFonts w:hint="eastAsia" w:ascii="宋体" w:hAnsi="宋体"/>
                <w:sz w:val="16"/>
                <w:lang w:eastAsia="zh-CN"/>
              </w:rPr>
              <w:t>防疫</w:t>
            </w:r>
            <w:r>
              <w:rPr>
                <w:rFonts w:ascii="宋体" w:hAnsi="宋体" w:eastAsia="宋体"/>
                <w:sz w:val="16"/>
              </w:rPr>
              <w:t>流行现状，遏制布病</w:t>
            </w:r>
            <w:r>
              <w:rPr>
                <w:rFonts w:hint="eastAsia" w:ascii="宋体" w:hAnsi="宋体"/>
                <w:sz w:val="16"/>
                <w:lang w:eastAsia="zh-CN"/>
              </w:rPr>
              <w:t>防疫</w:t>
            </w:r>
            <w:r>
              <w:rPr>
                <w:rFonts w:ascii="宋体" w:hAnsi="宋体" w:eastAsia="宋体"/>
                <w:sz w:val="16"/>
              </w:rPr>
              <w:t>传播，降低发病率，及时掌握我县布病</w:t>
            </w:r>
            <w:r>
              <w:rPr>
                <w:rFonts w:hint="eastAsia" w:ascii="宋体" w:hAnsi="宋体"/>
                <w:sz w:val="16"/>
                <w:lang w:eastAsia="zh-CN"/>
              </w:rPr>
              <w:t>防疫</w:t>
            </w:r>
            <w:r>
              <w:rPr>
                <w:rFonts w:ascii="宋体" w:hAnsi="宋体" w:eastAsia="宋体"/>
                <w:sz w:val="16"/>
              </w:rPr>
              <w:t>流行态势和特征，提高了治愈率、减少慢性化率，有效保障人民群众身体健康，维护公共卫生安全。</w:t>
            </w:r>
          </w:p>
        </w:tc>
      </w:tr>
      <w:tr w14:paraId="5FB885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1BA4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3A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BD33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7A4B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158A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DEB9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9C6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1348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BB478">
            <w:pPr>
              <w:jc w:val="center"/>
            </w:pPr>
            <w:r>
              <w:rPr>
                <w:rFonts w:ascii="宋体" w:hAnsi="宋体" w:eastAsia="宋体"/>
                <w:sz w:val="16"/>
              </w:rPr>
              <w:t>得分</w:t>
            </w:r>
          </w:p>
        </w:tc>
      </w:tr>
      <w:tr w14:paraId="6F1FC4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5DF6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499F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9439D">
            <w:pPr>
              <w:jc w:val="center"/>
            </w:pPr>
            <w:r>
              <w:rPr>
                <w:rFonts w:ascii="宋体" w:hAnsi="宋体" w:eastAsia="宋体"/>
                <w:sz w:val="16"/>
              </w:rPr>
              <w:t>国家疾控监督领域随机抽查完成率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0CE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B23D0">
            <w:pPr>
              <w:jc w:val="center"/>
            </w:pPr>
            <w:r>
              <w:rPr>
                <w:rFonts w:ascii="宋体" w:hAnsi="宋体" w:eastAsia="宋体"/>
                <w:sz w:val="16"/>
              </w:rPr>
              <w:t>2023年疏勒县疾控中心工作总结及24年工作计划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352E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BF22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F66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4D6C6">
            <w:pPr>
              <w:jc w:val="center"/>
            </w:pPr>
            <w:r>
              <w:rPr>
                <w:rFonts w:ascii="宋体" w:hAnsi="宋体" w:eastAsia="宋体"/>
                <w:sz w:val="16"/>
              </w:rPr>
              <w:t>15</w:t>
            </w:r>
          </w:p>
        </w:tc>
      </w:tr>
      <w:tr w14:paraId="6E59F7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BF6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6F8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A28A4">
            <w:pPr>
              <w:jc w:val="center"/>
            </w:pPr>
            <w:r>
              <w:rPr>
                <w:rFonts w:ascii="宋体" w:hAnsi="宋体" w:eastAsia="宋体"/>
                <w:sz w:val="16"/>
              </w:rPr>
              <w:t>适龄儿童免疫规划接种率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425E6">
            <w:pPr>
              <w:jc w:val="center"/>
            </w:pPr>
            <w:r>
              <w:rPr>
                <w:rFonts w:ascii="宋体" w:hAnsi="宋体" w:eastAsia="宋体"/>
                <w:sz w:val="16"/>
              </w:rPr>
              <w:t>&gt;=99.54%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06FBF">
            <w:pPr>
              <w:jc w:val="center"/>
            </w:pPr>
            <w:r>
              <w:rPr>
                <w:rFonts w:ascii="宋体" w:hAnsi="宋体" w:eastAsia="宋体"/>
                <w:sz w:val="16"/>
              </w:rPr>
              <w:t>2023年疏勒县疾控中心工作总结及24年工作计划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150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FD9CA">
            <w:pPr>
              <w:jc w:val="center"/>
            </w:pPr>
            <w:r>
              <w:rPr>
                <w:rFonts w:ascii="宋体" w:hAnsi="宋体" w:eastAsia="宋体"/>
                <w:sz w:val="16"/>
              </w:rPr>
              <w:t>99.54%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51F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BE22C">
            <w:pPr>
              <w:jc w:val="center"/>
            </w:pPr>
            <w:r>
              <w:rPr>
                <w:rFonts w:ascii="宋体" w:hAnsi="宋体" w:eastAsia="宋体"/>
                <w:sz w:val="16"/>
              </w:rPr>
              <w:t>15</w:t>
            </w:r>
          </w:p>
        </w:tc>
      </w:tr>
      <w:tr w14:paraId="653E42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AD89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98D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FEF24">
            <w:pPr>
              <w:jc w:val="center"/>
            </w:pPr>
            <w:r>
              <w:rPr>
                <w:rFonts w:ascii="宋体" w:hAnsi="宋体" w:eastAsia="宋体"/>
                <w:sz w:val="16"/>
              </w:rPr>
              <w:t>重点地方病监测覆盖率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9F65C">
            <w:pPr>
              <w:jc w:val="center"/>
            </w:pPr>
            <w:r>
              <w:rPr>
                <w:rFonts w:ascii="宋体" w:hAnsi="宋体" w:eastAsia="宋体"/>
                <w:sz w:val="16"/>
              </w:rPr>
              <w:t>&gt;=99.72%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A8CFB">
            <w:pPr>
              <w:jc w:val="center"/>
            </w:pPr>
            <w:r>
              <w:rPr>
                <w:rFonts w:ascii="宋体" w:hAnsi="宋体" w:eastAsia="宋体"/>
                <w:sz w:val="16"/>
              </w:rPr>
              <w:t>2023年疏勒县疾控中心工作总结及24年工作计划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E248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7654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DB68E">
            <w:pPr>
              <w:jc w:val="center"/>
            </w:pPr>
            <w:r>
              <w:rPr>
                <w:rFonts w:ascii="宋体" w:hAnsi="宋体" w:eastAsia="宋体"/>
                <w:sz w:val="16"/>
              </w:rPr>
              <w:t>100.28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9E633">
            <w:pPr>
              <w:jc w:val="center"/>
            </w:pPr>
            <w:r>
              <w:rPr>
                <w:rFonts w:ascii="宋体" w:hAnsi="宋体" w:eastAsia="宋体"/>
                <w:sz w:val="16"/>
              </w:rPr>
              <w:t>15</w:t>
            </w:r>
          </w:p>
        </w:tc>
      </w:tr>
      <w:tr w14:paraId="69C693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E72B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108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FF22">
            <w:pPr>
              <w:jc w:val="center"/>
            </w:pPr>
            <w:r>
              <w:rPr>
                <w:rFonts w:hint="eastAsia" w:ascii="宋体" w:hAnsi="宋体"/>
                <w:sz w:val="16"/>
                <w:lang w:eastAsia="zh-CN"/>
              </w:rPr>
              <w:t>病原学</w:t>
            </w:r>
            <w:r>
              <w:rPr>
                <w:rFonts w:ascii="宋体" w:hAnsi="宋体" w:eastAsia="宋体"/>
                <w:sz w:val="16"/>
              </w:rPr>
              <w:t>阳性耐药可疑者筛查率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311C">
            <w:pPr>
              <w:jc w:val="center"/>
            </w:pPr>
            <w:r>
              <w:rPr>
                <w:rFonts w:ascii="宋体" w:hAnsi="宋体" w:eastAsia="宋体"/>
                <w:sz w:val="16"/>
              </w:rPr>
              <w:t>&gt;=99.99%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C6FC8">
            <w:pPr>
              <w:jc w:val="center"/>
            </w:pPr>
            <w:r>
              <w:rPr>
                <w:rFonts w:ascii="宋体" w:hAnsi="宋体" w:eastAsia="宋体"/>
                <w:sz w:val="16"/>
              </w:rPr>
              <w:t>2023年疏勒县疾控中心工作总结及24年工作计划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B081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3B7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4810F">
            <w:pPr>
              <w:jc w:val="center"/>
            </w:pPr>
            <w:r>
              <w:rPr>
                <w:rFonts w:ascii="宋体" w:hAnsi="宋体" w:eastAsia="宋体"/>
                <w:sz w:val="16"/>
              </w:rPr>
              <w:t>100.01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82DBD">
            <w:pPr>
              <w:jc w:val="center"/>
            </w:pPr>
            <w:r>
              <w:rPr>
                <w:rFonts w:ascii="宋体" w:hAnsi="宋体" w:eastAsia="宋体"/>
                <w:sz w:val="16"/>
              </w:rPr>
              <w:t>15</w:t>
            </w:r>
          </w:p>
        </w:tc>
      </w:tr>
      <w:tr w14:paraId="216991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63A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78B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2B131">
            <w:pPr>
              <w:jc w:val="center"/>
            </w:pPr>
            <w:r>
              <w:rPr>
                <w:rFonts w:ascii="宋体" w:hAnsi="宋体" w:eastAsia="宋体"/>
                <w:sz w:val="16"/>
              </w:rPr>
              <w:t>人畜共患病监测任务完成率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D4801">
            <w:pPr>
              <w:jc w:val="center"/>
            </w:pPr>
            <w:r>
              <w:rPr>
                <w:rFonts w:ascii="宋体" w:hAnsi="宋体" w:eastAsia="宋体"/>
                <w:sz w:val="16"/>
              </w:rPr>
              <w:t>&gt;=99.91%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05A8A">
            <w:pPr>
              <w:jc w:val="center"/>
            </w:pPr>
            <w:r>
              <w:rPr>
                <w:rFonts w:ascii="宋体" w:hAnsi="宋体" w:eastAsia="宋体"/>
                <w:sz w:val="16"/>
              </w:rPr>
              <w:t>2023年疏勒县疾控中心工作总结及24年工作计划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EEC3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630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5A949">
            <w:pPr>
              <w:jc w:val="center"/>
            </w:pPr>
            <w:r>
              <w:rPr>
                <w:rFonts w:ascii="宋体" w:hAnsi="宋体" w:eastAsia="宋体"/>
                <w:sz w:val="16"/>
              </w:rPr>
              <w:t>100.09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9B3D8">
            <w:pPr>
              <w:jc w:val="center"/>
            </w:pPr>
            <w:r>
              <w:rPr>
                <w:rFonts w:ascii="宋体" w:hAnsi="宋体" w:eastAsia="宋体"/>
                <w:sz w:val="16"/>
              </w:rPr>
              <w:t>15</w:t>
            </w:r>
          </w:p>
        </w:tc>
      </w:tr>
      <w:tr w14:paraId="7455F0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150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E357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1B338">
            <w:pPr>
              <w:jc w:val="center"/>
            </w:pPr>
            <w:r>
              <w:rPr>
                <w:rFonts w:ascii="宋体" w:hAnsi="宋体" w:eastAsia="宋体"/>
                <w:sz w:val="16"/>
              </w:rPr>
              <w:t>获得性免疫缺陷综合征病抗体筛查人数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CFC99">
            <w:pPr>
              <w:jc w:val="center"/>
            </w:pPr>
            <w:r>
              <w:rPr>
                <w:rFonts w:ascii="宋体" w:hAnsi="宋体" w:eastAsia="宋体"/>
                <w:sz w:val="16"/>
              </w:rPr>
              <w:t>&gt;=48.97万人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F74A9">
            <w:pPr>
              <w:jc w:val="center"/>
            </w:pPr>
            <w:r>
              <w:rPr>
                <w:rFonts w:ascii="宋体" w:hAnsi="宋体" w:eastAsia="宋体"/>
                <w:sz w:val="16"/>
              </w:rPr>
              <w:t>2023年疏勒县疾控中心工作总结及24年工作计划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B4A5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E63FE">
            <w:pPr>
              <w:jc w:val="center"/>
            </w:pPr>
            <w:r>
              <w:rPr>
                <w:rFonts w:ascii="宋体" w:hAnsi="宋体" w:eastAsia="宋体"/>
                <w:sz w:val="16"/>
              </w:rPr>
              <w:t>48.9728万人次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34F80">
            <w:pPr>
              <w:jc w:val="center"/>
            </w:pPr>
            <w:r>
              <w:rPr>
                <w:rFonts w:ascii="宋体" w:hAnsi="宋体" w:eastAsia="宋体"/>
                <w:sz w:val="16"/>
              </w:rPr>
              <w:t>100.01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7A1F6">
            <w:pPr>
              <w:jc w:val="center"/>
            </w:pPr>
            <w:r>
              <w:rPr>
                <w:rFonts w:ascii="宋体" w:hAnsi="宋体" w:eastAsia="宋体"/>
                <w:sz w:val="16"/>
              </w:rPr>
              <w:t>15</w:t>
            </w:r>
          </w:p>
        </w:tc>
      </w:tr>
    </w:tbl>
    <w:p w14:paraId="0EA9D6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5E1A4F2">
        <w:tblPrEx>
          <w:tblCellMar>
            <w:top w:w="0" w:type="dxa"/>
            <w:left w:w="108" w:type="dxa"/>
            <w:bottom w:w="0" w:type="dxa"/>
            <w:right w:w="108" w:type="dxa"/>
          </w:tblCellMar>
        </w:tblPrEx>
        <w:tc>
          <w:tcPr>
            <w:tcW w:w="8848" w:type="dxa"/>
            <w:gridSpan w:val="14"/>
            <w:vAlign w:val="center"/>
          </w:tcPr>
          <w:p w14:paraId="59E73884">
            <w:pPr>
              <w:jc w:val="center"/>
            </w:pPr>
            <w:r>
              <w:rPr>
                <w:rFonts w:ascii="宋体" w:hAnsi="宋体" w:eastAsia="宋体"/>
                <w:sz w:val="24"/>
              </w:rPr>
              <w:t>项目支出绩效自评表</w:t>
            </w:r>
          </w:p>
        </w:tc>
      </w:tr>
      <w:tr w14:paraId="11365C58">
        <w:tblPrEx>
          <w:tblCellMar>
            <w:top w:w="0" w:type="dxa"/>
            <w:left w:w="108" w:type="dxa"/>
            <w:bottom w:w="0" w:type="dxa"/>
            <w:right w:w="108" w:type="dxa"/>
          </w:tblCellMar>
        </w:tblPrEx>
        <w:tc>
          <w:tcPr>
            <w:tcW w:w="8848" w:type="dxa"/>
            <w:gridSpan w:val="14"/>
            <w:vAlign w:val="center"/>
          </w:tcPr>
          <w:p w14:paraId="5BCB7AB7">
            <w:pPr>
              <w:jc w:val="center"/>
            </w:pPr>
            <w:r>
              <w:rPr>
                <w:rFonts w:ascii="宋体" w:hAnsi="宋体" w:eastAsia="宋体"/>
                <w:sz w:val="24"/>
              </w:rPr>
              <w:t>(2024年度)</w:t>
            </w:r>
          </w:p>
        </w:tc>
      </w:tr>
      <w:tr w14:paraId="3245E0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532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2699E2">
            <w:pPr>
              <w:jc w:val="center"/>
            </w:pPr>
            <w:r>
              <w:rPr>
                <w:rFonts w:ascii="宋体" w:hAnsi="宋体" w:eastAsia="宋体"/>
                <w:sz w:val="16"/>
              </w:rPr>
              <w:t>2024年化债项目</w:t>
            </w:r>
          </w:p>
        </w:tc>
      </w:tr>
      <w:tr w14:paraId="3D4E9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34C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DBBB7">
            <w:pPr>
              <w:jc w:val="center"/>
            </w:pPr>
            <w:r>
              <w:rPr>
                <w:rFonts w:ascii="宋体" w:hAnsi="宋体" w:eastAsia="宋体"/>
                <w:sz w:val="16"/>
              </w:rPr>
              <w:t>疏勒县卫生健康委员会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BF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CF78B2">
            <w:pPr>
              <w:jc w:val="center"/>
            </w:pPr>
            <w:r>
              <w:rPr>
                <w:rFonts w:ascii="宋体" w:hAnsi="宋体" w:eastAsia="宋体"/>
                <w:sz w:val="16"/>
              </w:rPr>
              <w:t>疏勒县疾病预防控制中心</w:t>
            </w:r>
          </w:p>
        </w:tc>
      </w:tr>
      <w:tr w14:paraId="71085B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49A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253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02E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690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937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F94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B60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F886">
            <w:pPr>
              <w:jc w:val="center"/>
            </w:pPr>
            <w:r>
              <w:rPr>
                <w:rFonts w:ascii="宋体" w:hAnsi="宋体" w:eastAsia="宋体"/>
                <w:sz w:val="16"/>
              </w:rPr>
              <w:t>得分</w:t>
            </w:r>
          </w:p>
        </w:tc>
      </w:tr>
      <w:tr w14:paraId="23060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4B1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1C7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A9CA4">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BD126">
            <w:pPr>
              <w:jc w:val="center"/>
            </w:pPr>
            <w:r>
              <w:rPr>
                <w:rFonts w:ascii="宋体" w:hAnsi="宋体" w:eastAsia="宋体"/>
                <w:sz w:val="16"/>
              </w:rPr>
              <w:t>495.72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748F">
            <w:pPr>
              <w:jc w:val="center"/>
            </w:pPr>
            <w:r>
              <w:rPr>
                <w:rFonts w:ascii="宋体" w:hAnsi="宋体" w:eastAsia="宋体"/>
                <w:sz w:val="16"/>
              </w:rPr>
              <w:t>495.72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C5F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BB00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D957">
            <w:pPr>
              <w:jc w:val="center"/>
            </w:pPr>
            <w:r>
              <w:rPr>
                <w:rFonts w:ascii="宋体" w:hAnsi="宋体" w:eastAsia="宋体"/>
                <w:sz w:val="16"/>
              </w:rPr>
              <w:t>10.00分</w:t>
            </w:r>
          </w:p>
        </w:tc>
      </w:tr>
      <w:tr w14:paraId="4FEF0C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3E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EED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21698">
            <w:pPr>
              <w:jc w:val="center"/>
            </w:pPr>
            <w:r>
              <w:rPr>
                <w:rFonts w:ascii="宋体" w:hAnsi="宋体" w:eastAsia="宋体"/>
                <w:sz w:val="16"/>
              </w:rPr>
              <w:t>260.00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AB9CC">
            <w:pPr>
              <w:jc w:val="center"/>
            </w:pPr>
            <w:r>
              <w:rPr>
                <w:rFonts w:ascii="宋体" w:hAnsi="宋体" w:eastAsia="宋体"/>
                <w:sz w:val="16"/>
              </w:rPr>
              <w:t>495.72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52C57">
            <w:pPr>
              <w:jc w:val="center"/>
            </w:pPr>
            <w:r>
              <w:rPr>
                <w:rFonts w:ascii="宋体" w:hAnsi="宋体" w:eastAsia="宋体"/>
                <w:sz w:val="16"/>
              </w:rPr>
              <w:t>495.72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A96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BD0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67A2">
            <w:pPr>
              <w:jc w:val="center"/>
            </w:pPr>
            <w:r>
              <w:rPr>
                <w:rFonts w:ascii="宋体" w:hAnsi="宋体" w:eastAsia="宋体"/>
                <w:sz w:val="16"/>
              </w:rPr>
              <w:t>—</w:t>
            </w:r>
          </w:p>
        </w:tc>
      </w:tr>
      <w:tr w14:paraId="587312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51C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49C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372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5A4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8C3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C8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4D1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0A9A">
            <w:pPr>
              <w:jc w:val="center"/>
            </w:pPr>
            <w:r>
              <w:rPr>
                <w:rFonts w:ascii="宋体" w:hAnsi="宋体" w:eastAsia="宋体"/>
                <w:sz w:val="16"/>
              </w:rPr>
              <w:t>—</w:t>
            </w:r>
          </w:p>
        </w:tc>
      </w:tr>
      <w:tr w14:paraId="1D6525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236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83BE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2E8250">
            <w:pPr>
              <w:jc w:val="center"/>
            </w:pPr>
            <w:r>
              <w:rPr>
                <w:rFonts w:ascii="宋体" w:hAnsi="宋体" w:eastAsia="宋体"/>
                <w:sz w:val="16"/>
              </w:rPr>
              <w:t>实际完成情况</w:t>
            </w:r>
          </w:p>
        </w:tc>
      </w:tr>
      <w:tr w14:paraId="0CF33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D5A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D10D66">
            <w:pPr>
              <w:jc w:val="both"/>
            </w:pPr>
            <w:r>
              <w:rPr>
                <w:rFonts w:ascii="宋体" w:hAnsi="宋体" w:eastAsia="宋体"/>
                <w:sz w:val="16"/>
              </w:rPr>
              <w:t>该项目计划投资495.72万元，用于化解债务495.72万元，化债类项目2个，债务涉及企业数量4个，通过该项目的实施，贯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BCBA02">
            <w:pPr>
              <w:jc w:val="both"/>
            </w:pPr>
            <w:r>
              <w:rPr>
                <w:rFonts w:hint="eastAsia" w:ascii="宋体" w:hAnsi="宋体"/>
                <w:sz w:val="16"/>
                <w:lang w:eastAsia="zh-CN"/>
              </w:rPr>
              <w:t>截至2024</w:t>
            </w:r>
            <w:r>
              <w:rPr>
                <w:rFonts w:ascii="宋体" w:hAnsi="宋体" w:eastAsia="宋体"/>
                <w:sz w:val="16"/>
              </w:rPr>
              <w:t>年12月31日，该项目实际支出495.72万元，用于化解债务495.72万元，化债类项目2个，债务涉及企业数量4个，通过该项目的实施，贯彻落实国家债务管理政策，有效缓解政府资金不足的现状，有效规范政府债务管理，严格控制政府债务风险，不断提升政府公信力。</w:t>
            </w:r>
          </w:p>
        </w:tc>
      </w:tr>
      <w:tr w14:paraId="3C5A9D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C4E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6EF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0EFB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076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EB15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29C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C416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874A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9EF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15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93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EE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63C9">
            <w:pPr>
              <w:jc w:val="center"/>
            </w:pPr>
            <w:r>
              <w:rPr>
                <w:rFonts w:ascii="宋体" w:hAnsi="宋体" w:eastAsia="宋体"/>
                <w:sz w:val="16"/>
              </w:rPr>
              <w:t>偏差原因分析及改进措施</w:t>
            </w:r>
          </w:p>
        </w:tc>
      </w:tr>
      <w:tr w14:paraId="2EA408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922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E11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43A8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B3CF">
            <w:pPr>
              <w:jc w:val="center"/>
            </w:pPr>
            <w:r>
              <w:rPr>
                <w:rFonts w:ascii="宋体" w:hAnsi="宋体" w:eastAsia="宋体"/>
                <w:sz w:val="16"/>
              </w:rPr>
              <w:t>债务涉及企业数量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9D5E">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1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A7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C8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3F8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2C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AA429">
            <w:pPr>
              <w:jc w:val="center"/>
            </w:pPr>
            <w:r>
              <w:rPr>
                <w:rFonts w:ascii="宋体" w:hAnsi="宋体" w:eastAsia="宋体"/>
                <w:sz w:val="16"/>
              </w:rPr>
              <w:t>=4家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54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C44D6">
            <w:pPr>
              <w:jc w:val="center"/>
            </w:pPr>
          </w:p>
        </w:tc>
      </w:tr>
      <w:tr w14:paraId="575624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77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042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CD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B5C2">
            <w:pPr>
              <w:jc w:val="center"/>
            </w:pPr>
            <w:r>
              <w:rPr>
                <w:rFonts w:ascii="宋体" w:hAnsi="宋体" w:eastAsia="宋体"/>
                <w:sz w:val="16"/>
              </w:rPr>
              <w:t>化解平台外欠款项目数量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6D85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BD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F6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9A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C9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4B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14E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3D9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ACB21">
            <w:pPr>
              <w:jc w:val="center"/>
            </w:pPr>
          </w:p>
        </w:tc>
      </w:tr>
      <w:tr w14:paraId="7740F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465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3B9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58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440A">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16A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16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45C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74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7F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42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7C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72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36830">
            <w:pPr>
              <w:jc w:val="center"/>
            </w:pPr>
          </w:p>
        </w:tc>
      </w:tr>
      <w:tr w14:paraId="7D6225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A76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AC85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59A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A3BC">
            <w:pPr>
              <w:jc w:val="center"/>
            </w:pPr>
            <w:r>
              <w:rPr>
                <w:rFonts w:ascii="宋体" w:hAnsi="宋体" w:eastAsia="宋体"/>
                <w:sz w:val="16"/>
              </w:rPr>
              <w:t>债务偿还及时率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51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2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14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F8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B6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C9B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FC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8269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E88D8">
            <w:pPr>
              <w:jc w:val="center"/>
            </w:pPr>
          </w:p>
        </w:tc>
      </w:tr>
      <w:tr w14:paraId="79F59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2F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9C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1F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305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48AF">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D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8E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4F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25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C1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0159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F2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2EC9F">
            <w:pPr>
              <w:jc w:val="center"/>
            </w:pPr>
          </w:p>
        </w:tc>
      </w:tr>
      <w:tr w14:paraId="2A4E81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E31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3EA8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76E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369C">
            <w:pPr>
              <w:jc w:val="center"/>
            </w:pPr>
            <w:r>
              <w:rPr>
                <w:rFonts w:ascii="宋体" w:hAnsi="宋体" w:eastAsia="宋体"/>
                <w:sz w:val="16"/>
              </w:rPr>
              <w:t>疾控中心改建项目设备款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88B95">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888E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B8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EE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9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BB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96BD">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3D8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A5FE3">
            <w:pPr>
              <w:jc w:val="center"/>
            </w:pPr>
          </w:p>
        </w:tc>
      </w:tr>
      <w:tr w14:paraId="1C795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75D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978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63A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297F">
            <w:pPr>
              <w:jc w:val="center"/>
            </w:pPr>
            <w:r>
              <w:rPr>
                <w:rFonts w:ascii="宋体" w:hAnsi="宋体" w:eastAsia="宋体"/>
                <w:sz w:val="16"/>
              </w:rPr>
              <w:t>疾控中心改建项目工程款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9195">
            <w:pPr>
              <w:jc w:val="center"/>
            </w:pPr>
            <w:r>
              <w:rPr>
                <w:rFonts w:ascii="宋体" w:hAnsi="宋体" w:eastAsia="宋体"/>
                <w:sz w:val="16"/>
              </w:rPr>
              <w: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3D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06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166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EE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8A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2D77">
            <w:pPr>
              <w:jc w:val="center"/>
            </w:pPr>
            <w:r>
              <w:rPr>
                <w:rFonts w:ascii="宋体" w:hAnsi="宋体" w:eastAsia="宋体"/>
                <w:sz w:val="16"/>
              </w:rPr>
              <w:t>=210万元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36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4C2CF">
            <w:pPr>
              <w:jc w:val="center"/>
            </w:pPr>
          </w:p>
        </w:tc>
      </w:tr>
      <w:tr w14:paraId="34E52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47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9F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87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7017">
            <w:pPr>
              <w:jc w:val="center"/>
            </w:pPr>
            <w:r>
              <w:rPr>
                <w:rFonts w:ascii="宋体" w:hAnsi="宋体" w:eastAsia="宋体"/>
                <w:sz w:val="16"/>
              </w:rPr>
              <w:t>疾控中心改建项目勘察费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0C7B">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FB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02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6A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FB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E58E">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353A">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86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1A116">
            <w:pPr>
              <w:jc w:val="center"/>
            </w:pPr>
          </w:p>
        </w:tc>
      </w:tr>
      <w:tr w14:paraId="19F91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52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84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3A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3D9DB">
            <w:pPr>
              <w:jc w:val="center"/>
            </w:pPr>
            <w:r>
              <w:rPr>
                <w:rFonts w:hint="eastAsia" w:ascii="宋体" w:hAnsi="宋体"/>
                <w:sz w:val="16"/>
                <w:lang w:eastAsia="zh-CN"/>
              </w:rPr>
              <w:t>防疫</w:t>
            </w:r>
            <w:r>
              <w:rPr>
                <w:rFonts w:ascii="宋体" w:hAnsi="宋体" w:eastAsia="宋体"/>
                <w:sz w:val="16"/>
              </w:rPr>
              <w:t>防控医疗物资采购项目还款金额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89FE">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62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9F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27F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F05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F18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7E5E">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056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C932C">
            <w:pPr>
              <w:jc w:val="center"/>
            </w:pPr>
          </w:p>
        </w:tc>
      </w:tr>
      <w:tr w14:paraId="427FC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D58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F64D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329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8A8B">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7A3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29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3A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F4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55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C0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706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75B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25F2C">
            <w:pPr>
              <w:jc w:val="center"/>
            </w:pPr>
          </w:p>
        </w:tc>
      </w:tr>
      <w:tr w14:paraId="1E9A0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A8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2CA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2C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B72B">
            <w:pPr>
              <w:jc w:val="center"/>
            </w:pPr>
            <w:r>
              <w:rPr>
                <w:rFonts w:ascii="宋体" w:hAnsi="宋体" w:eastAsia="宋体"/>
                <w:sz w:val="16"/>
              </w:rPr>
              <w:t>提升保障企业权益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6FA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6D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C3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6FE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7A3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44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ED8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FE3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FEE42">
            <w:pPr>
              <w:jc w:val="center"/>
            </w:pPr>
          </w:p>
        </w:tc>
      </w:tr>
      <w:tr w14:paraId="3446D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F5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CC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BA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4A0E">
            <w:pPr>
              <w:jc w:val="center"/>
            </w:pPr>
            <w:r>
              <w:rPr>
                <w:rFonts w:ascii="宋体" w:hAnsi="宋体" w:eastAsia="宋体"/>
                <w:sz w:val="16"/>
              </w:rPr>
              <w:t>受益企业满意度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2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2B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3B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7E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7D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45B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84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9F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6E931">
            <w:pPr>
              <w:jc w:val="center"/>
            </w:pPr>
          </w:p>
        </w:tc>
      </w:tr>
      <w:tr w14:paraId="47CEA3C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830E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CD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7B24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A0F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4FF8C5"/>
        </w:tc>
      </w:tr>
    </w:tbl>
    <w:p w14:paraId="4F4685C5">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4"/>
        <w:gridCol w:w="627"/>
        <w:gridCol w:w="624"/>
        <w:gridCol w:w="627"/>
        <w:gridCol w:w="776"/>
        <w:gridCol w:w="632"/>
        <w:gridCol w:w="616"/>
        <w:gridCol w:w="633"/>
      </w:tblGrid>
      <w:tr w14:paraId="06A709EA">
        <w:tblPrEx>
          <w:tblCellMar>
            <w:top w:w="0" w:type="dxa"/>
            <w:left w:w="108" w:type="dxa"/>
            <w:bottom w:w="0" w:type="dxa"/>
            <w:right w:w="108" w:type="dxa"/>
          </w:tblCellMar>
        </w:tblPrEx>
        <w:tc>
          <w:tcPr>
            <w:tcW w:w="8848" w:type="dxa"/>
            <w:gridSpan w:val="14"/>
            <w:vAlign w:val="center"/>
          </w:tcPr>
          <w:p w14:paraId="3DBED70C">
            <w:pPr>
              <w:jc w:val="center"/>
            </w:pPr>
            <w:r>
              <w:rPr>
                <w:rFonts w:ascii="宋体" w:hAnsi="宋体" w:eastAsia="宋体"/>
                <w:sz w:val="24"/>
              </w:rPr>
              <w:t>项目支出绩效自评表</w:t>
            </w:r>
          </w:p>
        </w:tc>
      </w:tr>
      <w:tr w14:paraId="48590D1D">
        <w:tblPrEx>
          <w:tblCellMar>
            <w:top w:w="0" w:type="dxa"/>
            <w:left w:w="108" w:type="dxa"/>
            <w:bottom w:w="0" w:type="dxa"/>
            <w:right w:w="108" w:type="dxa"/>
          </w:tblCellMar>
        </w:tblPrEx>
        <w:tc>
          <w:tcPr>
            <w:tcW w:w="8848" w:type="dxa"/>
            <w:gridSpan w:val="14"/>
            <w:vAlign w:val="center"/>
          </w:tcPr>
          <w:p w14:paraId="0878D18B">
            <w:pPr>
              <w:jc w:val="center"/>
            </w:pPr>
            <w:r>
              <w:rPr>
                <w:rFonts w:ascii="宋体" w:hAnsi="宋体" w:eastAsia="宋体"/>
                <w:sz w:val="24"/>
              </w:rPr>
              <w:t>(2024年度)</w:t>
            </w:r>
          </w:p>
        </w:tc>
      </w:tr>
      <w:tr w14:paraId="0E2EA1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6FF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2919F8">
            <w:pPr>
              <w:jc w:val="center"/>
            </w:pPr>
            <w:r>
              <w:rPr>
                <w:rFonts w:ascii="宋体" w:hAnsi="宋体" w:eastAsia="宋体"/>
                <w:sz w:val="16"/>
              </w:rPr>
              <w:t>疏勒县麻疹</w:t>
            </w:r>
            <w:r>
              <w:rPr>
                <w:rFonts w:hint="eastAsia" w:ascii="宋体" w:hAnsi="宋体"/>
                <w:sz w:val="16"/>
                <w:lang w:eastAsia="zh-CN"/>
              </w:rPr>
              <w:t>防疫</w:t>
            </w:r>
            <w:r>
              <w:rPr>
                <w:rFonts w:ascii="宋体" w:hAnsi="宋体" w:eastAsia="宋体"/>
                <w:sz w:val="16"/>
              </w:rPr>
              <w:t>防控疫苗采购项目</w:t>
            </w:r>
          </w:p>
        </w:tc>
      </w:tr>
      <w:tr w14:paraId="1ED4CC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DAB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E56060">
            <w:pPr>
              <w:jc w:val="center"/>
            </w:pPr>
            <w:r>
              <w:rPr>
                <w:rFonts w:ascii="宋体" w:hAnsi="宋体" w:eastAsia="宋体"/>
                <w:sz w:val="16"/>
              </w:rPr>
              <w:t>疏勒县卫生健康委员会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D6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367CF5">
            <w:pPr>
              <w:jc w:val="center"/>
            </w:pPr>
            <w:r>
              <w:rPr>
                <w:rFonts w:ascii="宋体" w:hAnsi="宋体" w:eastAsia="宋体"/>
                <w:sz w:val="16"/>
              </w:rPr>
              <w:t>疏勒县疾病预防控制中心</w:t>
            </w:r>
          </w:p>
        </w:tc>
      </w:tr>
      <w:tr w14:paraId="41D098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B72A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BB0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34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3FE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75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E5A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433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8803">
            <w:pPr>
              <w:jc w:val="center"/>
            </w:pPr>
            <w:r>
              <w:rPr>
                <w:rFonts w:ascii="宋体" w:hAnsi="宋体" w:eastAsia="宋体"/>
                <w:sz w:val="16"/>
              </w:rPr>
              <w:t>得分</w:t>
            </w:r>
          </w:p>
        </w:tc>
      </w:tr>
      <w:tr w14:paraId="47338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253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523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5851A">
            <w:pPr>
              <w:jc w:val="center"/>
            </w:pPr>
            <w:r>
              <w:rPr>
                <w:rFonts w:ascii="宋体" w:hAnsi="宋体" w:eastAsia="宋体"/>
                <w:sz w:val="16"/>
              </w:rPr>
              <w:t>532.00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034DC">
            <w:pPr>
              <w:jc w:val="center"/>
            </w:pPr>
            <w:r>
              <w:rPr>
                <w:rFonts w:ascii="宋体" w:hAnsi="宋体" w:eastAsia="宋体"/>
                <w:sz w:val="16"/>
              </w:rPr>
              <w:t>464.86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67CF8">
            <w:pPr>
              <w:jc w:val="center"/>
            </w:pPr>
            <w:r>
              <w:rPr>
                <w:rFonts w:ascii="宋体" w:hAnsi="宋体" w:eastAsia="宋体"/>
                <w:sz w:val="16"/>
              </w:rPr>
              <w:t>464.86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019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6989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225D">
            <w:pPr>
              <w:jc w:val="center"/>
            </w:pPr>
            <w:r>
              <w:rPr>
                <w:rFonts w:ascii="宋体" w:hAnsi="宋体" w:eastAsia="宋体"/>
                <w:sz w:val="16"/>
              </w:rPr>
              <w:t>10.00分</w:t>
            </w:r>
          </w:p>
        </w:tc>
      </w:tr>
      <w:tr w14:paraId="51A7A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0EF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1A3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295D">
            <w:pPr>
              <w:jc w:val="center"/>
            </w:pPr>
            <w:r>
              <w:rPr>
                <w:rFonts w:ascii="宋体" w:hAnsi="宋体" w:eastAsia="宋体"/>
                <w:sz w:val="16"/>
              </w:rPr>
              <w:t>532.00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76C83">
            <w:pPr>
              <w:jc w:val="center"/>
            </w:pPr>
            <w:r>
              <w:rPr>
                <w:rFonts w:ascii="宋体" w:hAnsi="宋体" w:eastAsia="宋体"/>
                <w:sz w:val="16"/>
              </w:rPr>
              <w:t>464.86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B3760">
            <w:pPr>
              <w:jc w:val="center"/>
            </w:pPr>
            <w:r>
              <w:rPr>
                <w:rFonts w:ascii="宋体" w:hAnsi="宋体" w:eastAsia="宋体"/>
                <w:sz w:val="16"/>
              </w:rPr>
              <w:t>464.86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688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F19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81CA">
            <w:pPr>
              <w:jc w:val="center"/>
            </w:pPr>
            <w:r>
              <w:rPr>
                <w:rFonts w:ascii="宋体" w:hAnsi="宋体" w:eastAsia="宋体"/>
                <w:sz w:val="16"/>
              </w:rPr>
              <w:t>—</w:t>
            </w:r>
          </w:p>
        </w:tc>
      </w:tr>
      <w:tr w14:paraId="461315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9F2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D02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193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775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E70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ED1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D07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8912">
            <w:pPr>
              <w:jc w:val="center"/>
            </w:pPr>
            <w:r>
              <w:rPr>
                <w:rFonts w:ascii="宋体" w:hAnsi="宋体" w:eastAsia="宋体"/>
                <w:sz w:val="16"/>
              </w:rPr>
              <w:t>—</w:t>
            </w:r>
          </w:p>
        </w:tc>
      </w:tr>
      <w:tr w14:paraId="6CEE47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922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167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765844">
            <w:pPr>
              <w:jc w:val="center"/>
            </w:pPr>
            <w:r>
              <w:rPr>
                <w:rFonts w:ascii="宋体" w:hAnsi="宋体" w:eastAsia="宋体"/>
                <w:sz w:val="16"/>
              </w:rPr>
              <w:t>实际完成情况</w:t>
            </w:r>
          </w:p>
        </w:tc>
      </w:tr>
      <w:tr w14:paraId="3E98E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1F9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C1B2EA">
            <w:pPr>
              <w:jc w:val="both"/>
            </w:pPr>
            <w:r>
              <w:rPr>
                <w:rFonts w:ascii="宋体" w:hAnsi="宋体" w:eastAsia="宋体"/>
                <w:sz w:val="16"/>
              </w:rPr>
              <w:t>该项目预算金额为464.856万元，主要用于购买麻疹疫苗，用于70000人疫苗接种。通过本项目的实施，切实做好我县麻疹</w:t>
            </w:r>
            <w:r>
              <w:rPr>
                <w:rFonts w:hint="eastAsia" w:ascii="宋体" w:hAnsi="宋体"/>
                <w:sz w:val="16"/>
                <w:lang w:eastAsia="zh-CN"/>
              </w:rPr>
              <w:t>防疫</w:t>
            </w:r>
            <w:r>
              <w:rPr>
                <w:rFonts w:ascii="宋体" w:hAnsi="宋体" w:eastAsia="宋体"/>
                <w:sz w:val="16"/>
              </w:rPr>
              <w:t>防控工作，有序开展麻疹疫苗预防接种，降低人群感染和发病风险，全力维护人民群众生命安全和身体健康。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C8B61C">
            <w:pPr>
              <w:jc w:val="both"/>
            </w:pPr>
            <w:r>
              <w:rPr>
                <w:rFonts w:hint="eastAsia" w:ascii="宋体" w:hAnsi="宋体"/>
                <w:sz w:val="16"/>
                <w:lang w:eastAsia="zh-CN"/>
              </w:rPr>
              <w:t>截至2024</w:t>
            </w:r>
            <w:r>
              <w:rPr>
                <w:rFonts w:ascii="宋体" w:hAnsi="宋体" w:eastAsia="宋体"/>
                <w:sz w:val="16"/>
              </w:rPr>
              <w:t>年12月31日，该项目预算金额为464.856万元，已支出464.86万元，主要用于购买麻疹疫苗，用于71970人疫苗接种。通过本项目的实施，切实做好我县麻疹</w:t>
            </w:r>
            <w:r>
              <w:rPr>
                <w:rFonts w:hint="eastAsia" w:ascii="宋体" w:hAnsi="宋体"/>
                <w:sz w:val="16"/>
                <w:lang w:eastAsia="zh-CN"/>
              </w:rPr>
              <w:t>防疫</w:t>
            </w:r>
            <w:r>
              <w:rPr>
                <w:rFonts w:ascii="宋体" w:hAnsi="宋体" w:eastAsia="宋体"/>
                <w:sz w:val="16"/>
              </w:rPr>
              <w:t>防控工作，有序开展麻疹疫苗预防接种，降低人群感染和发病风险，全力维护人民群众生命安全和身体健康</w:t>
            </w:r>
          </w:p>
        </w:tc>
      </w:tr>
      <w:tr w14:paraId="396909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25C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524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BB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B6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EB2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142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02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B8C2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86A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3B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81D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FFC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B53DD">
            <w:pPr>
              <w:jc w:val="center"/>
            </w:pPr>
            <w:r>
              <w:rPr>
                <w:rFonts w:ascii="宋体" w:hAnsi="宋体" w:eastAsia="宋体"/>
                <w:sz w:val="16"/>
              </w:rPr>
              <w:t>偏差原因分析及改进措施</w:t>
            </w:r>
          </w:p>
        </w:tc>
      </w:tr>
      <w:tr w14:paraId="33860C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6B3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E0D5B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429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125F">
            <w:pPr>
              <w:jc w:val="center"/>
            </w:pPr>
            <w:r>
              <w:rPr>
                <w:rFonts w:ascii="宋体" w:hAnsi="宋体" w:eastAsia="宋体"/>
                <w:sz w:val="16"/>
              </w:rPr>
              <w:t>接种疫苗人数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A408">
            <w:pPr>
              <w:jc w:val="center"/>
            </w:pPr>
            <w:r>
              <w:rPr>
                <w:rFonts w:ascii="宋体" w:hAnsi="宋体" w:eastAsia="宋体"/>
                <w:sz w:val="16"/>
              </w:rPr>
              <w:t>=70000人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A2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3B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D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1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9B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9C66">
            <w:pPr>
              <w:jc w:val="center"/>
            </w:pPr>
            <w:r>
              <w:rPr>
                <w:rFonts w:ascii="宋体" w:hAnsi="宋体" w:eastAsia="宋体"/>
                <w:sz w:val="16"/>
              </w:rPr>
              <w:t>=71970人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AA22">
            <w:pPr>
              <w:jc w:val="center"/>
            </w:pPr>
            <w:r>
              <w:rPr>
                <w:rFonts w:ascii="宋体" w:hAnsi="宋体" w:eastAsia="宋体"/>
                <w:sz w:val="16"/>
              </w:rPr>
              <w:t>19.44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2D9CE">
            <w:pPr>
              <w:jc w:val="center"/>
            </w:pPr>
            <w:r>
              <w:rPr>
                <w:rFonts w:ascii="宋体" w:hAnsi="宋体" w:eastAsia="宋体"/>
                <w:sz w:val="16"/>
              </w:rPr>
              <w:t>实际接种疫苗人数超过预期指标，故存在2.8%偏差</w:t>
            </w:r>
          </w:p>
        </w:tc>
      </w:tr>
      <w:tr w14:paraId="261DE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9E9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C8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21F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959F">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84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8A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DD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BF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C4C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652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9C6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88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6D7E9">
            <w:pPr>
              <w:jc w:val="center"/>
            </w:pPr>
          </w:p>
        </w:tc>
      </w:tr>
      <w:tr w14:paraId="3E9E8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AA4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EFB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D5A4A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1ED70">
            <w:pPr>
              <w:jc w:val="center"/>
            </w:pPr>
            <w:r>
              <w:rPr>
                <w:rFonts w:ascii="宋体" w:hAnsi="宋体" w:eastAsia="宋体"/>
                <w:sz w:val="16"/>
              </w:rPr>
              <w:t>接种疫苗及时率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6A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69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69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DA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5A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8C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6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2F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C16B5">
            <w:pPr>
              <w:jc w:val="center"/>
            </w:pPr>
          </w:p>
        </w:tc>
      </w:tr>
      <w:tr w14:paraId="63E97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10F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044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845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D21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B6C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74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272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02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1A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44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E8D5">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D7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9A7F5">
            <w:pPr>
              <w:jc w:val="center"/>
            </w:pPr>
          </w:p>
        </w:tc>
      </w:tr>
      <w:tr w14:paraId="233F4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84B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04DB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3F8B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804F">
            <w:pPr>
              <w:jc w:val="center"/>
            </w:pPr>
            <w:r>
              <w:rPr>
                <w:rFonts w:ascii="宋体" w:hAnsi="宋体" w:eastAsia="宋体"/>
                <w:sz w:val="16"/>
              </w:rPr>
              <w:t>疫苗单价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3854">
            <w:pPr>
              <w:jc w:val="center"/>
            </w:pPr>
            <w:r>
              <w:rPr>
                <w:rFonts w:ascii="宋体" w:hAnsi="宋体" w:eastAsia="宋体"/>
                <w:sz w:val="16"/>
              </w:rPr>
              <w:t>=62.857元/支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0F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95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12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9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040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5D4C">
            <w:pPr>
              <w:jc w:val="center"/>
            </w:pPr>
            <w:r>
              <w:rPr>
                <w:rFonts w:ascii="宋体" w:hAnsi="宋体" w:eastAsia="宋体"/>
                <w:sz w:val="16"/>
              </w:rPr>
              <w:t>=62.857元/支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DA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FC20E">
            <w:pPr>
              <w:jc w:val="center"/>
            </w:pPr>
          </w:p>
        </w:tc>
      </w:tr>
      <w:tr w14:paraId="5C2D9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3EB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3CE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8A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5B6E">
            <w:pPr>
              <w:jc w:val="center"/>
            </w:pPr>
            <w:r>
              <w:rPr>
                <w:rFonts w:ascii="宋体" w:hAnsi="宋体" w:eastAsia="宋体"/>
                <w:sz w:val="16"/>
              </w:rPr>
              <w:t>采购试剂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7F30">
            <w:pPr>
              <w:jc w:val="center"/>
            </w:pPr>
            <w:r>
              <w:rPr>
                <w:rFonts w:ascii="宋体" w:hAnsi="宋体" w:eastAsia="宋体"/>
                <w:sz w:val="16"/>
              </w:rPr>
              <w:t>=24.86万元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1A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62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D3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4D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390E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5D5A">
            <w:pPr>
              <w:jc w:val="center"/>
            </w:pPr>
            <w:r>
              <w:rPr>
                <w:rFonts w:ascii="宋体" w:hAnsi="宋体" w:eastAsia="宋体"/>
                <w:sz w:val="16"/>
              </w:rPr>
              <w:t>=24.86万元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E9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CC6F9">
            <w:pPr>
              <w:jc w:val="center"/>
            </w:pPr>
          </w:p>
        </w:tc>
      </w:tr>
      <w:tr w14:paraId="20A060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FE6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0B85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6B6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7104">
            <w:pPr>
              <w:jc w:val="center"/>
            </w:pPr>
            <w:r>
              <w:rPr>
                <w:rFonts w:ascii="宋体" w:hAnsi="宋体" w:eastAsia="宋体"/>
                <w:sz w:val="16"/>
              </w:rPr>
              <w:t>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1B1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98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7B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6F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0EF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CB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9D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D1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091E">
            <w:pPr>
              <w:jc w:val="center"/>
            </w:pPr>
          </w:p>
        </w:tc>
      </w:tr>
      <w:tr w14:paraId="1CB4B0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A67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50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B2F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5AE0">
            <w:pPr>
              <w:jc w:val="center"/>
            </w:pPr>
            <w:r>
              <w:rPr>
                <w:rFonts w:ascii="宋体" w:hAnsi="宋体" w:eastAsia="宋体"/>
                <w:sz w:val="16"/>
              </w:rPr>
              <w:t>持续提高医疗服务能力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75E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D2F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D3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731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91B9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74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C2D6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16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E5E55">
            <w:pPr>
              <w:jc w:val="center"/>
            </w:pPr>
          </w:p>
        </w:tc>
      </w:tr>
      <w:tr w14:paraId="584788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B8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04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75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6263">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58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F5B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A0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51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2D7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DC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1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B5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BD5AD">
            <w:pPr>
              <w:jc w:val="center"/>
            </w:pPr>
            <w:r>
              <w:rPr>
                <w:rFonts w:ascii="宋体" w:hAnsi="宋体" w:eastAsia="宋体"/>
                <w:sz w:val="16"/>
              </w:rPr>
              <w:t>服务对象满意度指标100%，故存在5%偏差</w:t>
            </w:r>
          </w:p>
        </w:tc>
      </w:tr>
      <w:tr w14:paraId="5E11E1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DE6D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BC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C64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C36E">
            <w:pPr>
              <w:jc w:val="center"/>
            </w:pPr>
            <w:r>
              <w:rPr>
                <w:rFonts w:ascii="宋体" w:hAnsi="宋体" w:eastAsia="宋体"/>
                <w:sz w:val="16"/>
              </w:rPr>
              <w:t>99.44分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BB5B6F"/>
        </w:tc>
      </w:tr>
    </w:tbl>
    <w:p w14:paraId="16A15900">
      <w:r>
        <w:br w:type="page"/>
      </w:r>
    </w:p>
    <w:p w14:paraId="4FDAFD96">
      <w:pPr>
        <w:spacing w:line="640" w:lineRule="exact"/>
        <w:ind w:firstLine="640"/>
        <w:jc w:val="both"/>
        <w:outlineLvl w:val="2"/>
      </w:pPr>
      <w:r>
        <w:rPr>
          <w:rFonts w:ascii="黑体" w:hAnsi="黑体" w:eastAsia="黑体"/>
          <w:sz w:val="32"/>
        </w:rPr>
        <w:t>十二、其他需说明的事项</w:t>
      </w:r>
    </w:p>
    <w:p w14:paraId="0F72FD92">
      <w:pPr>
        <w:spacing w:line="580" w:lineRule="exact"/>
        <w:ind w:firstLine="640"/>
        <w:jc w:val="both"/>
      </w:pPr>
      <w:r>
        <w:rPr>
          <w:rFonts w:ascii="仿宋_GB2312" w:hAnsi="仿宋_GB2312" w:eastAsia="仿宋_GB2312"/>
          <w:b w:val="0"/>
          <w:sz w:val="32"/>
        </w:rPr>
        <w:t>本单位无其他需说明的事项。</w:t>
      </w:r>
    </w:p>
    <w:p w14:paraId="3D1F40CE">
      <w:r>
        <w:br w:type="page"/>
      </w:r>
    </w:p>
    <w:p w14:paraId="052ECF4D">
      <w:pPr>
        <w:spacing w:line="240" w:lineRule="auto"/>
        <w:jc w:val="center"/>
        <w:outlineLvl w:val="1"/>
      </w:pPr>
      <w:r>
        <w:rPr>
          <w:rFonts w:ascii="黑体" w:hAnsi="黑体" w:eastAsia="黑体"/>
          <w:sz w:val="32"/>
        </w:rPr>
        <w:t>第三部分 专业名词解释</w:t>
      </w:r>
    </w:p>
    <w:p w14:paraId="6DC90A8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B5509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CF27EC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34E10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79BD50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4742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FE2C21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121FFB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548D2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E7DA2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9988E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95DF4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F594AB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87AA13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1ABBD82">
      <w:r>
        <w:br w:type="page"/>
      </w:r>
    </w:p>
    <w:p w14:paraId="7D8F0B42">
      <w:pPr>
        <w:spacing w:line="240" w:lineRule="auto"/>
        <w:jc w:val="center"/>
        <w:outlineLvl w:val="1"/>
      </w:pPr>
      <w:r>
        <w:rPr>
          <w:rFonts w:ascii="黑体" w:hAnsi="黑体" w:eastAsia="黑体"/>
          <w:sz w:val="32"/>
        </w:rPr>
        <w:t>第四部分 部门决算报表（见附表）</w:t>
      </w:r>
    </w:p>
    <w:p w14:paraId="531F82A6">
      <w:pPr>
        <w:spacing w:line="240" w:lineRule="auto"/>
        <w:ind w:firstLine="640"/>
        <w:jc w:val="both"/>
      </w:pPr>
      <w:r>
        <w:rPr>
          <w:rFonts w:ascii="仿宋_GB2312" w:hAnsi="仿宋_GB2312" w:eastAsia="仿宋_GB2312"/>
          <w:b w:val="0"/>
          <w:sz w:val="32"/>
        </w:rPr>
        <w:t>一、《收入支出决算总表》</w:t>
      </w:r>
    </w:p>
    <w:p w14:paraId="4D7A044F">
      <w:pPr>
        <w:spacing w:line="240" w:lineRule="auto"/>
        <w:ind w:firstLine="640"/>
        <w:jc w:val="both"/>
      </w:pPr>
      <w:r>
        <w:rPr>
          <w:rFonts w:ascii="仿宋_GB2312" w:hAnsi="仿宋_GB2312" w:eastAsia="仿宋_GB2312"/>
          <w:b w:val="0"/>
          <w:sz w:val="32"/>
        </w:rPr>
        <w:t>二、《收入决算表》</w:t>
      </w:r>
    </w:p>
    <w:p w14:paraId="61DB148C">
      <w:pPr>
        <w:spacing w:line="240" w:lineRule="auto"/>
        <w:ind w:firstLine="640"/>
        <w:jc w:val="both"/>
      </w:pPr>
      <w:r>
        <w:rPr>
          <w:rFonts w:ascii="仿宋_GB2312" w:hAnsi="仿宋_GB2312" w:eastAsia="仿宋_GB2312"/>
          <w:b w:val="0"/>
          <w:sz w:val="32"/>
        </w:rPr>
        <w:t>三、《支出决算表》</w:t>
      </w:r>
    </w:p>
    <w:p w14:paraId="32C10669">
      <w:pPr>
        <w:spacing w:line="240" w:lineRule="auto"/>
        <w:ind w:firstLine="640"/>
        <w:jc w:val="both"/>
      </w:pPr>
      <w:r>
        <w:rPr>
          <w:rFonts w:ascii="仿宋_GB2312" w:hAnsi="仿宋_GB2312" w:eastAsia="仿宋_GB2312"/>
          <w:b w:val="0"/>
          <w:sz w:val="32"/>
        </w:rPr>
        <w:t>四、《财政拨款收入支出决算总表》</w:t>
      </w:r>
    </w:p>
    <w:p w14:paraId="6A14741B">
      <w:pPr>
        <w:spacing w:line="240" w:lineRule="auto"/>
        <w:ind w:firstLine="640"/>
        <w:jc w:val="both"/>
      </w:pPr>
      <w:r>
        <w:rPr>
          <w:rFonts w:ascii="仿宋_GB2312" w:hAnsi="仿宋_GB2312" w:eastAsia="仿宋_GB2312"/>
          <w:b w:val="0"/>
          <w:sz w:val="32"/>
        </w:rPr>
        <w:t>五、《一般公共预算财政拨款支出决算表》</w:t>
      </w:r>
    </w:p>
    <w:p w14:paraId="739E137F">
      <w:pPr>
        <w:spacing w:line="240" w:lineRule="auto"/>
        <w:ind w:firstLine="640"/>
        <w:jc w:val="both"/>
      </w:pPr>
      <w:r>
        <w:rPr>
          <w:rFonts w:ascii="仿宋_GB2312" w:hAnsi="仿宋_GB2312" w:eastAsia="仿宋_GB2312"/>
          <w:b w:val="0"/>
          <w:sz w:val="32"/>
        </w:rPr>
        <w:t>六、《一般公共预算财政拨款基本支出决算表》</w:t>
      </w:r>
    </w:p>
    <w:p w14:paraId="425918E0">
      <w:pPr>
        <w:spacing w:line="240" w:lineRule="auto"/>
        <w:ind w:firstLine="640"/>
        <w:jc w:val="both"/>
      </w:pPr>
      <w:r>
        <w:rPr>
          <w:rFonts w:ascii="仿宋_GB2312" w:hAnsi="仿宋_GB2312" w:eastAsia="仿宋_GB2312"/>
          <w:b w:val="0"/>
          <w:sz w:val="32"/>
        </w:rPr>
        <w:t>七、《政府性基金预算财政拨款收入支出决算表》</w:t>
      </w:r>
    </w:p>
    <w:p w14:paraId="293F66FB">
      <w:pPr>
        <w:spacing w:line="240" w:lineRule="auto"/>
        <w:ind w:firstLine="640"/>
        <w:jc w:val="both"/>
      </w:pPr>
      <w:r>
        <w:rPr>
          <w:rFonts w:ascii="仿宋_GB2312" w:hAnsi="仿宋_GB2312" w:eastAsia="仿宋_GB2312"/>
          <w:b w:val="0"/>
          <w:sz w:val="32"/>
        </w:rPr>
        <w:t>八、《国有资本经营预算财政拨款收入支出决算表》</w:t>
      </w:r>
    </w:p>
    <w:p w14:paraId="1FE722E7">
      <w:pPr>
        <w:spacing w:line="240" w:lineRule="auto"/>
        <w:ind w:firstLine="640"/>
        <w:jc w:val="both"/>
      </w:pPr>
      <w:r>
        <w:rPr>
          <w:rFonts w:ascii="仿宋_GB2312" w:hAnsi="仿宋_GB2312" w:eastAsia="仿宋_GB2312"/>
          <w:b w:val="0"/>
          <w:sz w:val="32"/>
        </w:rPr>
        <w:t>九、《财政拨款“三公”经费支出决算表》</w:t>
      </w:r>
    </w:p>
    <w:p w14:paraId="2611C1CC">
      <w:pPr>
        <w:spacing w:line="240" w:lineRule="auto"/>
        <w:ind w:firstLine="640"/>
        <w:jc w:val="both"/>
      </w:pPr>
    </w:p>
    <w:p w14:paraId="3A0E848A">
      <w:pPr>
        <w:spacing w:line="240" w:lineRule="auto"/>
        <w:ind w:firstLine="640"/>
        <w:jc w:val="both"/>
      </w:pPr>
    </w:p>
    <w:p w14:paraId="2A09F805">
      <w:pPr>
        <w:spacing w:line="240" w:lineRule="auto"/>
        <w:ind w:firstLine="640"/>
        <w:jc w:val="both"/>
      </w:pPr>
    </w:p>
    <w:p w14:paraId="2BEB77B0">
      <w:pPr>
        <w:spacing w:line="240" w:lineRule="auto"/>
        <w:ind w:firstLine="640"/>
        <w:jc w:val="both"/>
      </w:pPr>
    </w:p>
    <w:p w14:paraId="707FA52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341E95"/>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3F74D6C"/>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5288</Words>
  <Characters>6118</Characters>
  <Lines>0</Lines>
  <Paragraphs>0</Paragraphs>
  <TotalTime>5</TotalTime>
  <ScaleCrop>false</ScaleCrop>
  <LinksUpToDate>false</LinksUpToDate>
  <CharactersWithSpaces>6126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2025-09-26T07:43:55Z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