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疏勒县退役军人事务局2024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E297E1C">
      <w:r>
        <w:br w:type="page"/>
      </w:r>
    </w:p>
    <w:p w14:paraId="18CEDB7F">
      <w:pPr>
        <w:spacing w:line="640" w:lineRule="exact"/>
        <w:jc w:val="center"/>
        <w:outlineLvl w:val="1"/>
      </w:pPr>
      <w:r>
        <w:rPr>
          <w:rFonts w:ascii="黑体" w:hAnsi="黑体" w:eastAsia="黑体"/>
          <w:sz w:val="32"/>
        </w:rPr>
        <w:t>第一部分 单位概况</w:t>
      </w:r>
    </w:p>
    <w:p w14:paraId="681D008B">
      <w:pPr>
        <w:spacing w:line="640" w:lineRule="exact"/>
        <w:ind w:firstLine="640"/>
        <w:jc w:val="both"/>
        <w:outlineLvl w:val="2"/>
      </w:pPr>
      <w:r>
        <w:rPr>
          <w:rFonts w:ascii="黑体" w:hAnsi="黑体" w:eastAsia="黑体"/>
          <w:sz w:val="32"/>
        </w:rPr>
        <w:t>一、主要职能</w:t>
      </w:r>
    </w:p>
    <w:p w14:paraId="624873AB">
      <w:pPr>
        <w:spacing w:line="580" w:lineRule="exact"/>
        <w:ind w:firstLine="640"/>
        <w:jc w:val="both"/>
      </w:pPr>
      <w:r>
        <w:rPr>
          <w:rFonts w:ascii="仿宋_GB2312" w:hAnsi="仿宋_GB2312" w:eastAsia="仿宋_GB2312"/>
          <w:sz w:val="32"/>
        </w:rPr>
        <w:t>贯彻落实党中央、自治区党委、地委关于退役军人事务工作的方针政策和决策部署以及县委工作要求，在履行职责过程中坚持和加强党对退役军人事务工作的集中统一领导。拟定县关于退役军人思想政治、管理保障等规范性文件并组织实施，褒扬彰显退役军人为党、国家和人民牺牲奉献的精神风范和价值导向，充分发挥退役军人在社会稳定和长治久安总目标中的作用。负责军队转业干部、</w:t>
      </w:r>
      <w:r>
        <w:rPr>
          <w:rFonts w:hint="eastAsia" w:ascii="仿宋_GB2312" w:hAnsi="仿宋_GB2312" w:eastAsia="仿宋_GB2312"/>
          <w:sz w:val="32"/>
          <w:lang w:eastAsia="zh-CN"/>
        </w:rPr>
        <w:t>复员</w:t>
      </w:r>
      <w:r>
        <w:rPr>
          <w:rFonts w:ascii="仿宋_GB2312" w:hAnsi="仿宋_GB2312" w:eastAsia="仿宋_GB2312"/>
          <w:sz w:val="32"/>
        </w:rPr>
        <w:t>干部、离休退休干部（士官）、退役士兵、无军籍退休退职职工的审核接受安置工作；军队自主择业、就业退役军人服务管理工作，参与配合做好招录退役士兵充实乡镇奉献基层工作。组织指导退役军人教育培训工作；协调扶持退役军人和随军随调家属就业创业。组织指导伤病残退役军人服务管理和抚恤工作，拟定有关退役军人地方性医疗、养老等细则并组织实施；承担不适宜继续服役的</w:t>
      </w:r>
      <w:r>
        <w:rPr>
          <w:rFonts w:hint="eastAsia" w:ascii="仿宋_GB2312" w:hAnsi="仿宋_GB2312" w:eastAsia="仿宋_GB2312"/>
          <w:sz w:val="32"/>
          <w:lang w:eastAsia="zh-CN"/>
        </w:rPr>
        <w:t>伤残</w:t>
      </w:r>
      <w:r>
        <w:rPr>
          <w:rFonts w:ascii="仿宋_GB2312" w:hAnsi="仿宋_GB2312" w:eastAsia="仿宋_GB2312"/>
          <w:sz w:val="32"/>
        </w:rPr>
        <w:t>军人相关工作；指导军供服务保障工作、军休服务管理工作等。组织指导开展全县拥军优属工作；负责现役军人、退役军人和优属优待、抚恤等工作。负责全县范围内烈士及退役军人荣誉奖励、烈士陵园管理维护、纪念活动等工作；承办县内烈士评定的审核工作；依法承担英雄烈士保护相关工作，总结表彰和宣扬退役军人、退役军人工作单位和个人先进典型事迹。指导并监督检查退役军人相关法律、法规和政策措施的落实；组织指导军人权益维护和有关人员的帮扶援助工作。承担县退役军人工作领导小组办公室日常工作；承担县双拥领导小组办公室日常工作。完成县委、县人民政府交办的其他任务。</w:t>
      </w:r>
    </w:p>
    <w:p w14:paraId="39418C9E">
      <w:pPr>
        <w:spacing w:line="640" w:lineRule="exact"/>
        <w:ind w:firstLine="640"/>
        <w:jc w:val="both"/>
        <w:outlineLvl w:val="2"/>
      </w:pPr>
      <w:r>
        <w:rPr>
          <w:rFonts w:ascii="黑体" w:hAnsi="黑体" w:eastAsia="黑体"/>
          <w:sz w:val="32"/>
        </w:rPr>
        <w:t>二、机构设置及人员情况</w:t>
      </w:r>
    </w:p>
    <w:p w14:paraId="415FF996">
      <w:pPr>
        <w:spacing w:line="580" w:lineRule="exact"/>
        <w:ind w:firstLine="640"/>
        <w:jc w:val="both"/>
      </w:pPr>
      <w:r>
        <w:rPr>
          <w:rFonts w:ascii="仿宋_GB2312" w:hAnsi="仿宋_GB2312" w:eastAsia="仿宋_GB2312"/>
          <w:sz w:val="32"/>
        </w:rPr>
        <w:t>疏勒县退役军人事务局2024年度，实有人数16人，其中：在职人员14人，增加2人；离休人员0人，增加0人；退休人员2人,增加0人。</w:t>
      </w:r>
    </w:p>
    <w:p w14:paraId="3BDE387B">
      <w:pPr>
        <w:spacing w:line="580" w:lineRule="exact"/>
        <w:ind w:firstLine="640"/>
        <w:jc w:val="both"/>
      </w:pPr>
      <w:r>
        <w:rPr>
          <w:rFonts w:ascii="仿宋_GB2312" w:hAnsi="仿宋_GB2312" w:eastAsia="仿宋_GB2312"/>
          <w:sz w:val="32"/>
        </w:rPr>
        <w:t>疏勒县退役军人事务局无下属预算单位，下设3个科室，分别是：综合办公室、财务室、服务中心。</w:t>
      </w:r>
    </w:p>
    <w:p w14:paraId="2401358B">
      <w:r>
        <w:br w:type="page"/>
      </w:r>
    </w:p>
    <w:p w14:paraId="0FDB83C7">
      <w:pPr>
        <w:spacing w:line="240" w:lineRule="auto"/>
        <w:jc w:val="center"/>
        <w:outlineLvl w:val="1"/>
      </w:pPr>
      <w:r>
        <w:rPr>
          <w:rFonts w:ascii="黑体" w:hAnsi="黑体" w:eastAsia="黑体"/>
          <w:sz w:val="32"/>
        </w:rPr>
        <w:t>第二部分 部门决算情况说明</w:t>
      </w:r>
    </w:p>
    <w:p w14:paraId="0E902865">
      <w:pPr>
        <w:spacing w:line="640" w:lineRule="exact"/>
        <w:ind w:firstLine="640"/>
        <w:jc w:val="both"/>
        <w:outlineLvl w:val="2"/>
      </w:pPr>
      <w:r>
        <w:rPr>
          <w:rFonts w:ascii="黑体" w:hAnsi="黑体" w:eastAsia="黑体"/>
          <w:sz w:val="32"/>
        </w:rPr>
        <w:t>一、收入支出决算总体情况说明</w:t>
      </w:r>
    </w:p>
    <w:p w14:paraId="3FE04836">
      <w:pPr>
        <w:spacing w:line="580" w:lineRule="exact"/>
        <w:ind w:firstLine="640"/>
        <w:jc w:val="both"/>
      </w:pPr>
      <w:r>
        <w:rPr>
          <w:rFonts w:ascii="仿宋_GB2312" w:hAnsi="仿宋_GB2312" w:eastAsia="仿宋_GB2312"/>
          <w:b/>
          <w:sz w:val="32"/>
        </w:rPr>
        <w:t>2024年度收入总计2,466.08万元，</w:t>
      </w:r>
      <w:r>
        <w:rPr>
          <w:rFonts w:ascii="仿宋_GB2312" w:hAnsi="仿宋_GB2312" w:eastAsia="仿宋_GB2312"/>
          <w:b w:val="0"/>
          <w:sz w:val="32"/>
        </w:rPr>
        <w:t>其中：本年收入合计2,466.08万元，使用非财政拨款结余（含专用结余）0.00万元，年初结转和结余0.00万元。</w:t>
      </w:r>
    </w:p>
    <w:p w14:paraId="61702603">
      <w:pPr>
        <w:spacing w:line="580" w:lineRule="exact"/>
        <w:ind w:firstLine="640"/>
        <w:jc w:val="both"/>
      </w:pPr>
      <w:r>
        <w:rPr>
          <w:rFonts w:ascii="仿宋_GB2312" w:hAnsi="仿宋_GB2312" w:eastAsia="仿宋_GB2312"/>
          <w:b/>
          <w:sz w:val="32"/>
        </w:rPr>
        <w:t>2024年度支出总计2,466.08万元，</w:t>
      </w:r>
      <w:r>
        <w:rPr>
          <w:rFonts w:ascii="仿宋_GB2312" w:hAnsi="仿宋_GB2312" w:eastAsia="仿宋_GB2312"/>
          <w:b w:val="0"/>
          <w:sz w:val="32"/>
        </w:rPr>
        <w:t>其中：本年支出合计2,466.08万元，结余分配0.00万元，年末结转和结余0.00万元。</w:t>
      </w:r>
    </w:p>
    <w:p w14:paraId="4AF54793">
      <w:pPr>
        <w:spacing w:line="580" w:lineRule="exact"/>
        <w:ind w:firstLine="640"/>
        <w:jc w:val="both"/>
      </w:pPr>
      <w:r>
        <w:rPr>
          <w:rFonts w:ascii="仿宋_GB2312" w:hAnsi="仿宋_GB2312" w:eastAsia="仿宋_GB2312"/>
          <w:b w:val="0"/>
          <w:sz w:val="32"/>
        </w:rPr>
        <w:t>收入支出总体与上年相比，减少676.11万元，下降21.52%，主要原因是：本年双拥经费、烈士陵园维护项目、驻勒部队慰问经费项目、退役安置补助项目经费较上年减少，导致经费较上年减少。</w:t>
      </w:r>
    </w:p>
    <w:p w14:paraId="70B45FE4">
      <w:pPr>
        <w:spacing w:line="640" w:lineRule="exact"/>
        <w:ind w:firstLine="640"/>
        <w:jc w:val="both"/>
        <w:outlineLvl w:val="2"/>
      </w:pPr>
      <w:r>
        <w:rPr>
          <w:rFonts w:ascii="黑体" w:hAnsi="黑体" w:eastAsia="黑体"/>
          <w:sz w:val="32"/>
        </w:rPr>
        <w:t>二、收入决算情况说明</w:t>
      </w:r>
    </w:p>
    <w:p w14:paraId="18CBFB36">
      <w:pPr>
        <w:spacing w:line="580" w:lineRule="exact"/>
        <w:ind w:firstLine="640"/>
        <w:jc w:val="both"/>
      </w:pPr>
      <w:r>
        <w:rPr>
          <w:rFonts w:ascii="仿宋_GB2312" w:hAnsi="仿宋_GB2312" w:eastAsia="仿宋_GB2312"/>
          <w:b/>
          <w:sz w:val="32"/>
        </w:rPr>
        <w:t>本年收入2,466.08万元，</w:t>
      </w:r>
      <w:r>
        <w:rPr>
          <w:rFonts w:ascii="仿宋_GB2312" w:hAnsi="仿宋_GB2312" w:eastAsia="仿宋_GB2312"/>
          <w:b w:val="0"/>
          <w:sz w:val="32"/>
        </w:rPr>
        <w:t>其中：财政拨款收入2,466.08万元，占100.00%；上级补助收入0.00万元，占0.00%；事业收入0.00万元，占0.00%；经营收入0.00万元，占0.00%；附属单位上缴收入0.00万元，占0.00%；其他收入0.00万元，占0.00%。</w:t>
      </w:r>
    </w:p>
    <w:p w14:paraId="74B25E65">
      <w:pPr>
        <w:spacing w:line="640" w:lineRule="exact"/>
        <w:ind w:firstLine="640"/>
        <w:jc w:val="both"/>
        <w:outlineLvl w:val="2"/>
      </w:pPr>
      <w:r>
        <w:rPr>
          <w:rFonts w:ascii="黑体" w:hAnsi="黑体" w:eastAsia="黑体"/>
          <w:sz w:val="32"/>
        </w:rPr>
        <w:t>三、支出决算情况说明</w:t>
      </w:r>
    </w:p>
    <w:p w14:paraId="11C2226B">
      <w:pPr>
        <w:spacing w:line="580" w:lineRule="exact"/>
        <w:ind w:firstLine="640"/>
        <w:jc w:val="both"/>
      </w:pPr>
      <w:r>
        <w:rPr>
          <w:rFonts w:ascii="仿宋_GB2312" w:hAnsi="仿宋_GB2312" w:eastAsia="仿宋_GB2312"/>
          <w:b/>
          <w:sz w:val="32"/>
        </w:rPr>
        <w:t>本年支出2,466.08万元，</w:t>
      </w:r>
      <w:r>
        <w:rPr>
          <w:rFonts w:ascii="仿宋_GB2312" w:hAnsi="仿宋_GB2312" w:eastAsia="仿宋_GB2312"/>
          <w:b w:val="0"/>
          <w:sz w:val="32"/>
        </w:rPr>
        <w:t>其中：基本支出238.11万元，占9.66%；项目支出2,227.97万元，占90.34%；上缴上级支出0.00万元，占0.00%；经营支出0.00万元，占0.00%；对附属单位补助支出0.00万元，占0.00%。</w:t>
      </w:r>
    </w:p>
    <w:p w14:paraId="0D0183A9">
      <w:pPr>
        <w:spacing w:line="640" w:lineRule="exact"/>
        <w:ind w:firstLine="640"/>
        <w:jc w:val="both"/>
        <w:outlineLvl w:val="2"/>
      </w:pPr>
      <w:r>
        <w:rPr>
          <w:rFonts w:ascii="黑体" w:hAnsi="黑体" w:eastAsia="黑体"/>
          <w:sz w:val="32"/>
        </w:rPr>
        <w:t>四、财政拨款收入支出决算总体情况说明</w:t>
      </w:r>
    </w:p>
    <w:p w14:paraId="6FDEFBA7">
      <w:pPr>
        <w:spacing w:line="580" w:lineRule="exact"/>
        <w:ind w:firstLine="640"/>
        <w:jc w:val="both"/>
      </w:pPr>
      <w:r>
        <w:rPr>
          <w:rFonts w:ascii="仿宋_GB2312" w:hAnsi="仿宋_GB2312" w:eastAsia="仿宋_GB2312"/>
          <w:b/>
          <w:sz w:val="32"/>
        </w:rPr>
        <w:t>2024年度财政拨款收入总计2,466.08万元，</w:t>
      </w:r>
      <w:r>
        <w:rPr>
          <w:rFonts w:ascii="仿宋_GB2312" w:hAnsi="仿宋_GB2312" w:eastAsia="仿宋_GB2312"/>
          <w:b w:val="0"/>
          <w:sz w:val="32"/>
        </w:rPr>
        <w:t>其中：年初财政拨款结转和结余0.00万元，本年财政拨款收入2,466.08万元。</w:t>
      </w:r>
      <w:r>
        <w:rPr>
          <w:rFonts w:ascii="仿宋_GB2312" w:hAnsi="仿宋_GB2312" w:eastAsia="仿宋_GB2312"/>
          <w:b/>
          <w:sz w:val="32"/>
        </w:rPr>
        <w:t>财政拨款支出总计2,466.08万元，</w:t>
      </w:r>
      <w:r>
        <w:rPr>
          <w:rFonts w:ascii="仿宋_GB2312" w:hAnsi="仿宋_GB2312" w:eastAsia="仿宋_GB2312"/>
          <w:b w:val="0"/>
          <w:sz w:val="32"/>
        </w:rPr>
        <w:t>其中：年末财政拨款结转和结余0.00万元，本年财政拨款支出2,466.08万元。</w:t>
      </w:r>
    </w:p>
    <w:p w14:paraId="639AF3E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减少619.86万元，下降20.09%，主要原因是：本年双拥经费、烈士陵园维护项目、驻勒部队慰问经费项目、退役安置补助项目经费较上年减少，导致经费较上年减少。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年初预算数3,138.62万元，决算数2,466.08万元，预决算差异率-21.43%，主要原因是：年中调减军休职工丧葬抚恤金项目、退役士兵社保接续项目、驻勒部队节日慰问经费项目等项目资金，导致预决算存在差异。</w:t>
      </w:r>
    </w:p>
    <w:p w14:paraId="116EC7A5">
      <w:pPr>
        <w:spacing w:line="640" w:lineRule="exact"/>
        <w:ind w:firstLine="640"/>
        <w:jc w:val="both"/>
        <w:outlineLvl w:val="2"/>
      </w:pPr>
      <w:r>
        <w:rPr>
          <w:rFonts w:ascii="黑体" w:hAnsi="黑体" w:eastAsia="黑体"/>
          <w:sz w:val="32"/>
        </w:rPr>
        <w:t>五、一般公共预算财政拨款支出决算情况说明</w:t>
      </w:r>
    </w:p>
    <w:p w14:paraId="5C4D6FAE">
      <w:pPr>
        <w:spacing w:line="640" w:lineRule="exact"/>
        <w:ind w:firstLine="640"/>
        <w:jc w:val="both"/>
        <w:outlineLvl w:val="3"/>
      </w:pPr>
      <w:r>
        <w:rPr>
          <w:rFonts w:ascii="楷体_GB2312" w:hAnsi="楷体_GB2312" w:eastAsia="楷体_GB2312"/>
          <w:b/>
          <w:sz w:val="32"/>
        </w:rPr>
        <w:t>（一）一般公共预算财政拨款支出决算总体情况</w:t>
      </w:r>
    </w:p>
    <w:p w14:paraId="64C21B45">
      <w:pPr>
        <w:spacing w:line="580" w:lineRule="exact"/>
        <w:ind w:firstLine="640"/>
        <w:jc w:val="both"/>
      </w:pPr>
      <w:r>
        <w:rPr>
          <w:rFonts w:ascii="仿宋_GB2312" w:hAnsi="仿宋_GB2312" w:eastAsia="仿宋_GB2312"/>
          <w:b/>
          <w:sz w:val="32"/>
        </w:rPr>
        <w:t>2024年度一般公共预算财政拨款支出2,466.08万元，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减少619.86万元，下降20.09%，主要原因是：本年双拥经费、烈士陵园维护项目、驻勒部队慰问经费项目、退役安置补助项目经费较上年减少，导致经费较上年减少。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年初预算数3,138.62万元，决算数2,466.08万元，预决算差异率-21.43%，主要原因是：本年年中调减军休职工丧葬抚恤金项目、退役士兵社保接续项目、驻勒部队节日慰问经费项目等项目资金，导致预决算存在差异。</w:t>
      </w:r>
    </w:p>
    <w:p w14:paraId="20CE4DE9">
      <w:pPr>
        <w:spacing w:line="640" w:lineRule="exact"/>
        <w:ind w:firstLine="640"/>
        <w:jc w:val="both"/>
        <w:outlineLvl w:val="3"/>
      </w:pPr>
      <w:r>
        <w:rPr>
          <w:rFonts w:ascii="楷体_GB2312" w:hAnsi="楷体_GB2312" w:eastAsia="楷体_GB2312"/>
          <w:b/>
          <w:sz w:val="32"/>
        </w:rPr>
        <w:t>（二）一般公共预算财政拨款支出决算结构情况</w:t>
      </w:r>
    </w:p>
    <w:p w14:paraId="3B0B92D6">
      <w:pPr>
        <w:spacing w:line="580" w:lineRule="exact"/>
        <w:ind w:firstLine="640"/>
        <w:jc w:val="both"/>
      </w:pPr>
      <w:r>
        <w:rPr>
          <w:rFonts w:ascii="仿宋_GB2312" w:hAnsi="仿宋_GB2312" w:eastAsia="仿宋_GB2312"/>
          <w:b w:val="0"/>
          <w:sz w:val="32"/>
        </w:rPr>
        <w:t>1.社会保障和就业支出(类)2,435.64万元,占98.77%。</w:t>
      </w:r>
    </w:p>
    <w:p w14:paraId="488DED2B">
      <w:pPr>
        <w:spacing w:line="580" w:lineRule="exact"/>
        <w:ind w:firstLine="640"/>
        <w:jc w:val="both"/>
      </w:pPr>
      <w:r>
        <w:rPr>
          <w:rFonts w:ascii="仿宋_GB2312" w:hAnsi="仿宋_GB2312" w:eastAsia="仿宋_GB2312"/>
          <w:b w:val="0"/>
          <w:sz w:val="32"/>
        </w:rPr>
        <w:t>2.卫生健康支出(类)12.63万元,占0.51%。</w:t>
      </w:r>
    </w:p>
    <w:p w14:paraId="1ABBF9AB">
      <w:pPr>
        <w:spacing w:line="580" w:lineRule="exact"/>
        <w:ind w:firstLine="640"/>
        <w:jc w:val="both"/>
      </w:pPr>
      <w:r>
        <w:rPr>
          <w:rFonts w:ascii="仿宋_GB2312" w:hAnsi="仿宋_GB2312" w:eastAsia="仿宋_GB2312"/>
          <w:b w:val="0"/>
          <w:sz w:val="32"/>
        </w:rPr>
        <w:t>3.住房保障支出(类)17.80万元,占0.72%。</w:t>
      </w:r>
    </w:p>
    <w:p w14:paraId="0CB48F41">
      <w:pPr>
        <w:spacing w:line="640" w:lineRule="exact"/>
        <w:ind w:firstLine="640"/>
        <w:jc w:val="both"/>
        <w:outlineLvl w:val="3"/>
      </w:pPr>
      <w:r>
        <w:rPr>
          <w:rFonts w:ascii="楷体_GB2312" w:hAnsi="楷体_GB2312" w:eastAsia="楷体_GB2312"/>
          <w:b/>
          <w:sz w:val="32"/>
        </w:rPr>
        <w:t>（三）一般公共预算财政拨款支出决算具体情况</w:t>
      </w:r>
    </w:p>
    <w:p w14:paraId="7AF1888D">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1.一般公共服务支出(类)政府办公厅（室）及相关机构事务(款)行政运行(项):支出决算数为0.00万元，比上年决算减少15.27万元，下降100.00%,主要原因是：本年减少人员奖金、津贴补贴经费支出。</w:t>
      </w:r>
    </w:p>
    <w:p w14:paraId="5C2F6BCD">
      <w:pPr>
        <w:spacing w:line="580" w:lineRule="exact"/>
        <w:ind w:firstLine="640"/>
        <w:jc w:val="both"/>
      </w:pPr>
      <w:r>
        <w:rPr>
          <w:rFonts w:ascii="仿宋_GB2312" w:hAnsi="仿宋_GB2312" w:eastAsia="仿宋_GB2312"/>
          <w:b w:val="0"/>
          <w:sz w:val="32"/>
        </w:rPr>
        <w:t>2.一般公共服务支出(类)组织事务(款)其他组织事务支出(项):支出决算数为0.00万元，比上年决算减少5.91万元，下降100.00%,主要原因是：本年减少为民办实事经费项目经费。</w:t>
      </w:r>
    </w:p>
    <w:p w14:paraId="6104D9E8">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2.21万元，比上年决算增加0.55万元，增长33.13%,主要原因是：本年退休人员增加基础绩效奖支出，导致行政单位离退休费支出增加。</w:t>
      </w:r>
    </w:p>
    <w:p w14:paraId="1FEC85FF">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22.72万元，比上年决算增加4.69万元，增长26.01%,主要原因是：本年在职人员工资基数调增，养老缴费基数上涨，相应支出增加。</w:t>
      </w:r>
    </w:p>
    <w:p w14:paraId="6DDB0E37">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0.00万元，比上年决算减少2.73万元，下降100.00%,主要原因是：本年无新增退休人员，职业年金缴费较上年减少。</w:t>
      </w:r>
    </w:p>
    <w:p w14:paraId="4C9E2FE2">
      <w:pPr>
        <w:spacing w:line="580" w:lineRule="exact"/>
        <w:ind w:firstLine="640"/>
        <w:jc w:val="both"/>
      </w:pPr>
      <w:r>
        <w:rPr>
          <w:rFonts w:ascii="仿宋_GB2312" w:hAnsi="仿宋_GB2312" w:eastAsia="仿宋_GB2312"/>
          <w:b w:val="0"/>
          <w:sz w:val="32"/>
        </w:rPr>
        <w:t>6.社会保障和就业支出(类)抚恤(款)义务兵优待(项):支出决算数为139.39万元，比上年决算减少40.94万元，下降22.70%,主要原因是：本年度入伍义务兵减少，义务兵家庭优待金较上年减少。</w:t>
      </w:r>
    </w:p>
    <w:p w14:paraId="19EAD260">
      <w:pPr>
        <w:spacing w:line="580" w:lineRule="exact"/>
        <w:ind w:firstLine="640"/>
        <w:jc w:val="both"/>
      </w:pPr>
      <w:r>
        <w:rPr>
          <w:rFonts w:ascii="仿宋_GB2312" w:hAnsi="仿宋_GB2312" w:eastAsia="仿宋_GB2312"/>
          <w:b w:val="0"/>
          <w:sz w:val="32"/>
        </w:rPr>
        <w:t>7.社会保障和就业支出(类)抚恤(款)褒扬纪念(项):支出决算数为0.21万元，比上年决算增加0.21万元，增长100.00%,主要原因是：本年度增加烈士陵园日常维护产生</w:t>
      </w:r>
      <w:r>
        <w:rPr>
          <w:rFonts w:hint="eastAsia" w:ascii="仿宋_GB2312" w:hAnsi="仿宋_GB2312" w:eastAsia="仿宋_GB2312"/>
          <w:b w:val="0"/>
          <w:sz w:val="32"/>
          <w:lang w:eastAsia="zh-CN"/>
        </w:rPr>
        <w:t>的</w:t>
      </w:r>
      <w:r>
        <w:rPr>
          <w:rFonts w:ascii="仿宋_GB2312" w:hAnsi="仿宋_GB2312" w:eastAsia="仿宋_GB2312"/>
          <w:b w:val="0"/>
          <w:sz w:val="32"/>
        </w:rPr>
        <w:t>费用。</w:t>
      </w:r>
    </w:p>
    <w:p w14:paraId="493F1637">
      <w:pPr>
        <w:spacing w:line="580" w:lineRule="exact"/>
        <w:ind w:firstLine="640"/>
        <w:jc w:val="both"/>
      </w:pPr>
      <w:r>
        <w:rPr>
          <w:rFonts w:ascii="仿宋_GB2312" w:hAnsi="仿宋_GB2312" w:eastAsia="仿宋_GB2312"/>
          <w:b w:val="0"/>
          <w:sz w:val="32"/>
        </w:rPr>
        <w:t>8.社会保障和就业支出(类)抚恤(款)其他优抚支出(项):支出决算数为206.67万元，比上年决算减少207.59万元，下降50.11%,主要原因是：本年服务对象数量减少，优抚对象补助资金较上年减少。</w:t>
      </w:r>
    </w:p>
    <w:p w14:paraId="0D22FB79">
      <w:pPr>
        <w:spacing w:line="580" w:lineRule="exact"/>
        <w:ind w:firstLine="640"/>
        <w:jc w:val="both"/>
      </w:pPr>
      <w:r>
        <w:rPr>
          <w:rFonts w:ascii="仿宋_GB2312" w:hAnsi="仿宋_GB2312" w:eastAsia="仿宋_GB2312"/>
          <w:b w:val="0"/>
          <w:sz w:val="32"/>
        </w:rPr>
        <w:t>9.社会保障和就业支出(类)退役安置(款)退役士兵安置(项):支出决算数为238.00万元，比上年决算增加50.70万元，增长27.07%,主要原因是：本年增加自主就业退役士兵一次性经济补助金，相应支出增加。</w:t>
      </w:r>
    </w:p>
    <w:p w14:paraId="2E92465A">
      <w:pPr>
        <w:spacing w:line="580" w:lineRule="exact"/>
        <w:ind w:firstLine="640"/>
        <w:jc w:val="both"/>
      </w:pPr>
      <w:r>
        <w:rPr>
          <w:rFonts w:ascii="仿宋_GB2312" w:hAnsi="仿宋_GB2312" w:eastAsia="仿宋_GB2312"/>
          <w:b w:val="0"/>
          <w:sz w:val="32"/>
        </w:rPr>
        <w:t>10.社会保障和就业支出(类)退役安置(款)军队移交政府的离退休人员安置(项):支出决算数为304.80万元，比上年决算增加18.80万元，增长6.57%,主要原因是：本年军籍退休退职职工津贴补贴项目经费较上年增加。</w:t>
      </w:r>
    </w:p>
    <w:p w14:paraId="01200F47">
      <w:pPr>
        <w:spacing w:line="580" w:lineRule="exact"/>
        <w:ind w:firstLine="640"/>
        <w:jc w:val="both"/>
      </w:pPr>
      <w:r>
        <w:rPr>
          <w:rFonts w:ascii="仿宋_GB2312" w:hAnsi="仿宋_GB2312" w:eastAsia="仿宋_GB2312"/>
          <w:b w:val="0"/>
          <w:sz w:val="32"/>
        </w:rPr>
        <w:t>11.社会保障和就业支出(类)退役安置(款)军队移交政府离退休干部管理机构(项):支出决算数为0.19万元，比上年决算增加0.19万元，增长100.00%,主要原因是：本年增加中央财政退役安置补助项目。</w:t>
      </w:r>
    </w:p>
    <w:p w14:paraId="795DC302">
      <w:pPr>
        <w:spacing w:line="580" w:lineRule="exact"/>
        <w:ind w:firstLine="640"/>
        <w:jc w:val="both"/>
      </w:pPr>
      <w:r>
        <w:rPr>
          <w:rFonts w:ascii="仿宋_GB2312" w:hAnsi="仿宋_GB2312" w:eastAsia="仿宋_GB2312"/>
          <w:b w:val="0"/>
          <w:sz w:val="32"/>
        </w:rPr>
        <w:t>12.社会保障和就业支出(类)退役安置(款)军队转业干部安置(项):支出决算数为23.53万元，比上年决算增加9.29万元，增长65.24%,主要原因是：本年增加年军队转业干部线下培训费用，相应支出增加。</w:t>
      </w:r>
    </w:p>
    <w:p w14:paraId="7FFE2745">
      <w:pPr>
        <w:spacing w:line="580" w:lineRule="exact"/>
        <w:ind w:firstLine="640"/>
        <w:jc w:val="both"/>
      </w:pPr>
      <w:r>
        <w:rPr>
          <w:rFonts w:ascii="仿宋_GB2312" w:hAnsi="仿宋_GB2312" w:eastAsia="仿宋_GB2312"/>
          <w:b w:val="0"/>
          <w:sz w:val="32"/>
        </w:rPr>
        <w:t>13.社会保障和就业支出(类)退役安置(款)其他退役安置支出(项):支出决算数为1,294.07万元，比上年决算减少415.60万元，下降24.31%,主要原因是：本年度服务对象数量有所减少，退役安置补助项目经费较上年减少。</w:t>
      </w:r>
    </w:p>
    <w:p w14:paraId="310E3E3A">
      <w:pPr>
        <w:spacing w:line="580" w:lineRule="exact"/>
        <w:ind w:firstLine="640"/>
        <w:jc w:val="both"/>
      </w:pPr>
      <w:r>
        <w:rPr>
          <w:rFonts w:ascii="仿宋_GB2312" w:hAnsi="仿宋_GB2312" w:eastAsia="仿宋_GB2312"/>
          <w:b w:val="0"/>
          <w:sz w:val="32"/>
        </w:rPr>
        <w:t>14.社会保障和就业支出(类)退役军人管理事务(款)行政运行(项):支出决算数为184.45万元，比上年决算增加14.35万元，增长8.44%,主要原因是：本年在职人员增加，在职人员工资调增，导致相关人员经费较上年有所增加。</w:t>
      </w:r>
    </w:p>
    <w:p w14:paraId="52FF0566">
      <w:pPr>
        <w:spacing w:line="580" w:lineRule="exact"/>
        <w:ind w:firstLine="640"/>
        <w:jc w:val="both"/>
      </w:pPr>
      <w:r>
        <w:rPr>
          <w:rFonts w:ascii="仿宋_GB2312" w:hAnsi="仿宋_GB2312" w:eastAsia="仿宋_GB2312"/>
          <w:b w:val="0"/>
          <w:sz w:val="32"/>
        </w:rPr>
        <w:t>15.社会保障和就业支出(类)退役军人管理事务(款)拥军优属(项):支出决算数为17.90万元，比上年决算减少35.31万元，下降66.36%,主要原因是：本年双拥经费项目、八一慰问驻勒部队经费项目较上年减少，相应支出减少。</w:t>
      </w:r>
    </w:p>
    <w:p w14:paraId="5EA1289A">
      <w:pPr>
        <w:spacing w:line="580" w:lineRule="exact"/>
        <w:ind w:firstLine="640"/>
        <w:jc w:val="both"/>
      </w:pPr>
      <w:r>
        <w:rPr>
          <w:rFonts w:ascii="仿宋_GB2312" w:hAnsi="仿宋_GB2312" w:eastAsia="仿宋_GB2312"/>
          <w:b w:val="0"/>
          <w:sz w:val="32"/>
        </w:rPr>
        <w:t>16.社会保障和就业支出(类)退役军人管理事务(款)其他退役军人事务管理支出(项):支出决算数为1.50万元，比上年决算增加1.50万元，增长100.00%,主要原因是：本年增加烈士陵园维护项目费用。</w:t>
      </w:r>
    </w:p>
    <w:p w14:paraId="15DDF92C">
      <w:pPr>
        <w:spacing w:line="580" w:lineRule="exact"/>
        <w:ind w:firstLine="640"/>
        <w:jc w:val="both"/>
      </w:pPr>
      <w:r>
        <w:rPr>
          <w:rFonts w:ascii="仿宋_GB2312" w:hAnsi="仿宋_GB2312" w:eastAsia="仿宋_GB2312"/>
          <w:b w:val="0"/>
          <w:sz w:val="32"/>
        </w:rPr>
        <w:t>17.卫生健康支出(类)行政事业单位医疗(款)行政单位医疗(项):支出决算数为9.65万元，比上年决算增加1.86万元，增长23.88%,主要原因是：本年在职人员增加，医疗缴费基数上涨，相应支出增加。</w:t>
      </w:r>
    </w:p>
    <w:p w14:paraId="158D1DDC">
      <w:pPr>
        <w:spacing w:line="580" w:lineRule="exact"/>
        <w:ind w:firstLine="640"/>
        <w:jc w:val="both"/>
      </w:pPr>
      <w:r>
        <w:rPr>
          <w:rFonts w:ascii="仿宋_GB2312" w:hAnsi="仿宋_GB2312" w:eastAsia="仿宋_GB2312"/>
          <w:b w:val="0"/>
          <w:sz w:val="32"/>
        </w:rPr>
        <w:t>18.卫生健康支出(类)行政事业单位医疗(款)公务员医疗补助(项):支出决算数为1.27万元，比上年决算增加0.11万元，增长9.48%,主要原因是：本年在职人员增加，公务员医疗缴费基数上涨，相应支出增加。</w:t>
      </w:r>
    </w:p>
    <w:p w14:paraId="4188963D">
      <w:pPr>
        <w:spacing w:line="580" w:lineRule="exact"/>
        <w:ind w:firstLine="640"/>
        <w:jc w:val="both"/>
      </w:pPr>
      <w:r>
        <w:rPr>
          <w:rFonts w:ascii="仿宋_GB2312" w:hAnsi="仿宋_GB2312" w:eastAsia="仿宋_GB2312"/>
          <w:b w:val="0"/>
          <w:sz w:val="32"/>
        </w:rPr>
        <w:t>19.卫生健康支出(类)优抚对象医疗(款)其他优抚对象医疗支出(项):支出决算数为1.70万元，比上年决算减少2.31万元，下降57.61%,主要原因是：本年减少疏勒县中央财政优抚对象医疗保障经费。</w:t>
      </w:r>
    </w:p>
    <w:p w14:paraId="4AEC0786">
      <w:pPr>
        <w:spacing w:line="580" w:lineRule="exact"/>
        <w:ind w:firstLine="640"/>
        <w:jc w:val="both"/>
      </w:pPr>
      <w:r>
        <w:rPr>
          <w:rFonts w:ascii="仿宋_GB2312" w:hAnsi="仿宋_GB2312" w:eastAsia="仿宋_GB2312"/>
          <w:b w:val="0"/>
          <w:sz w:val="32"/>
        </w:rPr>
        <w:t>20.住房保障支出(类)住房改革支出(款)住房公积金(项):支出决算数为17.80万元，比上年决算增加3.53万元，增长24.74%,主要原因是：本年在职人员增加，公积金缴费基数上涨，相应支出增加。</w:t>
      </w:r>
    </w:p>
    <w:p w14:paraId="16ED53E5">
      <w:pPr>
        <w:spacing w:line="640" w:lineRule="exact"/>
        <w:ind w:firstLine="640"/>
        <w:jc w:val="both"/>
        <w:outlineLvl w:val="2"/>
      </w:pPr>
      <w:r>
        <w:rPr>
          <w:rFonts w:ascii="黑体" w:hAnsi="黑体" w:eastAsia="黑体"/>
          <w:sz w:val="32"/>
        </w:rPr>
        <w:t>六、一般公共预算财政拨款基本支出决算情况说明</w:t>
      </w:r>
    </w:p>
    <w:p w14:paraId="01EBF4EF">
      <w:pPr>
        <w:spacing w:line="580" w:lineRule="exact"/>
        <w:ind w:firstLine="640"/>
        <w:jc w:val="both"/>
      </w:pPr>
      <w:r>
        <w:rPr>
          <w:rFonts w:ascii="仿宋_GB2312" w:hAnsi="仿宋_GB2312" w:eastAsia="仿宋_GB2312"/>
          <w:b w:val="0"/>
          <w:sz w:val="32"/>
        </w:rPr>
        <w:t>2024年度一般公共预算财政拨款基本支出238.11万元，其中：</w:t>
      </w:r>
      <w:r>
        <w:rPr>
          <w:rFonts w:ascii="仿宋_GB2312" w:hAnsi="仿宋_GB2312" w:eastAsia="仿宋_GB2312"/>
          <w:b/>
          <w:sz w:val="32"/>
        </w:rPr>
        <w:t>人员经费234.89万元，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w:t>
      </w:r>
    </w:p>
    <w:p w14:paraId="2E3607EB">
      <w:pPr>
        <w:spacing w:line="580" w:lineRule="exact"/>
        <w:ind w:firstLine="640"/>
        <w:jc w:val="both"/>
      </w:pPr>
      <w:r>
        <w:rPr>
          <w:rFonts w:ascii="仿宋_GB2312" w:hAnsi="仿宋_GB2312" w:eastAsia="仿宋_GB2312"/>
          <w:b/>
          <w:sz w:val="32"/>
        </w:rPr>
        <w:t>公用经费3.22万元，</w:t>
      </w:r>
      <w:r>
        <w:rPr>
          <w:rFonts w:ascii="仿宋_GB2312" w:hAnsi="仿宋_GB2312" w:eastAsia="仿宋_GB2312"/>
          <w:b w:val="0"/>
          <w:sz w:val="32"/>
        </w:rPr>
        <w:t>包括：办公费、电费、邮电费、差旅费、其他交通费用。</w:t>
      </w:r>
    </w:p>
    <w:p w14:paraId="4FF69591">
      <w:pPr>
        <w:spacing w:line="640" w:lineRule="exact"/>
        <w:ind w:firstLine="640"/>
        <w:jc w:val="both"/>
        <w:outlineLvl w:val="2"/>
      </w:pPr>
      <w:r>
        <w:rPr>
          <w:rFonts w:ascii="黑体" w:hAnsi="黑体" w:eastAsia="黑体"/>
          <w:sz w:val="32"/>
        </w:rPr>
        <w:t>七、政府性基金预算财政拨款收入支出决算情况说明</w:t>
      </w:r>
    </w:p>
    <w:p w14:paraId="2BB6F2B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B2D74C0">
      <w:pPr>
        <w:spacing w:line="640" w:lineRule="exact"/>
        <w:ind w:firstLine="640"/>
        <w:jc w:val="both"/>
        <w:outlineLvl w:val="2"/>
      </w:pPr>
      <w:r>
        <w:rPr>
          <w:rFonts w:ascii="黑体" w:hAnsi="黑体" w:eastAsia="黑体"/>
          <w:sz w:val="32"/>
        </w:rPr>
        <w:t>八、国有资本经营预算财政拨款收入支出决算情况说明</w:t>
      </w:r>
    </w:p>
    <w:p w14:paraId="36243A6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ACE4AD8">
      <w:pPr>
        <w:spacing w:line="640" w:lineRule="exact"/>
        <w:ind w:firstLine="640"/>
        <w:jc w:val="both"/>
        <w:outlineLvl w:val="2"/>
      </w:pPr>
      <w:r>
        <w:rPr>
          <w:rFonts w:ascii="黑体" w:hAnsi="黑体" w:eastAsia="黑体"/>
          <w:sz w:val="32"/>
        </w:rPr>
        <w:t>九、财政拨款“三公”经费支出决算情况说明</w:t>
      </w:r>
    </w:p>
    <w:p w14:paraId="321C7DF0">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5AE944D">
      <w:pPr>
        <w:spacing w:line="580" w:lineRule="exact"/>
        <w:ind w:firstLine="640"/>
        <w:jc w:val="both"/>
      </w:pPr>
      <w:r>
        <w:rPr>
          <w:rFonts w:ascii="仿宋_GB2312" w:hAnsi="仿宋_GB2312" w:eastAsia="仿宋_GB2312"/>
          <w:b/>
          <w:sz w:val="32"/>
        </w:rPr>
        <w:t>具体情况如下：</w:t>
      </w:r>
    </w:p>
    <w:p w14:paraId="33CB63C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034937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一般业务用车，预算未安排公务用车运行维护费。</w:t>
      </w:r>
    </w:p>
    <w:p w14:paraId="0735CFB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CBF44B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38723EC">
      <w:pPr>
        <w:spacing w:line="640" w:lineRule="exact"/>
        <w:ind w:firstLine="640"/>
        <w:jc w:val="both"/>
        <w:outlineLvl w:val="2"/>
      </w:pPr>
      <w:r>
        <w:rPr>
          <w:rFonts w:ascii="黑体" w:hAnsi="黑体" w:eastAsia="黑体"/>
          <w:sz w:val="32"/>
        </w:rPr>
        <w:t>十、其他重要事项的情况说明</w:t>
      </w:r>
    </w:p>
    <w:p w14:paraId="67367F21">
      <w:pPr>
        <w:spacing w:line="640" w:lineRule="exact"/>
        <w:ind w:firstLine="640"/>
        <w:jc w:val="both"/>
        <w:outlineLvl w:val="3"/>
      </w:pPr>
      <w:r>
        <w:rPr>
          <w:rFonts w:ascii="楷体_GB2312" w:hAnsi="楷体_GB2312" w:eastAsia="楷体_GB2312"/>
          <w:b/>
          <w:sz w:val="32"/>
        </w:rPr>
        <w:t>（一）机关运行经费及公用经费支出情况</w:t>
      </w:r>
    </w:p>
    <w:p w14:paraId="7B5F7AA9">
      <w:pPr>
        <w:spacing w:line="580" w:lineRule="exact"/>
        <w:ind w:firstLine="640"/>
        <w:jc w:val="both"/>
      </w:pPr>
      <w:r>
        <w:rPr>
          <w:rFonts w:ascii="仿宋_GB2312" w:hAnsi="仿宋_GB2312" w:eastAsia="仿宋_GB2312"/>
          <w:b w:val="0"/>
          <w:sz w:val="32"/>
        </w:rPr>
        <w:t>2024年度疏勒县退役军人事务局（行政单位和参照公务员法管理事业单位）机关运行经费支出3.22万元，比上年增加0.92万元，增长40.00%，主要原因是：本年更新、维护补充办公用品，导致机关运行经费较上年增加。</w:t>
      </w:r>
    </w:p>
    <w:p w14:paraId="0D75A450">
      <w:pPr>
        <w:spacing w:line="640" w:lineRule="exact"/>
        <w:ind w:firstLine="640"/>
        <w:jc w:val="both"/>
        <w:outlineLvl w:val="3"/>
      </w:pPr>
      <w:r>
        <w:rPr>
          <w:rFonts w:ascii="楷体_GB2312" w:hAnsi="楷体_GB2312" w:eastAsia="楷体_GB2312"/>
          <w:b/>
          <w:sz w:val="32"/>
        </w:rPr>
        <w:t>（二）政府采购情况</w:t>
      </w:r>
    </w:p>
    <w:p w14:paraId="5B8469DA">
      <w:pPr>
        <w:spacing w:line="580" w:lineRule="exact"/>
        <w:ind w:firstLine="640"/>
        <w:jc w:val="both"/>
      </w:pPr>
      <w:r>
        <w:rPr>
          <w:rFonts w:ascii="仿宋_GB2312" w:hAnsi="仿宋_GB2312" w:eastAsia="仿宋_GB2312"/>
          <w:b w:val="0"/>
          <w:sz w:val="32"/>
        </w:rPr>
        <w:t>2024年度政府采购支出总额1.30万元，其中：政府采购货物支出0.78万元、政府采购工程支出0.00万元、政府采购服务支出0.52万元。</w:t>
      </w:r>
    </w:p>
    <w:p w14:paraId="133D95DB">
      <w:pPr>
        <w:spacing w:line="580" w:lineRule="exact"/>
        <w:ind w:firstLine="640"/>
        <w:jc w:val="both"/>
      </w:pPr>
      <w:r>
        <w:rPr>
          <w:rFonts w:ascii="仿宋_GB2312" w:hAnsi="仿宋_GB2312" w:eastAsia="仿宋_GB2312"/>
          <w:b w:val="0"/>
          <w:sz w:val="32"/>
        </w:rPr>
        <w:t>授予中小企业合同金额1.30万元，占政府采购支出总额的100.00%，其中：授予小微企业合同金额1.30万元，占政府采购支出总额的100.00%。</w:t>
      </w:r>
    </w:p>
    <w:p w14:paraId="12812C19">
      <w:pPr>
        <w:spacing w:line="640" w:lineRule="exact"/>
        <w:ind w:firstLine="640"/>
        <w:jc w:val="both"/>
        <w:outlineLvl w:val="3"/>
      </w:pPr>
      <w:r>
        <w:rPr>
          <w:rFonts w:ascii="楷体_GB2312" w:hAnsi="楷体_GB2312" w:eastAsia="楷体_GB2312"/>
          <w:b/>
          <w:sz w:val="32"/>
        </w:rPr>
        <w:t>（三）国有资产占用情况说明</w:t>
      </w:r>
    </w:p>
    <w:p w14:paraId="59B3220E">
      <w:pPr>
        <w:spacing w:line="580" w:lineRule="exact"/>
        <w:ind w:firstLine="640"/>
        <w:jc w:val="both"/>
      </w:pPr>
      <w:r>
        <w:rPr>
          <w:rFonts w:ascii="仿宋_GB2312" w:hAnsi="仿宋_GB2312" w:eastAsia="仿宋_GB2312"/>
          <w:b w:val="0"/>
          <w:sz w:val="32"/>
        </w:rPr>
        <w:t>截至2024年12月31日，房屋0.00平方米，价值0.00万元。车辆1辆，价值6.53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01AA935A">
      <w:pPr>
        <w:spacing w:line="640" w:lineRule="exact"/>
        <w:ind w:firstLine="640"/>
        <w:jc w:val="both"/>
        <w:outlineLvl w:val="2"/>
      </w:pPr>
      <w:r>
        <w:rPr>
          <w:rFonts w:ascii="黑体" w:hAnsi="黑体" w:eastAsia="黑体"/>
          <w:sz w:val="32"/>
        </w:rPr>
        <w:t>十一、预算绩效的情况说明</w:t>
      </w:r>
    </w:p>
    <w:p w14:paraId="61AFEA11">
      <w:pPr>
        <w:spacing w:line="580" w:lineRule="exact"/>
        <w:ind w:firstLine="640"/>
        <w:jc w:val="both"/>
        <w:rPr>
          <w:rFonts w:hint="eastAsia" w:eastAsia="仿宋_GB2312"/>
          <w:lang w:eastAsia="zh-CN"/>
        </w:rPr>
      </w:pPr>
      <w:r>
        <w:rPr>
          <w:rFonts w:ascii="仿宋_GB2312" w:hAnsi="仿宋_GB2312" w:eastAsia="仿宋_GB2312"/>
          <w:b w:val="0"/>
          <w:sz w:val="32"/>
        </w:rPr>
        <w:t>根据预算绩效管理要求，本单位2024年度预算绩效管理形成整体支出绩效自评表1个，全年预算总额2,466.08万元，实际执行总额2,466.08万元；预算绩效评价项目</w:t>
      </w:r>
      <w:r>
        <w:rPr>
          <w:rFonts w:hint="eastAsia" w:ascii="仿宋_GB2312" w:hAnsi="仿宋_GB2312" w:eastAsia="仿宋_GB2312"/>
          <w:b w:val="0"/>
          <w:sz w:val="32"/>
          <w:lang w:val="en-US" w:eastAsia="zh-CN"/>
        </w:rPr>
        <w:t>2</w:t>
      </w:r>
      <w:r>
        <w:rPr>
          <w:rFonts w:ascii="仿宋_GB2312" w:hAnsi="仿宋_GB2312" w:eastAsia="仿宋_GB2312"/>
          <w:b w:val="0"/>
          <w:sz w:val="32"/>
        </w:rPr>
        <w:t>0个，全年预算数3</w:t>
      </w:r>
      <w:r>
        <w:rPr>
          <w:rFonts w:hint="eastAsia" w:ascii="仿宋_GB2312" w:hAnsi="仿宋_GB2312" w:eastAsia="仿宋_GB2312"/>
          <w:b w:val="0"/>
          <w:sz w:val="32"/>
          <w:lang w:val="en-US" w:eastAsia="zh-CN"/>
        </w:rPr>
        <w:t>,</w:t>
      </w:r>
      <w:r>
        <w:rPr>
          <w:rFonts w:ascii="仿宋_GB2312" w:hAnsi="仿宋_GB2312" w:eastAsia="仿宋_GB2312"/>
          <w:b w:val="0"/>
          <w:sz w:val="32"/>
        </w:rPr>
        <w:t>106.77万元，全年执行数2</w:t>
      </w:r>
      <w:r>
        <w:rPr>
          <w:rFonts w:hint="eastAsia" w:ascii="仿宋_GB2312" w:hAnsi="仿宋_GB2312" w:eastAsia="仿宋_GB2312"/>
          <w:b w:val="0"/>
          <w:sz w:val="32"/>
          <w:lang w:val="en-US" w:eastAsia="zh-CN"/>
        </w:rPr>
        <w:t>,</w:t>
      </w:r>
      <w:r>
        <w:rPr>
          <w:rFonts w:ascii="仿宋_GB2312" w:hAnsi="仿宋_GB2312" w:eastAsia="仿宋_GB2312"/>
          <w:b w:val="0"/>
          <w:sz w:val="32"/>
        </w:rPr>
        <w:t>728.85万元。预算绩效管理取得的成效：本单位2024年项目绩效自评表不予公开。发现的问题及原因：本单位2024年项目绩效自评表不予公开。下一步改进措施：本单位2024年项目绩效自评表不予公开。</w:t>
      </w:r>
      <w:r>
        <w:rPr>
          <w:rFonts w:hint="eastAsia" w:ascii="仿宋_GB2312" w:hAnsi="仿宋_GB2312" w:eastAsia="仿宋_GB2312"/>
          <w:b w:val="0"/>
          <w:sz w:val="32"/>
          <w:lang w:eastAsia="zh-CN"/>
        </w:rPr>
        <w:t>具体附整体支出绩效自评表。</w:t>
      </w:r>
    </w:p>
    <w:p w14:paraId="2B56EE7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F3AEC2C">
        <w:tblPrEx>
          <w:tblCellMar>
            <w:top w:w="0" w:type="dxa"/>
            <w:left w:w="108" w:type="dxa"/>
            <w:bottom w:w="0" w:type="dxa"/>
            <w:right w:w="108" w:type="dxa"/>
          </w:tblCellMar>
        </w:tblPrEx>
        <w:tc>
          <w:tcPr>
            <w:tcW w:w="8847" w:type="dxa"/>
            <w:gridSpan w:val="9"/>
            <w:vAlign w:val="center"/>
          </w:tcPr>
          <w:p w14:paraId="6B02EE25">
            <w:pPr>
              <w:jc w:val="center"/>
            </w:pPr>
            <w:r>
              <w:rPr>
                <w:rFonts w:ascii="宋体" w:hAnsi="宋体" w:eastAsia="宋体"/>
                <w:sz w:val="24"/>
              </w:rPr>
              <w:t>单位整体支出绩效自评表</w:t>
            </w:r>
          </w:p>
        </w:tc>
      </w:tr>
      <w:tr w14:paraId="414AD13D">
        <w:tblPrEx>
          <w:tblCellMar>
            <w:top w:w="0" w:type="dxa"/>
            <w:left w:w="108" w:type="dxa"/>
            <w:bottom w:w="0" w:type="dxa"/>
            <w:right w:w="108" w:type="dxa"/>
          </w:tblCellMar>
        </w:tblPrEx>
        <w:tc>
          <w:tcPr>
            <w:tcW w:w="8847" w:type="dxa"/>
            <w:gridSpan w:val="9"/>
            <w:vAlign w:val="center"/>
          </w:tcPr>
          <w:p w14:paraId="647076B2">
            <w:pPr>
              <w:jc w:val="center"/>
            </w:pPr>
            <w:r>
              <w:rPr>
                <w:rFonts w:ascii="宋体" w:hAnsi="宋体" w:eastAsia="宋体"/>
                <w:sz w:val="24"/>
              </w:rPr>
              <w:t>（2024年度）</w:t>
            </w:r>
          </w:p>
        </w:tc>
      </w:tr>
      <w:tr w14:paraId="7EB67CA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31C2D">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8CA9C44">
            <w:pPr>
              <w:jc w:val="center"/>
            </w:pPr>
            <w:r>
              <w:rPr>
                <w:rFonts w:ascii="宋体" w:hAnsi="宋体" w:eastAsia="宋体"/>
                <w:sz w:val="16"/>
              </w:rPr>
              <w:t>疏勒县退役军人事务局</w:t>
            </w:r>
          </w:p>
        </w:tc>
      </w:tr>
      <w:tr w14:paraId="77F5498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D55ACF">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1497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0502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F553F">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B623B">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592D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AA7B0">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46F4C">
            <w:pPr>
              <w:jc w:val="center"/>
            </w:pPr>
            <w:r>
              <w:rPr>
                <w:rFonts w:ascii="宋体" w:hAnsi="宋体" w:eastAsia="宋体"/>
                <w:sz w:val="16"/>
              </w:rPr>
              <w:t>得分</w:t>
            </w:r>
          </w:p>
        </w:tc>
      </w:tr>
      <w:tr w14:paraId="5AE586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67869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DCF2A">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91B90">
            <w:pPr>
              <w:jc w:val="center"/>
            </w:pPr>
            <w:r>
              <w:rPr>
                <w:rFonts w:ascii="宋体" w:hAnsi="宋体" w:eastAsia="宋体"/>
                <w:sz w:val="16"/>
              </w:rPr>
              <w:t>3,138.62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57211">
            <w:pPr>
              <w:jc w:val="center"/>
            </w:pPr>
            <w:r>
              <w:rPr>
                <w:rFonts w:ascii="宋体" w:hAnsi="宋体" w:eastAsia="宋体"/>
                <w:sz w:val="16"/>
              </w:rPr>
              <w:t>2,466.08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B36D0">
            <w:pPr>
              <w:jc w:val="center"/>
            </w:pPr>
            <w:r>
              <w:rPr>
                <w:rFonts w:ascii="宋体" w:hAnsi="宋体" w:eastAsia="宋体"/>
                <w:sz w:val="16"/>
              </w:rPr>
              <w:t>2,466.08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FCC0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9B8F8">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AB294">
            <w:pPr>
              <w:jc w:val="center"/>
            </w:pPr>
            <w:r>
              <w:rPr>
                <w:rFonts w:ascii="宋体" w:hAnsi="宋体" w:eastAsia="宋体"/>
                <w:sz w:val="16"/>
              </w:rPr>
              <w:t>10</w:t>
            </w:r>
          </w:p>
        </w:tc>
      </w:tr>
      <w:tr w14:paraId="013F6A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2C1D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D8409">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B3845">
            <w:pPr>
              <w:jc w:val="center"/>
            </w:pPr>
            <w:r>
              <w:rPr>
                <w:rFonts w:ascii="宋体" w:hAnsi="宋体" w:eastAsia="宋体"/>
                <w:sz w:val="16"/>
              </w:rPr>
              <w:t>1,732.90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AA88A">
            <w:pPr>
              <w:jc w:val="center"/>
            </w:pPr>
            <w:r>
              <w:rPr>
                <w:rFonts w:ascii="宋体" w:hAnsi="宋体" w:eastAsia="宋体"/>
                <w:sz w:val="16"/>
              </w:rPr>
              <w:t>1,777.83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D2492">
            <w:pPr>
              <w:jc w:val="center"/>
            </w:pPr>
            <w:r>
              <w:rPr>
                <w:rFonts w:ascii="宋体" w:hAnsi="宋体" w:eastAsia="宋体"/>
                <w:sz w:val="16"/>
              </w:rPr>
              <w:t>1,777.83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CEBB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C278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C3ACE">
            <w:pPr>
              <w:jc w:val="center"/>
            </w:pPr>
            <w:r>
              <w:rPr>
                <w:rFonts w:ascii="宋体" w:hAnsi="宋体" w:eastAsia="宋体"/>
                <w:sz w:val="16"/>
              </w:rPr>
              <w:t>—</w:t>
            </w:r>
          </w:p>
        </w:tc>
      </w:tr>
      <w:tr w14:paraId="75550F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C8FEB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A41C7">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09919">
            <w:pPr>
              <w:jc w:val="center"/>
            </w:pPr>
            <w:r>
              <w:rPr>
                <w:rFonts w:ascii="宋体" w:hAnsi="宋体" w:eastAsia="宋体"/>
                <w:sz w:val="16"/>
              </w:rPr>
              <w:t>1,405.72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671D8">
            <w:pPr>
              <w:jc w:val="center"/>
            </w:pPr>
            <w:r>
              <w:rPr>
                <w:rFonts w:ascii="宋体" w:hAnsi="宋体" w:eastAsia="宋体"/>
                <w:sz w:val="16"/>
              </w:rPr>
              <w:t>688.25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5D08D">
            <w:pPr>
              <w:jc w:val="center"/>
            </w:pPr>
            <w:r>
              <w:rPr>
                <w:rFonts w:ascii="宋体" w:hAnsi="宋体" w:eastAsia="宋体"/>
                <w:sz w:val="16"/>
              </w:rPr>
              <w:t>688.25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10CB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AB80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39119">
            <w:pPr>
              <w:jc w:val="center"/>
            </w:pPr>
            <w:r>
              <w:rPr>
                <w:rFonts w:ascii="宋体" w:hAnsi="宋体" w:eastAsia="宋体"/>
                <w:sz w:val="16"/>
              </w:rPr>
              <w:t>—</w:t>
            </w:r>
          </w:p>
        </w:tc>
      </w:tr>
      <w:tr w14:paraId="51B381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A4E01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16EB3">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EA9B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AEFE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73F4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925F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F566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A0ED3">
            <w:pPr>
              <w:jc w:val="center"/>
            </w:pPr>
            <w:r>
              <w:rPr>
                <w:rFonts w:ascii="宋体" w:hAnsi="宋体" w:eastAsia="宋体"/>
                <w:sz w:val="16"/>
              </w:rPr>
              <w:t>—</w:t>
            </w:r>
          </w:p>
        </w:tc>
      </w:tr>
      <w:tr w14:paraId="7AF431C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CC738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09E1F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256D05">
            <w:pPr>
              <w:jc w:val="center"/>
            </w:pPr>
            <w:r>
              <w:rPr>
                <w:rFonts w:ascii="宋体" w:hAnsi="宋体" w:eastAsia="宋体"/>
                <w:sz w:val="16"/>
              </w:rPr>
              <w:t>实际完成情况</w:t>
            </w:r>
          </w:p>
        </w:tc>
      </w:tr>
      <w:tr w14:paraId="7B83EE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658B7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3EAF89">
            <w:pPr>
              <w:jc w:val="both"/>
            </w:pPr>
            <w:r>
              <w:rPr>
                <w:rFonts w:ascii="宋体" w:hAnsi="宋体" w:eastAsia="宋体"/>
                <w:sz w:val="16"/>
              </w:rPr>
              <w:t>以习近平新时代中国特色社会主义思想为指导，全面贯彻党的二十大精神，深入贯彻</w:t>
            </w:r>
            <w:r>
              <w:rPr>
                <w:rFonts w:hint="eastAsia" w:ascii="宋体" w:hAnsi="宋体"/>
                <w:sz w:val="16"/>
                <w:lang w:eastAsia="zh-CN"/>
              </w:rPr>
              <w:t>习近平总书记关于退役军人工作的重要论述</w:t>
            </w:r>
            <w:r>
              <w:rPr>
                <w:rFonts w:ascii="宋体" w:hAnsi="宋体" w:eastAsia="宋体"/>
                <w:sz w:val="16"/>
              </w:rPr>
              <w:t>，坚决落实党中央、国务院决策部署，认真落实自治区党委、喀什地委、疏勒县委安排部署及上级退役军人事务部门工作要求，以推动退役军人工作高质量发展为主题，以“让退役军人获得感成色更足”为主线，以落实“十四五”退役军人服务和保障为牵引，坚持稳中求进工作总基调，接续推进“法律政策落实年”活动，真抓实干、攻坚克难，推动退役军人工作取得新的更大成效。</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ACC8A6">
            <w:pPr>
              <w:jc w:val="both"/>
            </w:pPr>
            <w:r>
              <w:rPr>
                <w:rFonts w:hint="eastAsia" w:ascii="宋体" w:hAnsi="宋体"/>
                <w:sz w:val="16"/>
                <w:lang w:eastAsia="zh-CN"/>
              </w:rPr>
              <w:t>本单位</w:t>
            </w:r>
            <w:r>
              <w:rPr>
                <w:rFonts w:ascii="宋体" w:hAnsi="宋体" w:eastAsia="宋体"/>
                <w:sz w:val="16"/>
              </w:rPr>
              <w:t>以习近平新时代中国特色社会主义思想为指导，全面贯彻党的二十大精神，深入贯彻</w:t>
            </w:r>
            <w:r>
              <w:rPr>
                <w:rFonts w:hint="eastAsia" w:ascii="宋体" w:hAnsi="宋体"/>
                <w:sz w:val="16"/>
                <w:lang w:eastAsia="zh-CN"/>
              </w:rPr>
              <w:t>习近平总书记关于退役军人工作的重要论述</w:t>
            </w:r>
            <w:r>
              <w:rPr>
                <w:rFonts w:ascii="宋体" w:hAnsi="宋体" w:eastAsia="宋体"/>
                <w:sz w:val="16"/>
              </w:rPr>
              <w:t>，坚决落实党中央、国务院决策部署，认真落实自治区党委、喀什地委、疏勒县委安排部署及上级退役军人事务部门工作要求，以推动退役军人工作高质量发展为主题，以“让退役军人获得感成色更足”为主线，以落实“十四五”退役军人服务和保障为牵引，坚持稳中求进工作总基调，接续推进“法律政策落实年”活动，真抓实干、攻坚克难，本年度完成走访慰问退役军人10次，慰问立功受奖现役军人家属5家，组织“情暖老兵”公益活动3次，组织“缅怀先烈”系列活动3次，组织开展退役军人定向招聘会2次，打造县乡两级法律援助窗口15个，推动退役军人工作取得新的更大成效。</w:t>
            </w:r>
          </w:p>
        </w:tc>
      </w:tr>
      <w:tr w14:paraId="3A8709A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6A0B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28BB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8208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70269">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973AB">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0A75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6480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C845E">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132D1">
            <w:pPr>
              <w:jc w:val="center"/>
            </w:pPr>
            <w:r>
              <w:rPr>
                <w:rFonts w:ascii="宋体" w:hAnsi="宋体" w:eastAsia="宋体"/>
                <w:sz w:val="16"/>
              </w:rPr>
              <w:t>得分</w:t>
            </w:r>
          </w:p>
        </w:tc>
      </w:tr>
      <w:tr w14:paraId="61E6419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2859DB">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3472C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866E2">
            <w:pPr>
              <w:jc w:val="center"/>
            </w:pPr>
            <w:r>
              <w:rPr>
                <w:rFonts w:ascii="宋体" w:hAnsi="宋体" w:eastAsia="宋体"/>
                <w:sz w:val="16"/>
              </w:rPr>
              <w:t>走访慰问退役军人次数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4F6A0">
            <w:pPr>
              <w:jc w:val="center"/>
            </w:pPr>
            <w:r>
              <w:rPr>
                <w:rFonts w:ascii="宋体" w:hAnsi="宋体" w:eastAsia="宋体"/>
                <w:sz w:val="16"/>
              </w:rPr>
              <w:t>&gt;=10次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44489">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469DF">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83195">
            <w:pPr>
              <w:jc w:val="center"/>
            </w:pPr>
            <w:r>
              <w:rPr>
                <w:rFonts w:ascii="宋体" w:hAnsi="宋体" w:eastAsia="宋体"/>
                <w:sz w:val="16"/>
              </w:rPr>
              <w: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BF27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FC794">
            <w:pPr>
              <w:jc w:val="center"/>
            </w:pPr>
            <w:r>
              <w:rPr>
                <w:rFonts w:ascii="宋体" w:hAnsi="宋体" w:eastAsia="宋体"/>
                <w:sz w:val="16"/>
              </w:rPr>
              <w:t>13</w:t>
            </w:r>
          </w:p>
        </w:tc>
      </w:tr>
      <w:tr w14:paraId="1A44F0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1DF74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A28C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01CBE">
            <w:pPr>
              <w:jc w:val="center"/>
            </w:pPr>
            <w:r>
              <w:rPr>
                <w:rFonts w:ascii="宋体" w:hAnsi="宋体" w:eastAsia="宋体"/>
                <w:sz w:val="16"/>
              </w:rPr>
              <w:t>打造县乡两级法律援助窗口个数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EDF2E">
            <w:pPr>
              <w:jc w:val="center"/>
            </w:pPr>
            <w:r>
              <w:rPr>
                <w:rFonts w:ascii="宋体" w:hAnsi="宋体" w:eastAsia="宋体"/>
                <w:sz w:val="16"/>
              </w:rPr>
              <w:t>&gt;=15个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5A5C8">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D52BE">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050C7">
            <w:pPr>
              <w:jc w:val="center"/>
            </w:pPr>
            <w:r>
              <w:rPr>
                <w:rFonts w:ascii="宋体" w:hAnsi="宋体" w:eastAsia="宋体"/>
                <w:sz w:val="16"/>
              </w:rPr>
              <w:t>15个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E741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922CC">
            <w:pPr>
              <w:jc w:val="center"/>
            </w:pPr>
            <w:r>
              <w:rPr>
                <w:rFonts w:ascii="宋体" w:hAnsi="宋体" w:eastAsia="宋体"/>
                <w:sz w:val="16"/>
              </w:rPr>
              <w:t>13</w:t>
            </w:r>
          </w:p>
        </w:tc>
      </w:tr>
      <w:tr w14:paraId="5B92FB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7527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7FAC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A291C">
            <w:pPr>
              <w:jc w:val="center"/>
            </w:pPr>
            <w:r>
              <w:rPr>
                <w:rFonts w:ascii="宋体" w:hAnsi="宋体" w:eastAsia="宋体"/>
                <w:sz w:val="16"/>
              </w:rPr>
              <w:t>组织“情暖老兵”公益活动次数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8DFCA">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03B49">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0E7F5">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DC575">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683E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B5F3C">
            <w:pPr>
              <w:jc w:val="center"/>
            </w:pPr>
            <w:r>
              <w:rPr>
                <w:rFonts w:ascii="宋体" w:hAnsi="宋体" w:eastAsia="宋体"/>
                <w:sz w:val="16"/>
              </w:rPr>
              <w:t>13</w:t>
            </w:r>
          </w:p>
        </w:tc>
      </w:tr>
      <w:tr w14:paraId="72AE86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2E78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0E68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3BAB1">
            <w:pPr>
              <w:jc w:val="center"/>
            </w:pPr>
            <w:r>
              <w:rPr>
                <w:rFonts w:ascii="宋体" w:hAnsi="宋体" w:eastAsia="宋体"/>
                <w:sz w:val="16"/>
              </w:rPr>
              <w:t>组织</w:t>
            </w:r>
            <w:r>
              <w:rPr>
                <w:rFonts w:hint="eastAsia" w:ascii="宋体" w:hAnsi="宋体"/>
                <w:sz w:val="16"/>
                <w:lang w:eastAsia="zh-CN"/>
              </w:rPr>
              <w:t>“</w:t>
            </w:r>
            <w:r>
              <w:rPr>
                <w:rFonts w:ascii="宋体" w:hAnsi="宋体" w:eastAsia="宋体"/>
                <w:sz w:val="16"/>
              </w:rPr>
              <w:t>老兵宣讲</w:t>
            </w:r>
            <w:r>
              <w:rPr>
                <w:rFonts w:hint="eastAsia" w:ascii="宋体" w:hAnsi="宋体"/>
                <w:sz w:val="16"/>
                <w:lang w:eastAsia="zh-CN"/>
              </w:rPr>
              <w:t>”</w:t>
            </w:r>
            <w:r>
              <w:rPr>
                <w:rFonts w:ascii="宋体" w:hAnsi="宋体" w:eastAsia="宋体"/>
                <w:sz w:val="16"/>
              </w:rPr>
              <w:t>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0D769">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48C68">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A60AE">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7D0B7">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6CBD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B2D0B">
            <w:pPr>
              <w:jc w:val="center"/>
            </w:pPr>
            <w:r>
              <w:rPr>
                <w:rFonts w:ascii="宋体" w:hAnsi="宋体" w:eastAsia="宋体"/>
                <w:sz w:val="16"/>
              </w:rPr>
              <w:t>13</w:t>
            </w:r>
          </w:p>
        </w:tc>
      </w:tr>
      <w:tr w14:paraId="39729F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40410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6790F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78230">
            <w:pPr>
              <w:jc w:val="center"/>
            </w:pPr>
            <w:r>
              <w:rPr>
                <w:rFonts w:ascii="宋体" w:hAnsi="宋体" w:eastAsia="宋体"/>
                <w:sz w:val="16"/>
              </w:rPr>
              <w:t>慰问立功受奖现役军人家属</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CC205">
            <w:pPr>
              <w:jc w:val="center"/>
            </w:pPr>
            <w:r>
              <w:rPr>
                <w:rFonts w:ascii="宋体" w:hAnsi="宋体" w:eastAsia="宋体"/>
                <w:sz w:val="16"/>
              </w:rPr>
              <w:t>&gt;=5家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B9DDB">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DA4C4">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7B25F">
            <w:pPr>
              <w:jc w:val="center"/>
            </w:pPr>
            <w:r>
              <w:rPr>
                <w:rFonts w:ascii="宋体" w:hAnsi="宋体" w:eastAsia="宋体"/>
                <w:sz w:val="16"/>
              </w:rPr>
              <w:t>5家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86B6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8289A">
            <w:pPr>
              <w:jc w:val="center"/>
            </w:pPr>
            <w:r>
              <w:rPr>
                <w:rFonts w:ascii="宋体" w:hAnsi="宋体" w:eastAsia="宋体"/>
                <w:sz w:val="16"/>
              </w:rPr>
              <w:t>13</w:t>
            </w:r>
          </w:p>
        </w:tc>
      </w:tr>
      <w:tr w14:paraId="7663E0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F9E7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D194D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8E828">
            <w:pPr>
              <w:jc w:val="center"/>
            </w:pPr>
            <w:r>
              <w:rPr>
                <w:rFonts w:ascii="宋体" w:hAnsi="宋体" w:eastAsia="宋体"/>
                <w:sz w:val="16"/>
              </w:rPr>
              <w:t>组织“缅怀先烈”系列活动次数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C8F55">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A37EA">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659D3">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8D172">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08AD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75521">
            <w:pPr>
              <w:jc w:val="center"/>
            </w:pPr>
            <w:r>
              <w:rPr>
                <w:rFonts w:ascii="宋体" w:hAnsi="宋体" w:eastAsia="宋体"/>
                <w:sz w:val="16"/>
              </w:rPr>
              <w:t>13</w:t>
            </w:r>
          </w:p>
        </w:tc>
      </w:tr>
      <w:tr w14:paraId="1D5A68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073A0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73C8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57695">
            <w:pPr>
              <w:jc w:val="center"/>
            </w:pPr>
            <w:r>
              <w:rPr>
                <w:rFonts w:ascii="宋体" w:hAnsi="宋体" w:eastAsia="宋体"/>
                <w:sz w:val="16"/>
              </w:rPr>
              <w:t>组织开展退役军人定向招聘会次数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41401">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6C355">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608EC">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A546C">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01EF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E1CD6">
            <w:pPr>
              <w:jc w:val="center"/>
            </w:pPr>
            <w:r>
              <w:rPr>
                <w:rFonts w:ascii="宋体" w:hAnsi="宋体" w:eastAsia="宋体"/>
                <w:sz w:val="16"/>
              </w:rPr>
              <w:t>12</w:t>
            </w:r>
          </w:p>
        </w:tc>
      </w:tr>
    </w:tbl>
    <w:p w14:paraId="5AC33C59">
      <w:r>
        <w:br w:type="page"/>
      </w:r>
    </w:p>
    <w:p w14:paraId="2CC6B91D">
      <w:pPr>
        <w:spacing w:line="640" w:lineRule="exact"/>
        <w:ind w:firstLine="640"/>
        <w:jc w:val="both"/>
        <w:outlineLvl w:val="2"/>
      </w:pPr>
      <w:r>
        <w:rPr>
          <w:rFonts w:ascii="黑体" w:hAnsi="黑体" w:eastAsia="黑体"/>
          <w:sz w:val="32"/>
        </w:rPr>
        <w:t>十二、其他需说明的事项</w:t>
      </w:r>
    </w:p>
    <w:p w14:paraId="35F0AAA6">
      <w:pPr>
        <w:spacing w:line="580" w:lineRule="exact"/>
        <w:ind w:firstLine="640"/>
        <w:jc w:val="both"/>
      </w:pPr>
      <w:r>
        <w:rPr>
          <w:rFonts w:ascii="仿宋_GB2312" w:hAnsi="仿宋_GB2312" w:eastAsia="仿宋_GB2312"/>
          <w:b w:val="0"/>
          <w:sz w:val="32"/>
        </w:rPr>
        <w:t>本年本单位SM项目20个，全年预算数3</w:t>
      </w:r>
      <w:r>
        <w:rPr>
          <w:rFonts w:hint="eastAsia" w:ascii="仿宋_GB2312" w:hAnsi="仿宋_GB2312" w:eastAsia="仿宋_GB2312"/>
          <w:b w:val="0"/>
          <w:sz w:val="32"/>
          <w:lang w:val="en-US" w:eastAsia="zh-CN"/>
        </w:rPr>
        <w:t>,</w:t>
      </w:r>
      <w:r>
        <w:rPr>
          <w:rFonts w:ascii="仿宋_GB2312" w:hAnsi="仿宋_GB2312" w:eastAsia="仿宋_GB2312"/>
          <w:b w:val="0"/>
          <w:sz w:val="32"/>
        </w:rPr>
        <w:t>106.77万元，全年执行数2</w:t>
      </w:r>
      <w:r>
        <w:rPr>
          <w:rFonts w:hint="eastAsia" w:ascii="仿宋_GB2312" w:hAnsi="仿宋_GB2312" w:eastAsia="仿宋_GB2312"/>
          <w:b w:val="0"/>
          <w:sz w:val="32"/>
          <w:lang w:val="en-US" w:eastAsia="zh-CN"/>
        </w:rPr>
        <w:t>,</w:t>
      </w:r>
      <w:r>
        <w:rPr>
          <w:rFonts w:ascii="仿宋_GB2312" w:hAnsi="仿宋_GB2312" w:eastAsia="仿宋_GB2312"/>
          <w:b w:val="0"/>
          <w:sz w:val="32"/>
        </w:rPr>
        <w:t>728.85万元。</w:t>
      </w:r>
    </w:p>
    <w:p w14:paraId="6B23E5E2">
      <w:r>
        <w:br w:type="page"/>
      </w:r>
    </w:p>
    <w:p w14:paraId="52428D59">
      <w:pPr>
        <w:spacing w:line="240" w:lineRule="auto"/>
        <w:jc w:val="center"/>
        <w:outlineLvl w:val="1"/>
      </w:pPr>
      <w:r>
        <w:rPr>
          <w:rFonts w:ascii="黑体" w:hAnsi="黑体" w:eastAsia="黑体"/>
          <w:sz w:val="32"/>
        </w:rPr>
        <w:t>第三部分 专业名词解释</w:t>
      </w:r>
    </w:p>
    <w:p w14:paraId="37B416C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0497C3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0E201C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436E7F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B6CE57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BAAC58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4350A9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C05123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92743F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28A81D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B7DEBF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002F81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8363BC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6FC62C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41C6ADC">
      <w:r>
        <w:br w:type="page"/>
      </w:r>
    </w:p>
    <w:p w14:paraId="392671AF">
      <w:pPr>
        <w:spacing w:line="240" w:lineRule="auto"/>
        <w:jc w:val="center"/>
        <w:outlineLvl w:val="1"/>
      </w:pPr>
      <w:r>
        <w:rPr>
          <w:rFonts w:ascii="黑体" w:hAnsi="黑体" w:eastAsia="黑体"/>
          <w:sz w:val="32"/>
        </w:rPr>
        <w:t>第四部分 部门决算报表（见附表）</w:t>
      </w:r>
    </w:p>
    <w:p w14:paraId="336F9FF2">
      <w:pPr>
        <w:spacing w:line="240" w:lineRule="auto"/>
        <w:ind w:firstLine="640"/>
        <w:jc w:val="both"/>
      </w:pPr>
      <w:r>
        <w:rPr>
          <w:rFonts w:ascii="仿宋_GB2312" w:hAnsi="仿宋_GB2312" w:eastAsia="仿宋_GB2312"/>
          <w:b w:val="0"/>
          <w:sz w:val="32"/>
        </w:rPr>
        <w:t>一、《收入支出决算总表》</w:t>
      </w:r>
    </w:p>
    <w:p w14:paraId="2BC5161C">
      <w:pPr>
        <w:spacing w:line="240" w:lineRule="auto"/>
        <w:ind w:firstLine="640"/>
        <w:jc w:val="both"/>
      </w:pPr>
      <w:r>
        <w:rPr>
          <w:rFonts w:ascii="仿宋_GB2312" w:hAnsi="仿宋_GB2312" w:eastAsia="仿宋_GB2312"/>
          <w:b w:val="0"/>
          <w:sz w:val="32"/>
        </w:rPr>
        <w:t>二、《收入决算表》</w:t>
      </w:r>
    </w:p>
    <w:p w14:paraId="4B78FE63">
      <w:pPr>
        <w:spacing w:line="240" w:lineRule="auto"/>
        <w:ind w:firstLine="640"/>
        <w:jc w:val="both"/>
      </w:pPr>
      <w:r>
        <w:rPr>
          <w:rFonts w:ascii="仿宋_GB2312" w:hAnsi="仿宋_GB2312" w:eastAsia="仿宋_GB2312"/>
          <w:b w:val="0"/>
          <w:sz w:val="32"/>
        </w:rPr>
        <w:t>三、《支出决算表》</w:t>
      </w:r>
    </w:p>
    <w:p w14:paraId="20F588A8">
      <w:pPr>
        <w:spacing w:line="240" w:lineRule="auto"/>
        <w:ind w:firstLine="640"/>
        <w:jc w:val="both"/>
      </w:pPr>
      <w:r>
        <w:rPr>
          <w:rFonts w:ascii="仿宋_GB2312" w:hAnsi="仿宋_GB2312" w:eastAsia="仿宋_GB2312"/>
          <w:b w:val="0"/>
          <w:sz w:val="32"/>
        </w:rPr>
        <w:t>四、《财政拨款收入支出决算总表》</w:t>
      </w:r>
    </w:p>
    <w:p w14:paraId="540FC6EE">
      <w:pPr>
        <w:spacing w:line="240" w:lineRule="auto"/>
        <w:ind w:firstLine="640"/>
        <w:jc w:val="both"/>
      </w:pPr>
      <w:r>
        <w:rPr>
          <w:rFonts w:ascii="仿宋_GB2312" w:hAnsi="仿宋_GB2312" w:eastAsia="仿宋_GB2312"/>
          <w:b w:val="0"/>
          <w:sz w:val="32"/>
        </w:rPr>
        <w:t>五、《一般公共预算财政拨款支出决算表》</w:t>
      </w:r>
    </w:p>
    <w:p w14:paraId="0074096C">
      <w:pPr>
        <w:spacing w:line="240" w:lineRule="auto"/>
        <w:ind w:firstLine="640"/>
        <w:jc w:val="both"/>
      </w:pPr>
      <w:r>
        <w:rPr>
          <w:rFonts w:ascii="仿宋_GB2312" w:hAnsi="仿宋_GB2312" w:eastAsia="仿宋_GB2312"/>
          <w:b w:val="0"/>
          <w:sz w:val="32"/>
        </w:rPr>
        <w:t>六、《一般公共预算财政拨款基本支出决算表》</w:t>
      </w:r>
    </w:p>
    <w:p w14:paraId="3F7C0F7E">
      <w:pPr>
        <w:spacing w:line="240" w:lineRule="auto"/>
        <w:ind w:firstLine="640"/>
        <w:jc w:val="both"/>
      </w:pPr>
      <w:r>
        <w:rPr>
          <w:rFonts w:ascii="仿宋_GB2312" w:hAnsi="仿宋_GB2312" w:eastAsia="仿宋_GB2312"/>
          <w:b w:val="0"/>
          <w:sz w:val="32"/>
        </w:rPr>
        <w:t>七、《政府性基金预算财政拨款收入支出决算表》</w:t>
      </w:r>
    </w:p>
    <w:p w14:paraId="15F5EBED">
      <w:pPr>
        <w:spacing w:line="240" w:lineRule="auto"/>
        <w:ind w:firstLine="640"/>
        <w:jc w:val="both"/>
      </w:pPr>
      <w:r>
        <w:rPr>
          <w:rFonts w:ascii="仿宋_GB2312" w:hAnsi="仿宋_GB2312" w:eastAsia="仿宋_GB2312"/>
          <w:b w:val="0"/>
          <w:sz w:val="32"/>
        </w:rPr>
        <w:t>八、《国有资本经营预算财政拨款收入支出决算表》</w:t>
      </w:r>
    </w:p>
    <w:p w14:paraId="52625A2F">
      <w:pPr>
        <w:spacing w:line="240" w:lineRule="auto"/>
        <w:ind w:firstLine="640"/>
        <w:jc w:val="both"/>
      </w:pPr>
      <w:r>
        <w:rPr>
          <w:rFonts w:ascii="仿宋_GB2312" w:hAnsi="仿宋_GB2312" w:eastAsia="仿宋_GB2312"/>
          <w:b w:val="0"/>
          <w:sz w:val="32"/>
        </w:rPr>
        <w:t>九、《财政拨款“三公”经费支出决算表》</w:t>
      </w:r>
    </w:p>
    <w:p w14:paraId="2E12573A">
      <w:pPr>
        <w:spacing w:line="240" w:lineRule="auto"/>
        <w:ind w:firstLine="640"/>
        <w:jc w:val="both"/>
      </w:pPr>
    </w:p>
    <w:p w14:paraId="753EB3D7">
      <w:pPr>
        <w:spacing w:line="240" w:lineRule="auto"/>
        <w:ind w:firstLine="640"/>
        <w:jc w:val="both"/>
      </w:pPr>
    </w:p>
    <w:p w14:paraId="62808483">
      <w:pPr>
        <w:spacing w:line="240" w:lineRule="auto"/>
        <w:ind w:firstLine="640"/>
        <w:jc w:val="both"/>
      </w:pPr>
    </w:p>
    <w:p w14:paraId="56F023B1">
      <w:pPr>
        <w:spacing w:line="240" w:lineRule="auto"/>
        <w:ind w:firstLine="640"/>
        <w:jc w:val="both"/>
      </w:pPr>
    </w:p>
    <w:p w14:paraId="57E6739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333969"/>
    <w:rsid w:val="3EA7725F"/>
    <w:rsid w:val="3EC014A1"/>
    <w:rsid w:val="40834692"/>
    <w:rsid w:val="423A32B2"/>
    <w:rsid w:val="423C0CB4"/>
    <w:rsid w:val="427B5743"/>
    <w:rsid w:val="42E64542"/>
    <w:rsid w:val="436C7F70"/>
    <w:rsid w:val="464B7E04"/>
    <w:rsid w:val="464F7E64"/>
    <w:rsid w:val="46901EEE"/>
    <w:rsid w:val="469C74D2"/>
    <w:rsid w:val="47445515"/>
    <w:rsid w:val="4AEB34ED"/>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6705</Words>
  <Characters>7770</Characters>
  <Lines>0</Lines>
  <Paragraphs>0</Paragraphs>
  <TotalTime>55</TotalTime>
  <ScaleCrop>false</ScaleCrop>
  <LinksUpToDate>false</LinksUpToDate>
  <CharactersWithSpaces>7779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2025-09-26T10:12:08Z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