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疏勒县阿拉力乡卫生院2024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DB980D">
      <w:r>
        <w:br w:type="page"/>
      </w:r>
    </w:p>
    <w:p w14:paraId="23978C8D">
      <w:pPr>
        <w:spacing w:line="640" w:lineRule="exact"/>
        <w:jc w:val="center"/>
        <w:outlineLvl w:val="1"/>
      </w:pPr>
      <w:r>
        <w:rPr>
          <w:rFonts w:ascii="黑体" w:hAnsi="黑体" w:eastAsia="黑体"/>
          <w:sz w:val="32"/>
        </w:rPr>
        <w:t>第一部分 单位概况</w:t>
      </w:r>
    </w:p>
    <w:p w14:paraId="374824D9">
      <w:pPr>
        <w:spacing w:line="640" w:lineRule="exact"/>
        <w:ind w:firstLine="640"/>
        <w:jc w:val="both"/>
        <w:outlineLvl w:val="2"/>
      </w:pPr>
      <w:r>
        <w:rPr>
          <w:rFonts w:ascii="黑体" w:hAnsi="黑体" w:eastAsia="黑体"/>
          <w:sz w:val="32"/>
        </w:rPr>
        <w:t>一、主要职能</w:t>
      </w:r>
    </w:p>
    <w:p w14:paraId="0F989661">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68516A63">
      <w:pPr>
        <w:spacing w:line="580" w:lineRule="exact"/>
        <w:ind w:firstLine="640"/>
        <w:jc w:val="both"/>
      </w:pPr>
      <w:r>
        <w:rPr>
          <w:rFonts w:ascii="仿宋_GB2312" w:hAnsi="仿宋_GB2312" w:eastAsia="仿宋_GB2312"/>
          <w:sz w:val="32"/>
        </w:rPr>
        <w:t>2、加强农村疾病预防控制，做好传染病、地方病和</w:t>
      </w:r>
      <w:r>
        <w:rPr>
          <w:rFonts w:hint="eastAsia" w:ascii="仿宋_GB2312" w:hAnsi="仿宋_GB2312" w:eastAsia="仿宋_GB2312"/>
          <w:sz w:val="32"/>
          <w:lang w:eastAsia="zh-CN"/>
        </w:rPr>
        <w:t>防疫</w:t>
      </w:r>
      <w:r>
        <w:rPr>
          <w:rFonts w:ascii="仿宋_GB2312" w:hAnsi="仿宋_GB2312" w:eastAsia="仿宋_GB2312"/>
          <w:sz w:val="32"/>
        </w:rPr>
        <w:t>等农村突发公共卫生事件报告工作，重点控制严重危害农民身体健康的传染病、地方病、职业病和寄生虫病等重大疾病。</w:t>
      </w:r>
    </w:p>
    <w:p w14:paraId="48DEFF65">
      <w:pPr>
        <w:spacing w:line="580" w:lineRule="exact"/>
        <w:ind w:firstLine="640"/>
        <w:jc w:val="both"/>
      </w:pPr>
      <w:r>
        <w:rPr>
          <w:rFonts w:ascii="仿宋_GB2312" w:hAnsi="仿宋_GB2312" w:eastAsia="仿宋_GB2312"/>
          <w:sz w:val="32"/>
        </w:rPr>
        <w:t>3、认真执行儿童计划免疫。积极开展慢性非传染性疾病的工作。</w:t>
      </w:r>
    </w:p>
    <w:p w14:paraId="63F008F3">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51F7C80D">
      <w:pPr>
        <w:spacing w:line="580" w:lineRule="exact"/>
        <w:ind w:firstLine="640"/>
        <w:jc w:val="both"/>
      </w:pPr>
      <w:r>
        <w:rPr>
          <w:rFonts w:ascii="仿宋_GB2312" w:hAnsi="仿宋_GB2312" w:eastAsia="仿宋_GB2312"/>
          <w:sz w:val="32"/>
        </w:rPr>
        <w:t>5、积极做好新型农村合作医疗的服务、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38154EB8">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1CF75F1E">
      <w:pPr>
        <w:spacing w:line="640" w:lineRule="exact"/>
        <w:ind w:firstLine="640"/>
        <w:jc w:val="both"/>
        <w:outlineLvl w:val="2"/>
      </w:pPr>
      <w:r>
        <w:rPr>
          <w:rFonts w:ascii="黑体" w:hAnsi="黑体" w:eastAsia="黑体"/>
          <w:sz w:val="32"/>
        </w:rPr>
        <w:t>二、机构设置及人员情况</w:t>
      </w:r>
    </w:p>
    <w:p w14:paraId="01DA0EC8">
      <w:pPr>
        <w:spacing w:line="580" w:lineRule="exact"/>
        <w:ind w:firstLine="640"/>
        <w:jc w:val="both"/>
      </w:pPr>
      <w:r>
        <w:rPr>
          <w:rFonts w:ascii="仿宋_GB2312" w:hAnsi="仿宋_GB2312" w:eastAsia="仿宋_GB2312"/>
          <w:sz w:val="32"/>
        </w:rPr>
        <w:t>疏勒县阿拉力乡卫生院2024年度，实有人数30人，其中：在职人员27人，增加1人；离休人员0人，增加0人；退休人员3人,增加0人。</w:t>
      </w:r>
    </w:p>
    <w:p w14:paraId="0B19327C">
      <w:pPr>
        <w:spacing w:line="580" w:lineRule="exact"/>
        <w:ind w:firstLine="640"/>
        <w:jc w:val="both"/>
      </w:pPr>
      <w:r>
        <w:rPr>
          <w:rFonts w:ascii="仿宋_GB2312" w:hAnsi="仿宋_GB2312" w:eastAsia="仿宋_GB2312"/>
          <w:sz w:val="32"/>
        </w:rPr>
        <w:t>疏勒县阿拉力乡卫生院无下属预算单位，下设12个科室，分别是：门诊部、病房、财务室、医保办、化验室、妇幼办公室、防疫办公室、公共卫生管理办公室、中医服务办公室、X光室、B超室、体检中心。</w:t>
      </w:r>
    </w:p>
    <w:p w14:paraId="26005524">
      <w:r>
        <w:br w:type="page"/>
      </w:r>
    </w:p>
    <w:p w14:paraId="22BF1DE8">
      <w:pPr>
        <w:spacing w:line="240" w:lineRule="auto"/>
        <w:jc w:val="center"/>
        <w:outlineLvl w:val="1"/>
      </w:pPr>
      <w:r>
        <w:rPr>
          <w:rFonts w:ascii="黑体" w:hAnsi="黑体" w:eastAsia="黑体"/>
          <w:sz w:val="32"/>
        </w:rPr>
        <w:t>第二部分 部门决算情况说明</w:t>
      </w:r>
    </w:p>
    <w:p w14:paraId="350DFBA4">
      <w:pPr>
        <w:spacing w:line="640" w:lineRule="exact"/>
        <w:ind w:firstLine="640"/>
        <w:jc w:val="both"/>
        <w:outlineLvl w:val="2"/>
      </w:pPr>
      <w:r>
        <w:rPr>
          <w:rFonts w:ascii="黑体" w:hAnsi="黑体" w:eastAsia="黑体"/>
          <w:sz w:val="32"/>
        </w:rPr>
        <w:t>一、收入支出决算总体情况说明</w:t>
      </w:r>
    </w:p>
    <w:p w14:paraId="002C686B">
      <w:pPr>
        <w:spacing w:line="580" w:lineRule="exact"/>
        <w:ind w:firstLine="640"/>
        <w:jc w:val="both"/>
      </w:pPr>
      <w:r>
        <w:rPr>
          <w:rFonts w:ascii="仿宋_GB2312" w:hAnsi="仿宋_GB2312" w:eastAsia="仿宋_GB2312"/>
          <w:b/>
          <w:sz w:val="32"/>
        </w:rPr>
        <w:t>2024年度收入总计981.25万元，</w:t>
      </w:r>
      <w:r>
        <w:rPr>
          <w:rFonts w:ascii="仿宋_GB2312" w:hAnsi="仿宋_GB2312" w:eastAsia="仿宋_GB2312"/>
          <w:b w:val="0"/>
          <w:sz w:val="32"/>
        </w:rPr>
        <w:t>其中：本年收入合计981.25万元，使用非财政拨款结余（含专用结余）0.00万元，年初结转和结余0.00万元。</w:t>
      </w:r>
    </w:p>
    <w:p w14:paraId="2CE4EBFF">
      <w:pPr>
        <w:spacing w:line="580" w:lineRule="exact"/>
        <w:ind w:firstLine="640"/>
        <w:jc w:val="both"/>
      </w:pPr>
      <w:r>
        <w:rPr>
          <w:rFonts w:ascii="仿宋_GB2312" w:hAnsi="仿宋_GB2312" w:eastAsia="仿宋_GB2312"/>
          <w:b/>
          <w:sz w:val="32"/>
        </w:rPr>
        <w:t>2024年度支出总计981.25万元，</w:t>
      </w:r>
      <w:r>
        <w:rPr>
          <w:rFonts w:ascii="仿宋_GB2312" w:hAnsi="仿宋_GB2312" w:eastAsia="仿宋_GB2312"/>
          <w:b w:val="0"/>
          <w:sz w:val="32"/>
        </w:rPr>
        <w:t>其中：本年支出合计981.25万元，结余分配0.00万元，年末结转和结余0.00万元。</w:t>
      </w:r>
    </w:p>
    <w:p w14:paraId="5D7499D5">
      <w:pPr>
        <w:spacing w:line="580" w:lineRule="exact"/>
        <w:ind w:firstLine="640"/>
        <w:jc w:val="both"/>
      </w:pPr>
      <w:r>
        <w:rPr>
          <w:rFonts w:ascii="仿宋_GB2312" w:hAnsi="仿宋_GB2312" w:eastAsia="仿宋_GB2312"/>
          <w:b w:val="0"/>
          <w:sz w:val="32"/>
        </w:rPr>
        <w:t>收入支出总体与上年相比，减少129.47万元，下降11.66%，主要原因是：本年住院人数减少，医疗收入支出较上年减少，基本药物制度补助项目、自治区地方公共卫生项目经费等项目经费较上年减少、减少疏勒县突发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应急项目，导致经费较上年减少。</w:t>
      </w:r>
    </w:p>
    <w:p w14:paraId="5693FD17">
      <w:pPr>
        <w:spacing w:line="640" w:lineRule="exact"/>
        <w:ind w:firstLine="640"/>
        <w:jc w:val="both"/>
        <w:outlineLvl w:val="2"/>
      </w:pPr>
      <w:r>
        <w:rPr>
          <w:rFonts w:ascii="黑体" w:hAnsi="黑体" w:eastAsia="黑体"/>
          <w:sz w:val="32"/>
        </w:rPr>
        <w:t>二、收入决算情况说明</w:t>
      </w:r>
    </w:p>
    <w:p w14:paraId="2D6A188B">
      <w:pPr>
        <w:spacing w:line="580" w:lineRule="exact"/>
        <w:ind w:firstLine="640"/>
        <w:jc w:val="both"/>
      </w:pPr>
      <w:r>
        <w:rPr>
          <w:rFonts w:ascii="仿宋_GB2312" w:hAnsi="仿宋_GB2312" w:eastAsia="仿宋_GB2312"/>
          <w:b/>
          <w:sz w:val="32"/>
        </w:rPr>
        <w:t>本年收入981.25万元，</w:t>
      </w:r>
      <w:r>
        <w:rPr>
          <w:rFonts w:ascii="仿宋_GB2312" w:hAnsi="仿宋_GB2312" w:eastAsia="仿宋_GB2312"/>
          <w:b w:val="0"/>
          <w:sz w:val="32"/>
        </w:rPr>
        <w:t>其中：财政拨款收入641.70万元，占65.40%；上级补助收入0.00万元，占0.00%；事业收入339.56万元，占34.60%；经营收入0.00万元，占0.00%；附属单位上缴收入0.00万元，占0.00%；其他收入0.00万元，占0.00%。</w:t>
      </w:r>
    </w:p>
    <w:p w14:paraId="67B5D77A">
      <w:pPr>
        <w:spacing w:line="640" w:lineRule="exact"/>
        <w:ind w:firstLine="640"/>
        <w:jc w:val="both"/>
        <w:outlineLvl w:val="2"/>
      </w:pPr>
      <w:r>
        <w:rPr>
          <w:rFonts w:ascii="黑体" w:hAnsi="黑体" w:eastAsia="黑体"/>
          <w:sz w:val="32"/>
        </w:rPr>
        <w:t>三、支出决算情况说明</w:t>
      </w:r>
    </w:p>
    <w:p w14:paraId="74476D13">
      <w:pPr>
        <w:spacing w:line="580" w:lineRule="exact"/>
        <w:ind w:firstLine="640"/>
        <w:jc w:val="both"/>
      </w:pPr>
      <w:r>
        <w:rPr>
          <w:rFonts w:ascii="仿宋_GB2312" w:hAnsi="仿宋_GB2312" w:eastAsia="仿宋_GB2312"/>
          <w:b/>
          <w:sz w:val="32"/>
        </w:rPr>
        <w:t>本年支出981.25万元，</w:t>
      </w:r>
      <w:r>
        <w:rPr>
          <w:rFonts w:ascii="仿宋_GB2312" w:hAnsi="仿宋_GB2312" w:eastAsia="仿宋_GB2312"/>
          <w:b w:val="0"/>
          <w:sz w:val="32"/>
        </w:rPr>
        <w:t>其中：基本支出775.12万元，占78.99%；项目支出206.13万元，占21.01%；上缴上级支出0.00万元，占0.00%；经营支出0.00万元，占0.00%；对附属单位补助支出0.00万元，占0.00%。</w:t>
      </w:r>
    </w:p>
    <w:p w14:paraId="1CC872DD">
      <w:pPr>
        <w:spacing w:line="640" w:lineRule="exact"/>
        <w:ind w:firstLine="640"/>
        <w:jc w:val="both"/>
        <w:outlineLvl w:val="2"/>
      </w:pPr>
      <w:r>
        <w:rPr>
          <w:rFonts w:ascii="黑体" w:hAnsi="黑体" w:eastAsia="黑体"/>
          <w:sz w:val="32"/>
        </w:rPr>
        <w:t>四、财政拨款收入支出决算总体情况说明</w:t>
      </w:r>
    </w:p>
    <w:p w14:paraId="26CAC248">
      <w:pPr>
        <w:spacing w:line="580" w:lineRule="exact"/>
        <w:ind w:firstLine="640"/>
        <w:jc w:val="both"/>
      </w:pPr>
      <w:r>
        <w:rPr>
          <w:rFonts w:ascii="仿宋_GB2312" w:hAnsi="仿宋_GB2312" w:eastAsia="仿宋_GB2312"/>
          <w:b/>
          <w:sz w:val="32"/>
        </w:rPr>
        <w:t>2024年度财政拨款收入总计641.70万元，</w:t>
      </w:r>
      <w:r>
        <w:rPr>
          <w:rFonts w:ascii="仿宋_GB2312" w:hAnsi="仿宋_GB2312" w:eastAsia="仿宋_GB2312"/>
          <w:b w:val="0"/>
          <w:sz w:val="32"/>
        </w:rPr>
        <w:t>其中：年初财政拨款结转和结余0.00万元，本年财政拨款收入641.70万元。</w:t>
      </w:r>
      <w:r>
        <w:rPr>
          <w:rFonts w:ascii="仿宋_GB2312" w:hAnsi="仿宋_GB2312" w:eastAsia="仿宋_GB2312"/>
          <w:b/>
          <w:sz w:val="32"/>
        </w:rPr>
        <w:t>财政拨款支出总计641.70万元，</w:t>
      </w:r>
      <w:r>
        <w:rPr>
          <w:rFonts w:ascii="仿宋_GB2312" w:hAnsi="仿宋_GB2312" w:eastAsia="仿宋_GB2312"/>
          <w:b w:val="0"/>
          <w:sz w:val="32"/>
        </w:rPr>
        <w:t>其中：年末财政拨款结转和结余0.00万元，本年财政拨款支出641.70万元。</w:t>
      </w:r>
    </w:p>
    <w:p w14:paraId="747012A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减少13.55万元，下降2.07%，主要原因是：本年基本药物制度补助项目、自治区地方公共卫生项目经费等项目经费较上年减少、减少疏勒县突发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年初预算数625.12万元，决算数641.70万元，预决算差异率2.65%，主要原因是：年中追加人员工资、社保、公积金基数调增部分资金，导致预决算存在差异。</w:t>
      </w:r>
    </w:p>
    <w:p w14:paraId="43438C7E">
      <w:pPr>
        <w:spacing w:line="640" w:lineRule="exact"/>
        <w:ind w:firstLine="640"/>
        <w:jc w:val="both"/>
        <w:outlineLvl w:val="2"/>
      </w:pPr>
      <w:r>
        <w:rPr>
          <w:rFonts w:ascii="黑体" w:hAnsi="黑体" w:eastAsia="黑体"/>
          <w:sz w:val="32"/>
        </w:rPr>
        <w:t>五、一般公共预算财政拨款支出决算情况说明</w:t>
      </w:r>
    </w:p>
    <w:p w14:paraId="26B7B1F6">
      <w:pPr>
        <w:spacing w:line="640" w:lineRule="exact"/>
        <w:ind w:firstLine="640"/>
        <w:jc w:val="both"/>
        <w:outlineLvl w:val="3"/>
      </w:pPr>
      <w:r>
        <w:rPr>
          <w:rFonts w:ascii="楷体_GB2312" w:hAnsi="楷体_GB2312" w:eastAsia="楷体_GB2312"/>
          <w:b/>
          <w:sz w:val="32"/>
        </w:rPr>
        <w:t>（一）一般公共预算财政拨款支出决算总体情况</w:t>
      </w:r>
    </w:p>
    <w:p w14:paraId="5CE556E7">
      <w:pPr>
        <w:spacing w:line="580" w:lineRule="exact"/>
        <w:ind w:firstLine="640"/>
        <w:jc w:val="both"/>
      </w:pPr>
      <w:r>
        <w:rPr>
          <w:rFonts w:ascii="仿宋_GB2312" w:hAnsi="仿宋_GB2312" w:eastAsia="仿宋_GB2312"/>
          <w:b/>
          <w:sz w:val="32"/>
        </w:rPr>
        <w:t>2024年度一般公共预算财政拨款支出641.19万元，</w:t>
      </w:r>
      <w:r>
        <w:rPr>
          <w:rFonts w:ascii="仿宋_GB2312" w:hAnsi="仿宋_GB2312" w:eastAsia="仿宋_GB2312"/>
          <w:b w:val="0"/>
          <w:sz w:val="32"/>
        </w:rPr>
        <w:t>占本年支出合计的65.34%。</w:t>
      </w:r>
      <w:r>
        <w:rPr>
          <w:rFonts w:ascii="仿宋_GB2312" w:hAnsi="仿宋_GB2312" w:eastAsia="仿宋_GB2312"/>
          <w:b/>
          <w:sz w:val="32"/>
        </w:rPr>
        <w:t>与上年相比，</w:t>
      </w:r>
      <w:r>
        <w:rPr>
          <w:rFonts w:ascii="仿宋_GB2312" w:hAnsi="仿宋_GB2312" w:eastAsia="仿宋_GB2312"/>
          <w:b w:val="0"/>
          <w:sz w:val="32"/>
        </w:rPr>
        <w:t>减少14.06万元，下降2.15%，主要原因是：本年基本药物制度补助项目、自治区地方公共卫生项目经费等项目经费较上年减少、减少疏勒县突发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年初预算数624.62万元，决算数641.19万元，预决算差异率2.65%，主要原因是：年中追加人员工资、社保、公积金基数调增部分资金，导致预决算存在差异。</w:t>
      </w:r>
    </w:p>
    <w:p w14:paraId="0EFDC16F">
      <w:pPr>
        <w:spacing w:line="640" w:lineRule="exact"/>
        <w:ind w:firstLine="640"/>
        <w:jc w:val="both"/>
        <w:outlineLvl w:val="3"/>
      </w:pPr>
      <w:r>
        <w:rPr>
          <w:rFonts w:ascii="楷体_GB2312" w:hAnsi="楷体_GB2312" w:eastAsia="楷体_GB2312"/>
          <w:b/>
          <w:sz w:val="32"/>
        </w:rPr>
        <w:t>（二）一般公共预算财政拨款支出决算结构情况</w:t>
      </w:r>
    </w:p>
    <w:p w14:paraId="3614D4B9">
      <w:pPr>
        <w:spacing w:line="580" w:lineRule="exact"/>
        <w:ind w:firstLine="640"/>
        <w:jc w:val="both"/>
      </w:pPr>
      <w:r>
        <w:rPr>
          <w:rFonts w:ascii="仿宋_GB2312" w:hAnsi="仿宋_GB2312" w:eastAsia="仿宋_GB2312"/>
          <w:b w:val="0"/>
          <w:sz w:val="32"/>
        </w:rPr>
        <w:t>1.社会保障和就业支出(类)46.25万元,占7.21%。</w:t>
      </w:r>
    </w:p>
    <w:p w14:paraId="7ABE001A">
      <w:pPr>
        <w:spacing w:line="580" w:lineRule="exact"/>
        <w:ind w:firstLine="640"/>
        <w:jc w:val="both"/>
      </w:pPr>
      <w:r>
        <w:rPr>
          <w:rFonts w:ascii="仿宋_GB2312" w:hAnsi="仿宋_GB2312" w:eastAsia="仿宋_GB2312"/>
          <w:b w:val="0"/>
          <w:sz w:val="32"/>
        </w:rPr>
        <w:t>2.卫生健康支出(类)560.17万元,占87.36%。</w:t>
      </w:r>
    </w:p>
    <w:p w14:paraId="2B1566BF">
      <w:pPr>
        <w:spacing w:line="580" w:lineRule="exact"/>
        <w:ind w:firstLine="640"/>
        <w:jc w:val="both"/>
      </w:pPr>
      <w:r>
        <w:rPr>
          <w:rFonts w:ascii="仿宋_GB2312" w:hAnsi="仿宋_GB2312" w:eastAsia="仿宋_GB2312"/>
          <w:b w:val="0"/>
          <w:sz w:val="32"/>
        </w:rPr>
        <w:t>3.住房保障支出(类)34.77万元,占5.42%。</w:t>
      </w:r>
    </w:p>
    <w:p w14:paraId="734BD9F3">
      <w:pPr>
        <w:spacing w:line="640" w:lineRule="exact"/>
        <w:ind w:firstLine="640"/>
        <w:jc w:val="both"/>
        <w:outlineLvl w:val="3"/>
      </w:pPr>
      <w:r>
        <w:rPr>
          <w:rFonts w:ascii="楷体_GB2312" w:hAnsi="楷体_GB2312" w:eastAsia="楷体_GB2312"/>
          <w:b/>
          <w:sz w:val="32"/>
        </w:rPr>
        <w:t>（三）一般公共预算财政拨款支出决算具体情况</w:t>
      </w:r>
    </w:p>
    <w:p w14:paraId="4459ADF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1.社会保障和就业支出(类)行政事业单位养老支出(款)事业单位离退休(项):支出决算数为3.56万元，比上年决算增加0.63万元，增长21.50%,主要原因是：本年退休人员基础绩效奖支出增加，事业单位离退休支出增加。</w:t>
      </w:r>
    </w:p>
    <w:p w14:paraId="550EB2E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42.69万元，比上年决算增加6.83万元，增长19.05%,主要原因是：本年在职人员工资基数调增，养老缴费基数上涨，相应支出增加。</w:t>
      </w:r>
    </w:p>
    <w:p w14:paraId="7C6EDA36">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3.卫生健康支出(类)卫生健康管理事务(款)其他卫生健康管理事务支出(项):支出决算数为14.69万元，比上年决算减少5.60万元，下降27.60%,主要原因是：本年疏勒县卫生健康人才培养补助项目较上年减少。</w:t>
      </w:r>
    </w:p>
    <w:p w14:paraId="6BAD4D68">
      <w:pPr>
        <w:spacing w:line="580" w:lineRule="exact"/>
        <w:ind w:firstLine="640"/>
        <w:jc w:val="both"/>
      </w:pPr>
      <w:r>
        <w:rPr>
          <w:rFonts w:ascii="仿宋_GB2312" w:hAnsi="仿宋_GB2312" w:eastAsia="仿宋_GB2312"/>
          <w:b w:val="0"/>
          <w:sz w:val="32"/>
        </w:rPr>
        <w:t>4.卫生健康支出(类)基层医疗卫生机构(款)乡镇卫生院(项):支出决算数为363.80万元，比上年决算增加34.39万元，增长10.44%,主要原因是：本年在职人员增加，人员工资基数调增，人员经费增加。</w:t>
      </w:r>
    </w:p>
    <w:p w14:paraId="4154CA8D">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12.16万元，比上年决算减少62.85万元，下降83.79%,主要原因是：本年减少基本药物制度补助项目、自治区地方公共卫生项目经费，相应支出减少。</w:t>
      </w:r>
    </w:p>
    <w:p w14:paraId="40A7A34C">
      <w:pPr>
        <w:spacing w:line="580" w:lineRule="exact"/>
        <w:ind w:firstLine="640"/>
        <w:jc w:val="both"/>
      </w:pPr>
      <w:r>
        <w:rPr>
          <w:rFonts w:ascii="仿宋_GB2312" w:hAnsi="仿宋_GB2312" w:eastAsia="仿宋_GB2312"/>
          <w:b w:val="0"/>
          <w:sz w:val="32"/>
        </w:rPr>
        <w:t>6.卫生健康支出(类)公共卫生(款)基本公共卫生服务(项):支出决算数为125.21万元，比上年决算增加24.15万元，增长23.90%,主要原因是：本年2024年基本公共卫生服务补助项目支出增加。</w:t>
      </w:r>
    </w:p>
    <w:p w14:paraId="117E3764">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7.卫生健康支出(类)公共卫生(款)突发公共卫生事件应急处理(项):支出决算数为0.00万元，比上年决算减少62.51万元，下降100.00%,主要原因是：本年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w:t>
      </w:r>
    </w:p>
    <w:p w14:paraId="09ADA0A8">
      <w:pPr>
        <w:spacing w:line="580" w:lineRule="exact"/>
        <w:ind w:firstLine="640"/>
        <w:jc w:val="both"/>
      </w:pPr>
      <w:r>
        <w:rPr>
          <w:rFonts w:ascii="仿宋_GB2312" w:hAnsi="仿宋_GB2312" w:eastAsia="仿宋_GB2312"/>
          <w:b w:val="0"/>
          <w:sz w:val="32"/>
        </w:rPr>
        <w:t>8.卫生健康支出(类)公共卫生(款)其他公共卫生支出(项):支出决算数为44.31万元，比上年决算增加44.31万元，增长100.00%,主要原因是：本年增加自治区公共卫生服务[地方公共卫生]补助项目。</w:t>
      </w:r>
    </w:p>
    <w:p w14:paraId="2DE6FE76">
      <w:pPr>
        <w:spacing w:line="580" w:lineRule="exact"/>
        <w:ind w:firstLine="640"/>
        <w:jc w:val="both"/>
      </w:pPr>
      <w:r>
        <w:rPr>
          <w:rFonts w:ascii="仿宋_GB2312" w:hAnsi="仿宋_GB2312" w:eastAsia="仿宋_GB2312"/>
          <w:b w:val="0"/>
          <w:sz w:val="32"/>
        </w:rPr>
        <w:t>9.卫生健康支出(类)计划生育事务(款)</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服务(项):支出决算数为0.00万元，比上年决算减少0.42万元，下降100.00%,主要原因是：本年减少疏勒县JHSY服务补助项目。</w:t>
      </w:r>
    </w:p>
    <w:p w14:paraId="4077B9A9">
      <w:pPr>
        <w:spacing w:line="580" w:lineRule="exact"/>
        <w:ind w:firstLine="640"/>
        <w:jc w:val="both"/>
      </w:pPr>
      <w:r>
        <w:rPr>
          <w:rFonts w:ascii="仿宋_GB2312" w:hAnsi="仿宋_GB2312" w:eastAsia="仿宋_GB2312"/>
          <w:b w:val="0"/>
          <w:sz w:val="32"/>
        </w:rPr>
        <w:t>10.住房保障支出(类)住房改革支出(款)住房公积金(项):支出决算数为34.77万元，比上年决算增加7.01万元，增长25.25%,主要原因是：本年在职人员增加，在职人员工资基数调增，公积金缴费基数上涨，相应支出增加。</w:t>
      </w:r>
    </w:p>
    <w:p w14:paraId="619E8E9D">
      <w:pPr>
        <w:spacing w:line="640" w:lineRule="exact"/>
        <w:ind w:firstLine="640"/>
        <w:jc w:val="both"/>
        <w:outlineLvl w:val="2"/>
      </w:pPr>
      <w:r>
        <w:rPr>
          <w:rFonts w:ascii="黑体" w:hAnsi="黑体" w:eastAsia="黑体"/>
          <w:sz w:val="32"/>
        </w:rPr>
        <w:t>六、一般公共预算财政拨款基本支出决算情况说明</w:t>
      </w:r>
    </w:p>
    <w:p w14:paraId="7C7D1E03">
      <w:pPr>
        <w:spacing w:line="580" w:lineRule="exact"/>
        <w:ind w:firstLine="640"/>
        <w:jc w:val="both"/>
      </w:pPr>
      <w:r>
        <w:rPr>
          <w:rFonts w:ascii="仿宋_GB2312" w:hAnsi="仿宋_GB2312" w:eastAsia="仿宋_GB2312"/>
          <w:b w:val="0"/>
          <w:sz w:val="32"/>
        </w:rPr>
        <w:t>2024年度一般公共预算财政拨款基本支出435.56万元，其中：</w:t>
      </w:r>
      <w:r>
        <w:rPr>
          <w:rFonts w:ascii="仿宋_GB2312" w:hAnsi="仿宋_GB2312" w:eastAsia="仿宋_GB2312"/>
          <w:b/>
          <w:sz w:val="32"/>
        </w:rPr>
        <w:t>人员经费435.56万元，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7F09BBB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2D7E5F2">
      <w:pPr>
        <w:spacing w:line="640" w:lineRule="exact"/>
        <w:ind w:firstLine="640"/>
        <w:jc w:val="both"/>
        <w:outlineLvl w:val="2"/>
      </w:pPr>
      <w:r>
        <w:rPr>
          <w:rFonts w:ascii="黑体" w:hAnsi="黑体" w:eastAsia="黑体"/>
          <w:sz w:val="32"/>
        </w:rPr>
        <w:t>七、政府性基金预算财政拨款收入支出决算情况说明</w:t>
      </w:r>
    </w:p>
    <w:p w14:paraId="32BE5092">
      <w:pPr>
        <w:spacing w:line="580" w:lineRule="exact"/>
        <w:ind w:firstLine="640"/>
        <w:jc w:val="both"/>
      </w:pPr>
      <w:r>
        <w:rPr>
          <w:rFonts w:ascii="仿宋_GB2312" w:hAnsi="仿宋_GB2312" w:eastAsia="仿宋_GB2312"/>
          <w:b/>
          <w:sz w:val="32"/>
        </w:rPr>
        <w:t>2024年度政府性基金预算财政拨款收入总计0.51万元，</w:t>
      </w:r>
      <w:r>
        <w:rPr>
          <w:rFonts w:ascii="仿宋_GB2312" w:hAnsi="仿宋_GB2312" w:eastAsia="仿宋_GB2312"/>
          <w:b w:val="0"/>
          <w:sz w:val="32"/>
        </w:rPr>
        <w:t>其中：年初结转和结余0.00万元，本年收入0.51万元。</w:t>
      </w:r>
      <w:r>
        <w:rPr>
          <w:rFonts w:ascii="仿宋_GB2312" w:hAnsi="仿宋_GB2312" w:eastAsia="仿宋_GB2312"/>
          <w:b/>
          <w:sz w:val="32"/>
        </w:rPr>
        <w:t>政府性基金预算财政拨款支出总计0.51万元，</w:t>
      </w:r>
      <w:r>
        <w:rPr>
          <w:rFonts w:ascii="仿宋_GB2312" w:hAnsi="仿宋_GB2312" w:eastAsia="仿宋_GB2312"/>
          <w:b w:val="0"/>
          <w:sz w:val="32"/>
        </w:rPr>
        <w:t>其中：年末结转和结余0.00万元，本年支出0.51万元。</w:t>
      </w:r>
    </w:p>
    <w:p w14:paraId="415723D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增加0.51万元，增长100.00%，主要原因是：本年增加2024年中央专项彩票公益金项目，导致经费较上年增加。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年初预算数0.51万元，决算数0.51万元，预决算差异率0.00%，主要原因是：严格按照预算执行，预决算无差异。</w:t>
      </w:r>
    </w:p>
    <w:p w14:paraId="16D3427B">
      <w:pPr>
        <w:spacing w:line="580" w:lineRule="exact"/>
        <w:ind w:firstLine="640"/>
        <w:jc w:val="both"/>
      </w:pPr>
      <w:r>
        <w:rPr>
          <w:rFonts w:ascii="仿宋_GB2312" w:hAnsi="仿宋_GB2312" w:eastAsia="仿宋_GB2312"/>
          <w:b w:val="0"/>
          <w:sz w:val="32"/>
        </w:rPr>
        <w:t>政府性基金预算财政拨款支出0.51万元。</w:t>
      </w:r>
    </w:p>
    <w:p w14:paraId="6CF67252">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0.51万元，比上年决算增加0.51万元，增长100.00%,主要原因是：本年增加2024年中央专项彩票公益金项目，导致经费较上年增加。</w:t>
      </w:r>
    </w:p>
    <w:p w14:paraId="1CCCD3BB">
      <w:pPr>
        <w:spacing w:line="640" w:lineRule="exact"/>
        <w:ind w:firstLine="640"/>
        <w:jc w:val="both"/>
        <w:outlineLvl w:val="2"/>
      </w:pPr>
      <w:r>
        <w:rPr>
          <w:rFonts w:ascii="黑体" w:hAnsi="黑体" w:eastAsia="黑体"/>
          <w:sz w:val="32"/>
        </w:rPr>
        <w:t>八、国有资本经营预算财政拨款收入支出决算情况说明</w:t>
      </w:r>
    </w:p>
    <w:p w14:paraId="3F7CF5B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D88F472">
      <w:pPr>
        <w:spacing w:line="640" w:lineRule="exact"/>
        <w:ind w:firstLine="640"/>
        <w:jc w:val="both"/>
        <w:outlineLvl w:val="2"/>
      </w:pPr>
      <w:r>
        <w:rPr>
          <w:rFonts w:ascii="黑体" w:hAnsi="黑体" w:eastAsia="黑体"/>
          <w:sz w:val="32"/>
        </w:rPr>
        <w:t>九、财政拨款“三公”经费支出决算情况说明</w:t>
      </w:r>
    </w:p>
    <w:p w14:paraId="58DB2E7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432CABD">
      <w:pPr>
        <w:spacing w:line="580" w:lineRule="exact"/>
        <w:ind w:firstLine="640"/>
        <w:jc w:val="both"/>
      </w:pPr>
      <w:r>
        <w:rPr>
          <w:rFonts w:ascii="仿宋_GB2312" w:hAnsi="仿宋_GB2312" w:eastAsia="仿宋_GB2312"/>
          <w:b/>
          <w:sz w:val="32"/>
        </w:rPr>
        <w:t>具体情况如下：</w:t>
      </w:r>
    </w:p>
    <w:p w14:paraId="596CD31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3884C7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车辆费用未使用财政拨款公务用车运行维护费支付，由单位自有资金经费保障。</w:t>
      </w:r>
    </w:p>
    <w:p w14:paraId="2B64CA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933CB7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3D6E833">
      <w:pPr>
        <w:spacing w:line="640" w:lineRule="exact"/>
        <w:ind w:firstLine="640"/>
        <w:jc w:val="both"/>
        <w:outlineLvl w:val="2"/>
      </w:pPr>
      <w:r>
        <w:rPr>
          <w:rFonts w:ascii="黑体" w:hAnsi="黑体" w:eastAsia="黑体"/>
          <w:sz w:val="32"/>
        </w:rPr>
        <w:t>十、其他重要事项的情况说明</w:t>
      </w:r>
    </w:p>
    <w:p w14:paraId="5AF851D5">
      <w:pPr>
        <w:spacing w:line="640" w:lineRule="exact"/>
        <w:ind w:firstLine="640"/>
        <w:jc w:val="both"/>
        <w:outlineLvl w:val="3"/>
      </w:pPr>
      <w:r>
        <w:rPr>
          <w:rFonts w:ascii="楷体_GB2312" w:hAnsi="楷体_GB2312" w:eastAsia="楷体_GB2312"/>
          <w:b/>
          <w:sz w:val="32"/>
        </w:rPr>
        <w:t>（一）机关运行经费及公用经费支出情况</w:t>
      </w:r>
    </w:p>
    <w:p w14:paraId="61B17ADA">
      <w:pPr>
        <w:spacing w:line="580" w:lineRule="exact"/>
        <w:ind w:firstLine="640"/>
        <w:jc w:val="both"/>
      </w:pPr>
      <w:r>
        <w:rPr>
          <w:rFonts w:ascii="仿宋_GB2312" w:hAnsi="仿宋_GB2312" w:eastAsia="仿宋_GB2312"/>
          <w:b w:val="0"/>
          <w:sz w:val="32"/>
        </w:rPr>
        <w:t>2024年度疏勒县阿拉力乡卫生院（事业单位）公用经费支出0.00万元，比上年增加0.00万元，增长0.00%，主要原因是：2023年与2024年均未安排公用经费支出。</w:t>
      </w:r>
    </w:p>
    <w:p w14:paraId="511D728C">
      <w:pPr>
        <w:spacing w:line="640" w:lineRule="exact"/>
        <w:ind w:firstLine="640"/>
        <w:jc w:val="both"/>
        <w:outlineLvl w:val="3"/>
      </w:pPr>
      <w:r>
        <w:rPr>
          <w:rFonts w:ascii="楷体_GB2312" w:hAnsi="楷体_GB2312" w:eastAsia="楷体_GB2312"/>
          <w:b/>
          <w:sz w:val="32"/>
        </w:rPr>
        <w:t>（二）政府采购情况</w:t>
      </w:r>
    </w:p>
    <w:p w14:paraId="4E1C0A1A">
      <w:pPr>
        <w:spacing w:line="580" w:lineRule="exact"/>
        <w:ind w:firstLine="640"/>
        <w:jc w:val="both"/>
      </w:pPr>
      <w:r>
        <w:rPr>
          <w:rFonts w:ascii="仿宋_GB2312" w:hAnsi="仿宋_GB2312" w:eastAsia="仿宋_GB2312"/>
          <w:b w:val="0"/>
          <w:sz w:val="32"/>
        </w:rPr>
        <w:t>2024年度政府采购支出总额32.31万元，其中：政府采购货物支出25.96万元、政府采购工程支出0.00万元、政府采购服务支出6.35万元。</w:t>
      </w:r>
    </w:p>
    <w:p w14:paraId="1314E26F">
      <w:pPr>
        <w:spacing w:line="580" w:lineRule="exact"/>
        <w:ind w:firstLine="640"/>
        <w:jc w:val="both"/>
      </w:pPr>
      <w:r>
        <w:rPr>
          <w:rFonts w:ascii="仿宋_GB2312" w:hAnsi="仿宋_GB2312" w:eastAsia="仿宋_GB2312"/>
          <w:b w:val="0"/>
          <w:sz w:val="32"/>
        </w:rPr>
        <w:t>授予中小企业合同金额32.22万元，占政府采购支出总额的99.72%，其中：授予小微企业合同金额15.61万元，占政府采购支出总额的48.31%。</w:t>
      </w:r>
    </w:p>
    <w:p w14:paraId="267F29BE">
      <w:pPr>
        <w:spacing w:line="640" w:lineRule="exact"/>
        <w:ind w:firstLine="640"/>
        <w:jc w:val="both"/>
        <w:outlineLvl w:val="3"/>
      </w:pPr>
      <w:r>
        <w:rPr>
          <w:rFonts w:ascii="楷体_GB2312" w:hAnsi="楷体_GB2312" w:eastAsia="楷体_GB2312"/>
          <w:b/>
          <w:sz w:val="32"/>
        </w:rPr>
        <w:t>（三）国有资产占用情况说明</w:t>
      </w:r>
    </w:p>
    <w:p w14:paraId="0C0F6CD2">
      <w:pPr>
        <w:spacing w:line="580" w:lineRule="exact"/>
        <w:ind w:firstLine="640"/>
        <w:jc w:val="both"/>
      </w:pPr>
      <w:r>
        <w:rPr>
          <w:rFonts w:ascii="仿宋_GB2312" w:hAnsi="仿宋_GB2312" w:eastAsia="仿宋_GB2312"/>
          <w:b w:val="0"/>
          <w:sz w:val="32"/>
        </w:rPr>
        <w:t>截至2024年12月31日，房屋2,352.31平方米，价值322.89万元。车辆2辆，价值35.70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27ADD9DE">
      <w:pPr>
        <w:spacing w:line="640" w:lineRule="exact"/>
        <w:ind w:firstLine="640"/>
        <w:jc w:val="both"/>
        <w:outlineLvl w:val="2"/>
      </w:pPr>
      <w:r>
        <w:rPr>
          <w:rFonts w:ascii="黑体" w:hAnsi="黑体" w:eastAsia="黑体"/>
          <w:sz w:val="32"/>
        </w:rPr>
        <w:t>十一、预算绩效的情况说明</w:t>
      </w:r>
    </w:p>
    <w:p w14:paraId="312E2C4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根据预算绩效管理要求，本单位预算绩效评价项目0个，全年预算数0.00万元，全年执行数0.00万元。预算绩效管理取得的成效：本单位2024年无项目绩效</w:t>
      </w:r>
      <w:r>
        <w:rPr>
          <w:rFonts w:hint="eastAsia" w:ascii="仿宋_GB2312" w:hAnsi="仿宋_GB2312" w:eastAsia="仿宋_GB2312"/>
          <w:b w:val="0"/>
          <w:sz w:val="32"/>
          <w:lang w:val="en-US" w:eastAsia="zh-CN"/>
        </w:rPr>
        <w:t>自评</w:t>
      </w:r>
      <w:r>
        <w:rPr>
          <w:rFonts w:ascii="仿宋_GB2312" w:hAnsi="仿宋_GB2312" w:eastAsia="仿宋_GB2312"/>
          <w:b w:val="0"/>
          <w:sz w:val="32"/>
        </w:rPr>
        <w:t>。发现的问题及原因：本单位2024年无项目绩效</w:t>
      </w:r>
      <w:r>
        <w:rPr>
          <w:rFonts w:hint="eastAsia" w:ascii="仿宋_GB2312" w:hAnsi="仿宋_GB2312" w:eastAsia="仿宋_GB2312"/>
          <w:b w:val="0"/>
          <w:sz w:val="32"/>
          <w:lang w:val="en-US" w:eastAsia="zh-CN"/>
        </w:rPr>
        <w:t>自评</w:t>
      </w:r>
      <w:r>
        <w:rPr>
          <w:rFonts w:ascii="仿宋_GB2312" w:hAnsi="仿宋_GB2312" w:eastAsia="仿宋_GB2312"/>
          <w:b w:val="0"/>
          <w:sz w:val="32"/>
        </w:rPr>
        <w:t>。下一步改进措施：本单位2024年无项目绩效</w:t>
      </w:r>
      <w:r>
        <w:rPr>
          <w:rFonts w:hint="eastAsia" w:ascii="仿宋_GB2312" w:hAnsi="仿宋_GB2312" w:eastAsia="仿宋_GB2312"/>
          <w:b w:val="0"/>
          <w:sz w:val="32"/>
          <w:lang w:val="en-US" w:eastAsia="zh-CN"/>
        </w:rPr>
        <w:t>自评</w:t>
      </w:r>
      <w:r>
        <w:rPr>
          <w:rFonts w:ascii="仿宋_GB2312" w:hAnsi="仿宋_GB2312" w:eastAsia="仿宋_GB2312"/>
          <w:b w:val="0"/>
          <w:sz w:val="32"/>
        </w:rPr>
        <w:t>。</w:t>
      </w:r>
    </w:p>
    <w:p w14:paraId="36B6D185">
      <w:r>
        <w:br w:type="page"/>
      </w:r>
    </w:p>
    <w:p w14:paraId="25031107">
      <w:pPr>
        <w:spacing w:line="640" w:lineRule="exact"/>
        <w:ind w:firstLine="640"/>
        <w:jc w:val="both"/>
        <w:outlineLvl w:val="2"/>
      </w:pPr>
      <w:r>
        <w:rPr>
          <w:rFonts w:ascii="黑体" w:hAnsi="黑体" w:eastAsia="黑体"/>
          <w:sz w:val="32"/>
        </w:rPr>
        <w:t>十二、其他需说明的事项</w:t>
      </w:r>
    </w:p>
    <w:p w14:paraId="7259A35C">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1528A7E9">
      <w:r>
        <w:br w:type="page"/>
      </w:r>
    </w:p>
    <w:p w14:paraId="68D122CC">
      <w:pPr>
        <w:spacing w:line="240" w:lineRule="auto"/>
        <w:jc w:val="center"/>
        <w:outlineLvl w:val="1"/>
      </w:pPr>
      <w:r>
        <w:rPr>
          <w:rFonts w:ascii="黑体" w:hAnsi="黑体" w:eastAsia="黑体"/>
          <w:sz w:val="32"/>
        </w:rPr>
        <w:t>第三部分 专业名词解释</w:t>
      </w:r>
    </w:p>
    <w:p w14:paraId="009C27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6ED93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6B422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95C66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573DB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07724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571A0E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ECFD8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9DA76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C521D5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FC760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05BF7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BC75CF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3D8EA4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02F1D5">
      <w:r>
        <w:br w:type="page"/>
      </w:r>
    </w:p>
    <w:p w14:paraId="4513F7C4">
      <w:pPr>
        <w:spacing w:line="240" w:lineRule="auto"/>
        <w:jc w:val="center"/>
        <w:outlineLvl w:val="1"/>
      </w:pPr>
      <w:r>
        <w:rPr>
          <w:rFonts w:ascii="黑体" w:hAnsi="黑体" w:eastAsia="黑体"/>
          <w:sz w:val="32"/>
        </w:rPr>
        <w:t>第四部分 部门决算报表（见附表）</w:t>
      </w:r>
    </w:p>
    <w:p w14:paraId="45C2490F">
      <w:pPr>
        <w:spacing w:line="240" w:lineRule="auto"/>
        <w:ind w:firstLine="640"/>
        <w:jc w:val="both"/>
      </w:pPr>
      <w:r>
        <w:rPr>
          <w:rFonts w:ascii="仿宋_GB2312" w:hAnsi="仿宋_GB2312" w:eastAsia="仿宋_GB2312"/>
          <w:b w:val="0"/>
          <w:sz w:val="32"/>
        </w:rPr>
        <w:t>一、《收入支出决算总表》</w:t>
      </w:r>
    </w:p>
    <w:p w14:paraId="29814D06">
      <w:pPr>
        <w:spacing w:line="240" w:lineRule="auto"/>
        <w:ind w:firstLine="640"/>
        <w:jc w:val="both"/>
      </w:pPr>
      <w:r>
        <w:rPr>
          <w:rFonts w:ascii="仿宋_GB2312" w:hAnsi="仿宋_GB2312" w:eastAsia="仿宋_GB2312"/>
          <w:b w:val="0"/>
          <w:sz w:val="32"/>
        </w:rPr>
        <w:t>二、《收入决算表》</w:t>
      </w:r>
    </w:p>
    <w:p w14:paraId="0400CF79">
      <w:pPr>
        <w:spacing w:line="240" w:lineRule="auto"/>
        <w:ind w:firstLine="640"/>
        <w:jc w:val="both"/>
      </w:pPr>
      <w:r>
        <w:rPr>
          <w:rFonts w:ascii="仿宋_GB2312" w:hAnsi="仿宋_GB2312" w:eastAsia="仿宋_GB2312"/>
          <w:b w:val="0"/>
          <w:sz w:val="32"/>
        </w:rPr>
        <w:t>三、《支出决算表》</w:t>
      </w:r>
    </w:p>
    <w:p w14:paraId="3AA94FF4">
      <w:pPr>
        <w:spacing w:line="240" w:lineRule="auto"/>
        <w:ind w:firstLine="640"/>
        <w:jc w:val="both"/>
      </w:pPr>
      <w:r>
        <w:rPr>
          <w:rFonts w:ascii="仿宋_GB2312" w:hAnsi="仿宋_GB2312" w:eastAsia="仿宋_GB2312"/>
          <w:b w:val="0"/>
          <w:sz w:val="32"/>
        </w:rPr>
        <w:t>四、《财政拨款收入支出决算总表》</w:t>
      </w:r>
    </w:p>
    <w:p w14:paraId="7CFEC397">
      <w:pPr>
        <w:spacing w:line="240" w:lineRule="auto"/>
        <w:ind w:firstLine="640"/>
        <w:jc w:val="both"/>
      </w:pPr>
      <w:r>
        <w:rPr>
          <w:rFonts w:ascii="仿宋_GB2312" w:hAnsi="仿宋_GB2312" w:eastAsia="仿宋_GB2312"/>
          <w:b w:val="0"/>
          <w:sz w:val="32"/>
        </w:rPr>
        <w:t>五、《一般公共预算财政拨款支出决算表》</w:t>
      </w:r>
    </w:p>
    <w:p w14:paraId="16431FF0">
      <w:pPr>
        <w:spacing w:line="240" w:lineRule="auto"/>
        <w:ind w:firstLine="640"/>
        <w:jc w:val="both"/>
      </w:pPr>
      <w:r>
        <w:rPr>
          <w:rFonts w:ascii="仿宋_GB2312" w:hAnsi="仿宋_GB2312" w:eastAsia="仿宋_GB2312"/>
          <w:b w:val="0"/>
          <w:sz w:val="32"/>
        </w:rPr>
        <w:t>六、《一般公共预算财政拨款基本支出决算表》</w:t>
      </w:r>
    </w:p>
    <w:p w14:paraId="7AF098B8">
      <w:pPr>
        <w:spacing w:line="240" w:lineRule="auto"/>
        <w:ind w:firstLine="640"/>
        <w:jc w:val="both"/>
      </w:pPr>
      <w:r>
        <w:rPr>
          <w:rFonts w:ascii="仿宋_GB2312" w:hAnsi="仿宋_GB2312" w:eastAsia="仿宋_GB2312"/>
          <w:b w:val="0"/>
          <w:sz w:val="32"/>
        </w:rPr>
        <w:t>七、《政府性基金预算财政拨款收入支出决算表》</w:t>
      </w:r>
    </w:p>
    <w:p w14:paraId="668D0AF2">
      <w:pPr>
        <w:spacing w:line="240" w:lineRule="auto"/>
        <w:ind w:firstLine="640"/>
        <w:jc w:val="both"/>
      </w:pPr>
      <w:r>
        <w:rPr>
          <w:rFonts w:ascii="仿宋_GB2312" w:hAnsi="仿宋_GB2312" w:eastAsia="仿宋_GB2312"/>
          <w:b w:val="0"/>
          <w:sz w:val="32"/>
        </w:rPr>
        <w:t>八、《国有资本经营预算财政拨款收入支出决算表》</w:t>
      </w:r>
    </w:p>
    <w:p w14:paraId="77F443B7">
      <w:pPr>
        <w:spacing w:line="240" w:lineRule="auto"/>
        <w:ind w:firstLine="640"/>
        <w:jc w:val="both"/>
      </w:pPr>
      <w:r>
        <w:rPr>
          <w:rFonts w:ascii="仿宋_GB2312" w:hAnsi="仿宋_GB2312" w:eastAsia="仿宋_GB2312"/>
          <w:b w:val="0"/>
          <w:sz w:val="32"/>
        </w:rPr>
        <w:t>九、《财政拨款“三公”经费支出决算表》</w:t>
      </w:r>
    </w:p>
    <w:p w14:paraId="26930948">
      <w:pPr>
        <w:spacing w:line="240" w:lineRule="auto"/>
        <w:ind w:firstLine="640"/>
        <w:jc w:val="both"/>
      </w:pPr>
    </w:p>
    <w:p w14:paraId="1DF412EE">
      <w:pPr>
        <w:spacing w:line="240" w:lineRule="auto"/>
        <w:ind w:firstLine="640"/>
        <w:jc w:val="both"/>
      </w:pPr>
    </w:p>
    <w:p w14:paraId="1593A9EE">
      <w:pPr>
        <w:spacing w:line="240" w:lineRule="auto"/>
        <w:ind w:firstLine="640"/>
        <w:jc w:val="both"/>
      </w:pPr>
    </w:p>
    <w:p w14:paraId="67ED83A2">
      <w:pPr>
        <w:spacing w:line="240" w:lineRule="auto"/>
        <w:ind w:firstLine="640"/>
        <w:jc w:val="both"/>
      </w:pPr>
    </w:p>
    <w:p w14:paraId="7C6E2F6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50172D-6654-415C-882D-42600224FF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62BDB7A-4914-474E-B17C-48EFCFFA024B}"/>
  </w:font>
  <w:font w:name="仿宋_GB2312">
    <w:panose1 w:val="02010609030101010101"/>
    <w:charset w:val="86"/>
    <w:family w:val="modern"/>
    <w:pitch w:val="default"/>
    <w:sig w:usb0="00000001" w:usb1="080E0000" w:usb2="00000000" w:usb3="00000000" w:csb0="00040000" w:csb1="00000000"/>
    <w:embedRegular r:id="rId3" w:fontKey="{57C6CCED-E12E-410B-ABF9-FB818D6B4AB8}"/>
  </w:font>
  <w:font w:name="楷体_GB2312">
    <w:panose1 w:val="02010609030101010101"/>
    <w:charset w:val="86"/>
    <w:family w:val="auto"/>
    <w:pitch w:val="default"/>
    <w:sig w:usb0="00000001" w:usb1="080E0000" w:usb2="00000000" w:usb3="00000000" w:csb0="00040000" w:csb1="00000000"/>
    <w:embedRegular r:id="rId4" w:fontKey="{1262936F-DADE-48BE-8834-0B8ADD2B0493}"/>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5A6EE3"/>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6716E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5792</Words>
  <Characters>6549</Characters>
  <Lines>0</Lines>
  <Paragraphs>0</Paragraphs>
  <TotalTime>13</TotalTime>
  <ScaleCrop>false</ScaleCrop>
  <LinksUpToDate>false</LinksUpToDate>
  <CharactersWithSpaces>6559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2025-09-26T04:52:29Z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