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疏勒县塔孜洪乡人民政府2024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A1EDD87">
      <w:r>
        <w:br w:type="page"/>
      </w:r>
    </w:p>
    <w:p w14:paraId="443B0ECF">
      <w:pPr>
        <w:spacing w:line="640" w:lineRule="exact"/>
        <w:jc w:val="center"/>
        <w:outlineLvl w:val="1"/>
      </w:pPr>
      <w:r>
        <w:rPr>
          <w:rFonts w:ascii="黑体" w:hAnsi="黑体" w:eastAsia="黑体"/>
          <w:sz w:val="32"/>
        </w:rPr>
        <w:t>第一部分 单位概况</w:t>
      </w:r>
    </w:p>
    <w:p w14:paraId="4406568A">
      <w:pPr>
        <w:spacing w:line="640" w:lineRule="exact"/>
        <w:ind w:firstLine="640"/>
        <w:jc w:val="both"/>
        <w:outlineLvl w:val="2"/>
      </w:pPr>
      <w:r>
        <w:rPr>
          <w:rFonts w:ascii="黑体" w:hAnsi="黑体" w:eastAsia="黑体"/>
          <w:sz w:val="32"/>
        </w:rPr>
        <w:t>一、主要职能</w:t>
      </w:r>
    </w:p>
    <w:p w14:paraId="77CBDCF7">
      <w:pPr>
        <w:spacing w:line="580" w:lineRule="exact"/>
        <w:ind w:firstLine="640"/>
        <w:jc w:val="both"/>
      </w:pPr>
      <w:r>
        <w:rPr>
          <w:rFonts w:ascii="仿宋_GB2312" w:hAnsi="仿宋_GB2312" w:eastAsia="仿宋_GB2312"/>
          <w:sz w:val="32"/>
        </w:rPr>
        <w:t>（1）认真贯彻执行党的路线、方针、政策，进一步促进乡镇职能转变，巩固和加强基层政权建设，建立适应农村经济发展和社会和谐的体制机制。</w:t>
      </w:r>
    </w:p>
    <w:p w14:paraId="479A1F72">
      <w:pPr>
        <w:spacing w:line="580" w:lineRule="exact"/>
        <w:ind w:firstLine="640"/>
        <w:jc w:val="both"/>
      </w:pPr>
      <w:r>
        <w:rPr>
          <w:rFonts w:ascii="仿宋_GB2312" w:hAnsi="仿宋_GB2312" w:eastAsia="仿宋_GB2312"/>
          <w:sz w:val="32"/>
        </w:rPr>
        <w:t>（2）加快农村经济发展，解放思想，转变观念，不断增加农民收入，为壮大乡村经济发展创造有利条件。</w:t>
      </w:r>
    </w:p>
    <w:p w14:paraId="35CF4553">
      <w:pPr>
        <w:spacing w:line="580" w:lineRule="exact"/>
        <w:ind w:firstLine="640"/>
        <w:jc w:val="both"/>
      </w:pPr>
      <w:r>
        <w:rPr>
          <w:rFonts w:ascii="仿宋_GB2312" w:hAnsi="仿宋_GB2312" w:eastAsia="仿宋_GB2312"/>
          <w:sz w:val="32"/>
        </w:rPr>
        <w:t>（3）强化公共服务，着力改善民生。推进优生优育，稳固农村低生育水平。促进农村义务教育发展，推动农村公共卫生体系和基本医疗体系建设，丰富农民群众文化生活，发展农村体育事业，培养社会主义新型农民。</w:t>
      </w:r>
    </w:p>
    <w:p w14:paraId="6AD41482">
      <w:pPr>
        <w:spacing w:line="580" w:lineRule="exact"/>
        <w:ind w:firstLine="640"/>
        <w:jc w:val="both"/>
      </w:pPr>
      <w:r>
        <w:rPr>
          <w:rFonts w:ascii="仿宋_GB2312" w:hAnsi="仿宋_GB2312" w:eastAsia="仿宋_GB2312"/>
          <w:sz w:val="32"/>
        </w:rPr>
        <w:t>（4）加强社会管理，加强民主法治宣传教育，保障人民生命财产安全，做好农村信访工作，畅通诉求渠道，及时</w:t>
      </w:r>
      <w:r>
        <w:rPr>
          <w:rFonts w:hint="eastAsia" w:ascii="仿宋_GB2312" w:hAnsi="仿宋_GB2312" w:eastAsia="仿宋_GB2312"/>
          <w:sz w:val="32"/>
          <w:lang w:eastAsia="zh-CN"/>
        </w:rPr>
        <w:t>掌握</w:t>
      </w:r>
      <w:r>
        <w:rPr>
          <w:rFonts w:ascii="仿宋_GB2312" w:hAnsi="仿宋_GB2312" w:eastAsia="仿宋_GB2312"/>
          <w:sz w:val="32"/>
        </w:rPr>
        <w:t>社情民意，排查化解矛盾纠纷，妥善处理群众矛盾。协助县有关部门做好市场监管、劳动监察、环境保护等方面工作。保障社会公正。</w:t>
      </w:r>
    </w:p>
    <w:p w14:paraId="5E7AD808">
      <w:pPr>
        <w:spacing w:line="580" w:lineRule="exact"/>
        <w:ind w:firstLine="640"/>
        <w:jc w:val="both"/>
      </w:pPr>
      <w:r>
        <w:rPr>
          <w:rFonts w:ascii="仿宋_GB2312" w:hAnsi="仿宋_GB2312" w:eastAsia="仿宋_GB2312"/>
          <w:sz w:val="32"/>
        </w:rPr>
        <w:t>（5）推动基层民主，促进农村和谐。加强农村党的基层组织建设、农村基层干部队伍建设、农村党员队伍建设。做好乡人大、群团、国防教育、兵役、民兵等工作。</w:t>
      </w:r>
    </w:p>
    <w:p w14:paraId="0BF44359">
      <w:pPr>
        <w:spacing w:line="580" w:lineRule="exact"/>
        <w:ind w:firstLine="640"/>
        <w:jc w:val="both"/>
      </w:pPr>
      <w:r>
        <w:rPr>
          <w:rFonts w:ascii="仿宋_GB2312" w:hAnsi="仿宋_GB2312" w:eastAsia="仿宋_GB2312"/>
          <w:sz w:val="32"/>
        </w:rPr>
        <w:t>（6）加强对乡事业单位的管理，协同单位抓好其他事业站所的管理。</w:t>
      </w:r>
    </w:p>
    <w:p w14:paraId="2DCF34FD">
      <w:pPr>
        <w:spacing w:line="580" w:lineRule="exact"/>
        <w:ind w:firstLine="640"/>
        <w:jc w:val="both"/>
      </w:pPr>
      <w:r>
        <w:rPr>
          <w:rFonts w:ascii="仿宋_GB2312" w:hAnsi="仿宋_GB2312" w:eastAsia="仿宋_GB2312"/>
          <w:sz w:val="32"/>
        </w:rPr>
        <w:t>（7）承办县委、县政府交办的其他工作。</w:t>
      </w:r>
    </w:p>
    <w:p w14:paraId="104CE3A4">
      <w:pPr>
        <w:spacing w:line="640" w:lineRule="exact"/>
        <w:ind w:firstLine="640"/>
        <w:jc w:val="both"/>
        <w:outlineLvl w:val="2"/>
      </w:pPr>
      <w:r>
        <w:rPr>
          <w:rFonts w:ascii="黑体" w:hAnsi="黑体" w:eastAsia="黑体"/>
          <w:sz w:val="32"/>
        </w:rPr>
        <w:t>二、机构设置及人员情况</w:t>
      </w:r>
    </w:p>
    <w:p w14:paraId="441B6476">
      <w:pPr>
        <w:spacing w:line="580" w:lineRule="exact"/>
        <w:ind w:firstLine="640"/>
        <w:jc w:val="both"/>
      </w:pPr>
      <w:r>
        <w:rPr>
          <w:rFonts w:ascii="仿宋_GB2312" w:hAnsi="仿宋_GB2312" w:eastAsia="仿宋_GB2312"/>
          <w:sz w:val="32"/>
        </w:rPr>
        <w:t>疏勒县塔孜洪乡人民政府2024年度，实有人数149人，其中：在职人员132人，减少1人；离休人员0人，增加0人；退休人员17人,减少2人。</w:t>
      </w:r>
    </w:p>
    <w:p w14:paraId="7C6D038E">
      <w:pPr>
        <w:spacing w:line="580" w:lineRule="exact"/>
        <w:ind w:firstLine="640"/>
        <w:jc w:val="both"/>
      </w:pPr>
      <w:r>
        <w:rPr>
          <w:rFonts w:ascii="仿宋_GB2312" w:hAnsi="仿宋_GB2312" w:eastAsia="仿宋_GB2312"/>
          <w:sz w:val="32"/>
        </w:rPr>
        <w:t>疏勒县塔孜洪乡人民政府无下属预算单位，下设10个科室，分别是：党政综合办公室、党建工作办公室、经济发展和财政办公室、社会事务办（退役军人服务站）、综合执法办公室、农业发展服务中心、公共文化服务中心、村镇建设发展中心、综治和网格化服务中心、便民服务中心。</w:t>
      </w:r>
    </w:p>
    <w:p w14:paraId="72261997">
      <w:r>
        <w:br w:type="page"/>
      </w:r>
    </w:p>
    <w:p w14:paraId="5D67310B">
      <w:pPr>
        <w:spacing w:line="240" w:lineRule="auto"/>
        <w:jc w:val="center"/>
        <w:outlineLvl w:val="1"/>
      </w:pPr>
      <w:r>
        <w:rPr>
          <w:rFonts w:ascii="黑体" w:hAnsi="黑体" w:eastAsia="黑体"/>
          <w:sz w:val="32"/>
        </w:rPr>
        <w:t>第二部分 部门决算情况说明</w:t>
      </w:r>
    </w:p>
    <w:p w14:paraId="29E94551">
      <w:pPr>
        <w:spacing w:line="640" w:lineRule="exact"/>
        <w:ind w:firstLine="640"/>
        <w:jc w:val="both"/>
        <w:outlineLvl w:val="2"/>
      </w:pPr>
      <w:r>
        <w:rPr>
          <w:rFonts w:ascii="黑体" w:hAnsi="黑体" w:eastAsia="黑体"/>
          <w:sz w:val="32"/>
        </w:rPr>
        <w:t>一、收入支出决算总体情况说明</w:t>
      </w:r>
    </w:p>
    <w:p w14:paraId="04C72EB6">
      <w:pPr>
        <w:spacing w:line="580" w:lineRule="exact"/>
        <w:ind w:firstLine="640"/>
        <w:jc w:val="both"/>
      </w:pPr>
      <w:r>
        <w:rPr>
          <w:rFonts w:ascii="仿宋_GB2312" w:hAnsi="仿宋_GB2312" w:eastAsia="仿宋_GB2312"/>
          <w:b/>
          <w:sz w:val="32"/>
        </w:rPr>
        <w:t>2024年度收入总计13,672.83万元，</w:t>
      </w:r>
      <w:r>
        <w:rPr>
          <w:rFonts w:ascii="仿宋_GB2312" w:hAnsi="仿宋_GB2312" w:eastAsia="仿宋_GB2312"/>
          <w:b w:val="0"/>
          <w:sz w:val="32"/>
        </w:rPr>
        <w:t>其中：本年收入合计13,672.83万元，使用非财政拨款结余（含专用结余）0.00万元，年初结转和结余0.00万元。</w:t>
      </w:r>
    </w:p>
    <w:p w14:paraId="714C7078">
      <w:pPr>
        <w:spacing w:line="580" w:lineRule="exact"/>
        <w:ind w:firstLine="640"/>
        <w:jc w:val="both"/>
      </w:pPr>
      <w:r>
        <w:rPr>
          <w:rFonts w:ascii="仿宋_GB2312" w:hAnsi="仿宋_GB2312" w:eastAsia="仿宋_GB2312"/>
          <w:b/>
          <w:sz w:val="32"/>
        </w:rPr>
        <w:t>2024年度支出总计13,672.83万元，</w:t>
      </w:r>
      <w:r>
        <w:rPr>
          <w:rFonts w:ascii="仿宋_GB2312" w:hAnsi="仿宋_GB2312" w:eastAsia="仿宋_GB2312"/>
          <w:b w:val="0"/>
          <w:sz w:val="32"/>
        </w:rPr>
        <w:t>其中：本年支出合计13,672.83万元，结余分配0.00万元，年末结转和结余0.00万元。</w:t>
      </w:r>
    </w:p>
    <w:p w14:paraId="338B4D1D">
      <w:pPr>
        <w:spacing w:line="580" w:lineRule="exact"/>
        <w:ind w:firstLine="640"/>
        <w:jc w:val="both"/>
      </w:pPr>
      <w:r>
        <w:rPr>
          <w:rFonts w:ascii="仿宋_GB2312" w:hAnsi="仿宋_GB2312" w:eastAsia="仿宋_GB2312"/>
          <w:b w:val="0"/>
          <w:sz w:val="32"/>
        </w:rPr>
        <w:t>收入支出总体与上年相比，减少7,694.04万元，下降36.01%，主要原因是：</w:t>
      </w:r>
      <w:r>
        <w:rPr>
          <w:rFonts w:hint="eastAsia" w:ascii="仿宋_GB2312" w:hAnsi="仿宋_GB2312" w:eastAsia="仿宋_GB2312"/>
          <w:b w:val="0"/>
          <w:sz w:val="32"/>
          <w:lang w:eastAsia="zh-CN"/>
        </w:rPr>
        <w:t>本年减少</w:t>
      </w:r>
      <w:r>
        <w:rPr>
          <w:rFonts w:ascii="仿宋_GB2312" w:hAnsi="仿宋_GB2312" w:eastAsia="仿宋_GB2312"/>
          <w:b w:val="0"/>
          <w:sz w:val="32"/>
        </w:rPr>
        <w:t>基础设施建设（以工代赈）项目、鲁疆情食用菌农业科技示范园项目-厂房、基础设施配套、疏勒县精品蔬菜产供销研一体化产业项目、2023年自治区乡村振兴重点示范村（塔孜洪乡17村）项目、2023年疏勒县基层党组织阵地建设项目、2023年疏勒县基层党组织阵地建设项目、2023年疏勒县乡镇乡村人居环境综合整治项目等。</w:t>
      </w:r>
    </w:p>
    <w:p w14:paraId="18C72EEC">
      <w:pPr>
        <w:spacing w:line="640" w:lineRule="exact"/>
        <w:ind w:firstLine="640"/>
        <w:jc w:val="both"/>
        <w:outlineLvl w:val="2"/>
      </w:pPr>
      <w:r>
        <w:rPr>
          <w:rFonts w:ascii="黑体" w:hAnsi="黑体" w:eastAsia="黑体"/>
          <w:sz w:val="32"/>
        </w:rPr>
        <w:t>二、收入决算情况说明</w:t>
      </w:r>
    </w:p>
    <w:p w14:paraId="2AB23C99">
      <w:pPr>
        <w:spacing w:line="580" w:lineRule="exact"/>
        <w:ind w:firstLine="640"/>
        <w:jc w:val="both"/>
      </w:pPr>
      <w:r>
        <w:rPr>
          <w:rFonts w:ascii="仿宋_GB2312" w:hAnsi="仿宋_GB2312" w:eastAsia="仿宋_GB2312"/>
          <w:b/>
          <w:sz w:val="32"/>
        </w:rPr>
        <w:t>本年收入13,672.83万元，</w:t>
      </w:r>
      <w:r>
        <w:rPr>
          <w:rFonts w:ascii="仿宋_GB2312" w:hAnsi="仿宋_GB2312" w:eastAsia="仿宋_GB2312"/>
          <w:b w:val="0"/>
          <w:sz w:val="32"/>
        </w:rPr>
        <w:t>其中：财政拨款收入10,245.50万元，占74.93%；上级补助收入0.00万元，占0.00%；事业收入0.00万元，占0.00%；经营收入0.00万元，占0.00%；附属单位上缴收入0.00万元，占0.00%；其他收入3,427.32万元，占25.07%。</w:t>
      </w:r>
    </w:p>
    <w:p w14:paraId="13586ADA">
      <w:pPr>
        <w:spacing w:line="640" w:lineRule="exact"/>
        <w:ind w:firstLine="640"/>
        <w:jc w:val="both"/>
        <w:outlineLvl w:val="2"/>
      </w:pPr>
      <w:r>
        <w:rPr>
          <w:rFonts w:ascii="黑体" w:hAnsi="黑体" w:eastAsia="黑体"/>
          <w:sz w:val="32"/>
        </w:rPr>
        <w:t>三、支出决算情况说明</w:t>
      </w:r>
    </w:p>
    <w:p w14:paraId="69FA1B71">
      <w:pPr>
        <w:spacing w:line="580" w:lineRule="exact"/>
        <w:ind w:firstLine="640"/>
        <w:jc w:val="both"/>
      </w:pPr>
      <w:r>
        <w:rPr>
          <w:rFonts w:ascii="仿宋_GB2312" w:hAnsi="仿宋_GB2312" w:eastAsia="仿宋_GB2312"/>
          <w:b/>
          <w:sz w:val="32"/>
        </w:rPr>
        <w:t>本年支出13,672.83万元，</w:t>
      </w:r>
      <w:r>
        <w:rPr>
          <w:rFonts w:ascii="仿宋_GB2312" w:hAnsi="仿宋_GB2312" w:eastAsia="仿宋_GB2312"/>
          <w:b w:val="0"/>
          <w:sz w:val="32"/>
        </w:rPr>
        <w:t>其中：基本支出2,368.47万元，占17.32%；项目支出11,304.36万元，占82.68%；上缴上级支出0.00万元，占0.00%；经营支出0.00万元，占0.00%；对附属单位补助支出0.00万元，占0.00%。</w:t>
      </w:r>
    </w:p>
    <w:p w14:paraId="5A100AB4">
      <w:pPr>
        <w:spacing w:line="640" w:lineRule="exact"/>
        <w:ind w:firstLine="640"/>
        <w:jc w:val="both"/>
        <w:outlineLvl w:val="2"/>
      </w:pPr>
      <w:r>
        <w:rPr>
          <w:rFonts w:ascii="黑体" w:hAnsi="黑体" w:eastAsia="黑体"/>
          <w:sz w:val="32"/>
        </w:rPr>
        <w:t>四、财政拨款收入支出决算总体情况说明</w:t>
      </w:r>
    </w:p>
    <w:p w14:paraId="2C7E0F8D">
      <w:pPr>
        <w:spacing w:line="580" w:lineRule="exact"/>
        <w:ind w:firstLine="640"/>
        <w:jc w:val="both"/>
      </w:pPr>
      <w:r>
        <w:rPr>
          <w:rFonts w:ascii="仿宋_GB2312" w:hAnsi="仿宋_GB2312" w:eastAsia="仿宋_GB2312"/>
          <w:b/>
          <w:sz w:val="32"/>
        </w:rPr>
        <w:t>2024年度财政拨款收入总计10,245.50万元，</w:t>
      </w:r>
      <w:r>
        <w:rPr>
          <w:rFonts w:ascii="仿宋_GB2312" w:hAnsi="仿宋_GB2312" w:eastAsia="仿宋_GB2312"/>
          <w:b w:val="0"/>
          <w:sz w:val="32"/>
        </w:rPr>
        <w:t>其中：年初财政拨款结转和结余0.00万元，本年财政拨款收入10,245.50万元。</w:t>
      </w:r>
      <w:r>
        <w:rPr>
          <w:rFonts w:ascii="仿宋_GB2312" w:hAnsi="仿宋_GB2312" w:eastAsia="仿宋_GB2312"/>
          <w:b/>
          <w:sz w:val="32"/>
        </w:rPr>
        <w:t>财政拨款支出总计10,245.50万元，</w:t>
      </w:r>
      <w:r>
        <w:rPr>
          <w:rFonts w:ascii="仿宋_GB2312" w:hAnsi="仿宋_GB2312" w:eastAsia="仿宋_GB2312"/>
          <w:b w:val="0"/>
          <w:sz w:val="32"/>
        </w:rPr>
        <w:t>其中：年末财政拨款结转和结余0.00万元，本年财政拨款支出10,245.50万元。</w:t>
      </w:r>
    </w:p>
    <w:p w14:paraId="22573D3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减少8,923.71万元，下降46.55%，主要原因是：</w:t>
      </w:r>
      <w:r>
        <w:rPr>
          <w:rFonts w:hint="eastAsia" w:ascii="仿宋_GB2312" w:hAnsi="仿宋_GB2312" w:eastAsia="仿宋_GB2312"/>
          <w:b w:val="0"/>
          <w:sz w:val="32"/>
          <w:lang w:eastAsia="zh-CN"/>
        </w:rPr>
        <w:t>本年减少</w:t>
      </w:r>
      <w:r>
        <w:rPr>
          <w:rFonts w:ascii="仿宋_GB2312" w:hAnsi="仿宋_GB2312" w:eastAsia="仿宋_GB2312"/>
          <w:b w:val="0"/>
          <w:sz w:val="32"/>
        </w:rPr>
        <w:t>基础设施建设（以工代赈）项目、鲁疆情食用菌农业科技示范园项目-厂房、基础设施配套、疏勒县精品蔬菜产供销研一体化产业项目、2023年自治区乡村振兴重点示范村（塔孜洪乡17村）项目、2023年疏勒县基层党组织阵地建设项目、2023年疏勒县基层党组织阵地建设项目、2023年疏勒县乡镇乡村人居环境综合整治项目等。</w:t>
      </w:r>
      <w:r>
        <w:rPr>
          <w:rFonts w:ascii="仿宋_GB2312" w:hAnsi="仿宋_GB2312" w:eastAsia="仿宋_GB2312"/>
          <w:b/>
          <w:sz w:val="32"/>
        </w:rPr>
        <w:t>与年初预算相比，</w:t>
      </w:r>
      <w:r>
        <w:rPr>
          <w:rFonts w:ascii="仿宋_GB2312" w:hAnsi="仿宋_GB2312" w:eastAsia="仿宋_GB2312"/>
          <w:b w:val="0"/>
          <w:sz w:val="32"/>
        </w:rPr>
        <w:t>年初预算数3,857.53万元，决算数10,245.50万元，预决算差异率165.60%，主要原因是：年中追加疏勒县塔孜洪乡2024年中央财政以工代赈防渗渠建设项目、2024年塔孜洪乡19村示范村建设-防渗渠建设项目、2024年塔孜洪乡19村示范村建设-公厕建设项目、2024年农村基础设施提升项目、2024年塔孜洪乡20村示范村建设-鱼塘基础配套提升项目、2024年碎片化土地整理项目、疏勒县塔孜洪乡征地拆迁补偿-第三师G3012-草湖-G314公路（G3012-草湖段）征迁补偿项目资金等，导致预决算存在差异。</w:t>
      </w:r>
    </w:p>
    <w:p w14:paraId="5495FA8A">
      <w:pPr>
        <w:spacing w:line="640" w:lineRule="exact"/>
        <w:ind w:firstLine="640"/>
        <w:jc w:val="both"/>
        <w:outlineLvl w:val="2"/>
      </w:pPr>
      <w:r>
        <w:rPr>
          <w:rFonts w:ascii="黑体" w:hAnsi="黑体" w:eastAsia="黑体"/>
          <w:sz w:val="32"/>
        </w:rPr>
        <w:t>五、一般公共预算财政拨款支出决算情况说明</w:t>
      </w:r>
    </w:p>
    <w:p w14:paraId="523A7309">
      <w:pPr>
        <w:spacing w:line="640" w:lineRule="exact"/>
        <w:ind w:firstLine="640"/>
        <w:jc w:val="both"/>
        <w:outlineLvl w:val="3"/>
      </w:pPr>
      <w:r>
        <w:rPr>
          <w:rFonts w:ascii="楷体_GB2312" w:hAnsi="楷体_GB2312" w:eastAsia="楷体_GB2312"/>
          <w:b/>
          <w:sz w:val="32"/>
        </w:rPr>
        <w:t>（一）一般公共预算财政拨款支出决算总体情况</w:t>
      </w:r>
    </w:p>
    <w:p w14:paraId="34B00BA6">
      <w:pPr>
        <w:spacing w:line="580" w:lineRule="exact"/>
        <w:ind w:firstLine="640"/>
        <w:jc w:val="both"/>
      </w:pPr>
      <w:r>
        <w:rPr>
          <w:rFonts w:ascii="仿宋_GB2312" w:hAnsi="仿宋_GB2312" w:eastAsia="仿宋_GB2312"/>
          <w:b/>
          <w:sz w:val="32"/>
        </w:rPr>
        <w:t>2024年度一般公共预算财政拨款支出8,128.32万元，</w:t>
      </w:r>
      <w:r>
        <w:rPr>
          <w:rFonts w:ascii="仿宋_GB2312" w:hAnsi="仿宋_GB2312" w:eastAsia="仿宋_GB2312"/>
          <w:b w:val="0"/>
          <w:sz w:val="32"/>
        </w:rPr>
        <w:t>占本年支出合计的59.45%。</w:t>
      </w:r>
      <w:r>
        <w:rPr>
          <w:rFonts w:ascii="仿宋_GB2312" w:hAnsi="仿宋_GB2312" w:eastAsia="仿宋_GB2312"/>
          <w:b/>
          <w:sz w:val="32"/>
        </w:rPr>
        <w:t>与上年相比，</w:t>
      </w:r>
      <w:r>
        <w:rPr>
          <w:rFonts w:ascii="仿宋_GB2312" w:hAnsi="仿宋_GB2312" w:eastAsia="仿宋_GB2312"/>
          <w:b w:val="0"/>
          <w:sz w:val="32"/>
        </w:rPr>
        <w:t>减少11,022.44万元，下降57.56%，主要原因是：</w:t>
      </w:r>
      <w:r>
        <w:rPr>
          <w:rFonts w:hint="eastAsia" w:ascii="仿宋_GB2312" w:hAnsi="仿宋_GB2312" w:eastAsia="仿宋_GB2312"/>
          <w:b w:val="0"/>
          <w:sz w:val="32"/>
          <w:lang w:eastAsia="zh-CN"/>
        </w:rPr>
        <w:t>本年减少</w:t>
      </w:r>
      <w:r>
        <w:rPr>
          <w:rFonts w:ascii="仿宋_GB2312" w:hAnsi="仿宋_GB2312" w:eastAsia="仿宋_GB2312"/>
          <w:b w:val="0"/>
          <w:sz w:val="32"/>
        </w:rPr>
        <w:t>基础设施建设（以工代赈）项目、鲁疆情食用菌农业科技示范园项目-厂房、基础设施配套、疏勒县精品蔬菜产供销研一体化产业项目、2023年自治区乡村振兴重点示范村（塔孜洪乡17村）项目、2023年疏勒县基层党组织阵地建设项目、2023年疏勒县基层党组织阵地建设项目、2023年疏勒县乡镇乡村人居环境综合整治项目等。</w:t>
      </w:r>
      <w:r>
        <w:rPr>
          <w:rFonts w:ascii="仿宋_GB2312" w:hAnsi="仿宋_GB2312" w:eastAsia="仿宋_GB2312"/>
          <w:b/>
          <w:sz w:val="32"/>
        </w:rPr>
        <w:t>与年初预算相比,</w:t>
      </w:r>
      <w:r>
        <w:rPr>
          <w:rFonts w:ascii="仿宋_GB2312" w:hAnsi="仿宋_GB2312" w:eastAsia="仿宋_GB2312"/>
          <w:b w:val="0"/>
          <w:sz w:val="32"/>
        </w:rPr>
        <w:t>年初预算数2,368.51万元，决算数8,128.32万元，预决算差异率243.18%，主要原因是：年中追加疏勒县塔孜洪乡2024年中央财政以工代赈防渗渠建设项目、2024年塔孜洪乡19村示范村建设-防渗渠建设项目、2024年塔孜洪乡19村示范村建设-公厕建设项目、2024年农村基础设施提升项目、2024年塔孜洪乡20村示范村建设-鱼塘基础配套提升项目、2024年碎片化土地整理项目等，导致预决算存在差异。</w:t>
      </w:r>
    </w:p>
    <w:p w14:paraId="2E256691">
      <w:pPr>
        <w:spacing w:line="640" w:lineRule="exact"/>
        <w:ind w:firstLine="640"/>
        <w:jc w:val="both"/>
        <w:outlineLvl w:val="3"/>
      </w:pPr>
      <w:r>
        <w:rPr>
          <w:rFonts w:ascii="楷体_GB2312" w:hAnsi="楷体_GB2312" w:eastAsia="楷体_GB2312"/>
          <w:b/>
          <w:sz w:val="32"/>
        </w:rPr>
        <w:t>（二）一般公共预算财政拨款支出决算结构情况</w:t>
      </w:r>
    </w:p>
    <w:p w14:paraId="5468386F">
      <w:pPr>
        <w:spacing w:line="580" w:lineRule="exact"/>
        <w:ind w:firstLine="640"/>
        <w:jc w:val="both"/>
      </w:pPr>
      <w:r>
        <w:rPr>
          <w:rFonts w:ascii="仿宋_GB2312" w:hAnsi="仿宋_GB2312" w:eastAsia="仿宋_GB2312"/>
          <w:b w:val="0"/>
          <w:sz w:val="32"/>
        </w:rPr>
        <w:t>1.一般公共服务支出(类)1,416.97万元,占17.43%。</w:t>
      </w:r>
    </w:p>
    <w:p w14:paraId="3B081FB1">
      <w:pPr>
        <w:spacing w:line="580" w:lineRule="exact"/>
        <w:ind w:firstLine="640"/>
        <w:jc w:val="both"/>
      </w:pPr>
      <w:r>
        <w:rPr>
          <w:rFonts w:ascii="仿宋_GB2312" w:hAnsi="仿宋_GB2312" w:eastAsia="仿宋_GB2312"/>
          <w:b w:val="0"/>
          <w:sz w:val="32"/>
        </w:rPr>
        <w:t>2.文化旅游体育与传媒支出(类)5.00万元,占0.06%。</w:t>
      </w:r>
    </w:p>
    <w:p w14:paraId="5BC901E1">
      <w:pPr>
        <w:spacing w:line="580" w:lineRule="exact"/>
        <w:ind w:firstLine="640"/>
        <w:jc w:val="both"/>
      </w:pPr>
      <w:r>
        <w:rPr>
          <w:rFonts w:ascii="仿宋_GB2312" w:hAnsi="仿宋_GB2312" w:eastAsia="仿宋_GB2312"/>
          <w:b w:val="0"/>
          <w:sz w:val="32"/>
        </w:rPr>
        <w:t>3.社会保障和就业支出(类)254.12万元,占3.13%。</w:t>
      </w:r>
    </w:p>
    <w:p w14:paraId="08C74A29">
      <w:pPr>
        <w:spacing w:line="580" w:lineRule="exact"/>
        <w:ind w:firstLine="640"/>
        <w:jc w:val="both"/>
      </w:pPr>
      <w:r>
        <w:rPr>
          <w:rFonts w:ascii="仿宋_GB2312" w:hAnsi="仿宋_GB2312" w:eastAsia="仿宋_GB2312"/>
          <w:b w:val="0"/>
          <w:sz w:val="32"/>
        </w:rPr>
        <w:t>4.卫生健康支出(类)112.59万元,占1.39%。</w:t>
      </w:r>
    </w:p>
    <w:p w14:paraId="51FCA7A3">
      <w:pPr>
        <w:spacing w:line="580" w:lineRule="exact"/>
        <w:ind w:firstLine="640"/>
        <w:jc w:val="both"/>
      </w:pPr>
      <w:r>
        <w:rPr>
          <w:rFonts w:ascii="仿宋_GB2312" w:hAnsi="仿宋_GB2312" w:eastAsia="仿宋_GB2312"/>
          <w:b w:val="0"/>
          <w:sz w:val="32"/>
        </w:rPr>
        <w:t>5.节能环保支出(类)38.01万元,占0.47%。</w:t>
      </w:r>
    </w:p>
    <w:p w14:paraId="0C91D998">
      <w:pPr>
        <w:spacing w:line="580" w:lineRule="exact"/>
        <w:ind w:firstLine="640"/>
        <w:jc w:val="both"/>
      </w:pPr>
      <w:r>
        <w:rPr>
          <w:rFonts w:ascii="仿宋_GB2312" w:hAnsi="仿宋_GB2312" w:eastAsia="仿宋_GB2312"/>
          <w:b w:val="0"/>
          <w:sz w:val="32"/>
        </w:rPr>
        <w:t>6.农林水支出(类)6,124.46万元,占75.35%。</w:t>
      </w:r>
    </w:p>
    <w:p w14:paraId="303EFB50">
      <w:pPr>
        <w:spacing w:line="580" w:lineRule="exact"/>
        <w:ind w:firstLine="640"/>
        <w:jc w:val="both"/>
      </w:pPr>
      <w:r>
        <w:rPr>
          <w:rFonts w:ascii="仿宋_GB2312" w:hAnsi="仿宋_GB2312" w:eastAsia="仿宋_GB2312"/>
          <w:b w:val="0"/>
          <w:sz w:val="32"/>
        </w:rPr>
        <w:t>7.住房保障支出(类)177.18万元,占2.18%。</w:t>
      </w:r>
    </w:p>
    <w:p w14:paraId="04A22B62">
      <w:pPr>
        <w:spacing w:line="640" w:lineRule="exact"/>
        <w:ind w:firstLine="640"/>
        <w:jc w:val="both"/>
        <w:outlineLvl w:val="3"/>
      </w:pPr>
      <w:r>
        <w:rPr>
          <w:rFonts w:ascii="楷体_GB2312" w:hAnsi="楷体_GB2312" w:eastAsia="楷体_GB2312"/>
          <w:b/>
          <w:sz w:val="32"/>
        </w:rPr>
        <w:t>（三）一般公共预算财政拨款支出决算具体情况</w:t>
      </w:r>
    </w:p>
    <w:p w14:paraId="14E10CEF">
      <w:pPr>
        <w:spacing w:line="580" w:lineRule="exact"/>
        <w:ind w:firstLine="640"/>
        <w:jc w:val="both"/>
      </w:pPr>
      <w:r>
        <w:rPr>
          <w:rFonts w:ascii="仿宋_GB2312" w:hAnsi="仿宋_GB2312" w:eastAsia="仿宋_GB2312"/>
          <w:b w:val="0"/>
          <w:sz w:val="32"/>
        </w:rPr>
        <w:t>1.一般公共服务支出(类)政协事务(款)行政运行(项):支出决算数为1.42万元，比上年决算增加1.42万元，增长100.00%,主要原因是：本年本科目增加聘用人员经费，相应支出增加。</w:t>
      </w:r>
    </w:p>
    <w:p w14:paraId="6B7F81B8">
      <w:pPr>
        <w:spacing w:line="580" w:lineRule="exact"/>
        <w:ind w:firstLine="640"/>
        <w:jc w:val="both"/>
      </w:pPr>
      <w:r>
        <w:rPr>
          <w:rFonts w:ascii="仿宋_GB2312" w:hAnsi="仿宋_GB2312" w:eastAsia="仿宋_GB2312"/>
          <w:b w:val="0"/>
          <w:sz w:val="32"/>
        </w:rPr>
        <w:t>2.一般公共服务支出(类)政府办公厅（室）及相关机构事务(款)行政运行(项):支出决算数为1,377.50万元，比上年决算减少435.52万元，下降24.02%,主要原因是：本年在职人员减少，人员经费支出减少，本年功能科目调整，事业人员经费上年度在本科目，本年调整至事业运行科目列支，相应支出减少。</w:t>
      </w:r>
    </w:p>
    <w:p w14:paraId="5586AF0B">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支出决算数为15.71万元，比上年决算减少50.58万元，下降76.30%,主要原因是：本年减少疏勒县2023年学校改造项目。</w:t>
      </w:r>
    </w:p>
    <w:p w14:paraId="7F04849B">
      <w:pPr>
        <w:spacing w:line="580" w:lineRule="exact"/>
        <w:ind w:firstLine="640"/>
        <w:jc w:val="both"/>
      </w:pPr>
      <w:r>
        <w:rPr>
          <w:rFonts w:ascii="仿宋_GB2312" w:hAnsi="仿宋_GB2312" w:eastAsia="仿宋_GB2312"/>
          <w:b w:val="0"/>
          <w:sz w:val="32"/>
        </w:rPr>
        <w:t>4.一般公共服务支出(类)纪检监察事务(款)其他纪检监察事务支出(项):支出决算数为3.00万元，比上年决算增加1.50万元，增长100.00%,主要原因是：本年增加疏勒县纪检监察工作经费和装备设施项目，2024年中央政法纪检监察转移支付资金。</w:t>
      </w:r>
    </w:p>
    <w:p w14:paraId="0C77950C">
      <w:pPr>
        <w:spacing w:line="580" w:lineRule="exact"/>
        <w:ind w:firstLine="640"/>
        <w:jc w:val="both"/>
      </w:pPr>
      <w:r>
        <w:rPr>
          <w:rFonts w:ascii="仿宋_GB2312" w:hAnsi="仿宋_GB2312" w:eastAsia="仿宋_GB2312"/>
          <w:b w:val="0"/>
          <w:sz w:val="32"/>
        </w:rPr>
        <w:t>5.一般公共服务支出(类)组织事务(款)其他组织事务支出(项):支出决算数为19.34万元，比上年决算减少42.90万元，下降68.93%,主要原因是：本年减少村级组织运转工作项目资金，基层组织建设民生项目和乡镇、街道综合治理及</w:t>
      </w:r>
      <w:r>
        <w:rPr>
          <w:rFonts w:hint="eastAsia" w:ascii="仿宋_GB2312" w:hAnsi="仿宋_GB2312" w:eastAsia="仿宋_GB2312"/>
          <w:b w:val="0"/>
          <w:sz w:val="32"/>
          <w:lang w:val="en-US" w:eastAsia="zh-CN"/>
        </w:rPr>
        <w:t>ZJ</w:t>
      </w:r>
      <w:r>
        <w:rPr>
          <w:rFonts w:ascii="仿宋_GB2312" w:hAnsi="仿宋_GB2312" w:eastAsia="仿宋_GB2312"/>
          <w:b w:val="0"/>
          <w:sz w:val="32"/>
        </w:rPr>
        <w:t>工作经费项目。</w:t>
      </w:r>
    </w:p>
    <w:p w14:paraId="3C211498">
      <w:pPr>
        <w:spacing w:line="580" w:lineRule="exact"/>
        <w:ind w:firstLine="640"/>
        <w:jc w:val="both"/>
      </w:pPr>
      <w:r>
        <w:rPr>
          <w:rFonts w:ascii="仿宋_GB2312" w:hAnsi="仿宋_GB2312" w:eastAsia="仿宋_GB2312"/>
          <w:b w:val="0"/>
          <w:sz w:val="32"/>
        </w:rPr>
        <w:t>6.公共安全支出(类)其他公共安全支出(款)其他公共安全支出(项):支出决算数为0.00万元，比上年决算减少37.04万元，下降100.00%,主要原因是：本年功能科目调整，乡级聘用人员工资项目资金、乡镇工作经费项目资金上年度在本科目列支，本年调整至其他农业农村支出科目列支，相应支出减少。</w:t>
      </w:r>
    </w:p>
    <w:p w14:paraId="2BB3A625">
      <w:pPr>
        <w:spacing w:line="580" w:lineRule="exact"/>
        <w:ind w:firstLine="640"/>
        <w:jc w:val="both"/>
      </w:pPr>
      <w:r>
        <w:rPr>
          <w:rFonts w:ascii="仿宋_GB2312" w:hAnsi="仿宋_GB2312" w:eastAsia="仿宋_GB2312"/>
          <w:b w:val="0"/>
          <w:sz w:val="32"/>
        </w:rPr>
        <w:t>7.文化旅游体育与传媒支出(类)文化和旅游(款)其他文化和旅游支出(项):支出决算数为5.00万元，比上年决算增加0.00万元，增长0.00%,主要原因是：本单位中央补助地方美术馆、公共图书馆、文化馆（站）免费开放补助资金项目与上年一致，无变化。</w:t>
      </w:r>
    </w:p>
    <w:p w14:paraId="64E46379">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8.社会保障和就业支出(类)行政事业单位养老支出(款)行政单位离退休(项):支出决算数为22.58万元，比上年决算增加2.43万元，增长12.06%,主要原因是：本年增加退休人员基础绩效奖，退休费支出增加。</w:t>
      </w:r>
    </w:p>
    <w:p w14:paraId="53384AB5">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217.13万元，比上年决算增加27.23万元，增长14.34%,主要原因是：本年在职人员工资基数调增，养老缴费基数上涨，相应支出增加。</w:t>
      </w:r>
    </w:p>
    <w:p w14:paraId="41FB5354">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0.00万元，比上年决算减少29.19万元，下降100.00%,主要原因是：本年无新增退休人员，职业年金缴费较上年减少。</w:t>
      </w:r>
    </w:p>
    <w:p w14:paraId="7BDAF482">
      <w:pPr>
        <w:spacing w:line="580" w:lineRule="exact"/>
        <w:ind w:firstLine="640"/>
        <w:jc w:val="both"/>
      </w:pPr>
      <w:r>
        <w:rPr>
          <w:rFonts w:ascii="仿宋_GB2312" w:hAnsi="仿宋_GB2312" w:eastAsia="仿宋_GB2312"/>
          <w:b w:val="0"/>
          <w:sz w:val="32"/>
        </w:rPr>
        <w:t>11.社会保障和就业支出(类)就业补助(款)其他就业补助支出(项):支出决算数为14.41万元，比上年决算增加14.41万元，增长100.00%,主要原因是：本年增加自治区就业补助项目，相应支出增加。</w:t>
      </w:r>
    </w:p>
    <w:p w14:paraId="78C45298">
      <w:pPr>
        <w:spacing w:line="580" w:lineRule="exact"/>
        <w:ind w:firstLine="640"/>
        <w:jc w:val="both"/>
      </w:pPr>
      <w:r>
        <w:rPr>
          <w:rFonts w:ascii="仿宋_GB2312" w:hAnsi="仿宋_GB2312" w:eastAsia="仿宋_GB2312"/>
          <w:b w:val="0"/>
          <w:sz w:val="32"/>
        </w:rPr>
        <w:t>12.卫生健康支出(类)公共卫生(款)突发公共卫生事件应急处理(项):支出决算数为0.00万元，比上年决算减少242.77万元，下降100.00%,主要原因是：本年减少疏勒县YQ防控山岗伙食保障项目、疏勒县YQ防控补助项目，相应支出减少。</w:t>
      </w:r>
    </w:p>
    <w:p w14:paraId="0F6E5573">
      <w:pPr>
        <w:spacing w:line="580" w:lineRule="exact"/>
        <w:ind w:firstLine="640"/>
        <w:jc w:val="both"/>
      </w:pPr>
      <w:r>
        <w:rPr>
          <w:rFonts w:ascii="仿宋_GB2312" w:hAnsi="仿宋_GB2312" w:eastAsia="仿宋_GB2312"/>
          <w:b w:val="0"/>
          <w:sz w:val="32"/>
        </w:rPr>
        <w:t>13.卫生健康支出(类)行政事业单位医疗(款)行政单位医疗(项):支出决算数为92.79万元，比上年决算增加10.76万元，增长13.12%,主要原因是：本年在职人员工资基数调增，医疗缴费基数上涨，相应支出增加。</w:t>
      </w:r>
    </w:p>
    <w:p w14:paraId="3ADEC913">
      <w:pPr>
        <w:spacing w:line="580" w:lineRule="exact"/>
        <w:ind w:firstLine="640"/>
        <w:jc w:val="both"/>
      </w:pPr>
      <w:r>
        <w:rPr>
          <w:rFonts w:ascii="仿宋_GB2312" w:hAnsi="仿宋_GB2312" w:eastAsia="仿宋_GB2312"/>
          <w:b w:val="0"/>
          <w:sz w:val="32"/>
        </w:rPr>
        <w:t>14.卫生健康支出(类)行政事业单位医疗(款)公务员医疗补助(项):支出决算数为19.80万元，比上年决算增加2.15万元，增长12.18%,主要原因是：本年在职人员工资基数调增，公务员医疗补助支出增加，相应支出增加。</w:t>
      </w:r>
    </w:p>
    <w:p w14:paraId="395513CE">
      <w:pPr>
        <w:spacing w:line="580" w:lineRule="exact"/>
        <w:ind w:firstLine="640"/>
        <w:jc w:val="both"/>
      </w:pPr>
      <w:r>
        <w:rPr>
          <w:rFonts w:ascii="仿宋_GB2312" w:hAnsi="仿宋_GB2312" w:eastAsia="仿宋_GB2312"/>
          <w:b w:val="0"/>
          <w:sz w:val="32"/>
        </w:rPr>
        <w:t>15.节能环保支出(类)能源节约利用(款)能源节约利用(项):支出决算数为38.01万元，比上年决算减少80.55万元，下降67.94%,主要原因是：本年减少“煤改电”工程（二期）居民供暖设施改造项目，相应支出减少。</w:t>
      </w:r>
    </w:p>
    <w:p w14:paraId="28E49C31">
      <w:pPr>
        <w:spacing w:line="580" w:lineRule="exact"/>
        <w:ind w:firstLine="640"/>
        <w:jc w:val="both"/>
      </w:pPr>
      <w:r>
        <w:rPr>
          <w:rFonts w:ascii="仿宋_GB2312" w:hAnsi="仿宋_GB2312" w:eastAsia="仿宋_GB2312"/>
          <w:b w:val="0"/>
          <w:sz w:val="32"/>
        </w:rPr>
        <w:t>16.农林水支出(类)农业农村(款)事业运行(项):支出决算数为460.08万元，比上年决算增加460.08万元，增长100.00%,主要原因是：本年功能科目调整，事业人员经费上年度在行政运行科目，本年调整至本科目列支，相应支出增加。</w:t>
      </w:r>
    </w:p>
    <w:p w14:paraId="2241F777">
      <w:pPr>
        <w:spacing w:line="580" w:lineRule="exact"/>
        <w:ind w:firstLine="640"/>
        <w:jc w:val="both"/>
      </w:pPr>
      <w:r>
        <w:rPr>
          <w:rFonts w:ascii="仿宋_GB2312" w:hAnsi="仿宋_GB2312" w:eastAsia="仿宋_GB2312"/>
          <w:b w:val="0"/>
          <w:sz w:val="32"/>
        </w:rPr>
        <w:t>17.农林水支出(类)农业农村(款)其他农业农村支出(项):支出决算数为22.24万元，比上年决算增加17.32万元，增长352.03%,主要原因是：本年功能科目调整，乡级聘用人员工资项目资金、乡镇工作经费项目资金上年度在其他公共安全支出科目列支，本年调整至本科目列支，相应支出增加。</w:t>
      </w:r>
    </w:p>
    <w:p w14:paraId="72CD9151">
      <w:pPr>
        <w:spacing w:line="580" w:lineRule="exact"/>
        <w:ind w:firstLine="640"/>
        <w:jc w:val="both"/>
      </w:pPr>
      <w:r>
        <w:rPr>
          <w:rFonts w:ascii="仿宋_GB2312" w:hAnsi="仿宋_GB2312" w:eastAsia="仿宋_GB2312"/>
          <w:b w:val="0"/>
          <w:sz w:val="32"/>
        </w:rPr>
        <w:t>18.农林水支出(类)林业和草原(款)其他林业和草原支出(项):支出决算数为140.00万元，比上年决算增加33.89万元，增长31.94%,主要原因是：本单位新增疏勒县塔孜洪乡核桃嫁接改优项目、疏勒县塔孜洪乡林果提质增效采购项目，相应支出增加。</w:t>
      </w:r>
    </w:p>
    <w:p w14:paraId="15816E62">
      <w:pPr>
        <w:spacing w:line="580" w:lineRule="exact"/>
        <w:ind w:firstLine="640"/>
        <w:jc w:val="both"/>
      </w:pPr>
      <w:r>
        <w:rPr>
          <w:rFonts w:ascii="仿宋_GB2312" w:hAnsi="仿宋_GB2312" w:eastAsia="仿宋_GB2312"/>
          <w:b w:val="0"/>
          <w:sz w:val="32"/>
        </w:rPr>
        <w:t>19.农林水支出(类)巩固脱贫攻坚成果衔接乡村振兴(款)生产发展(项):支出决算数为5,405.23万元，比上年决算减少10,792.50万元，下降66.63%,主要原因是：本年减少基础设施建设（以工代赈）项目、鲁疆情食用菌农业科技示范园项目-厂房、基础设施配套、疏勒县精品蔬菜产供销研一体化产业项目等。</w:t>
      </w:r>
    </w:p>
    <w:p w14:paraId="4E5CE4C6">
      <w:pPr>
        <w:spacing w:line="580" w:lineRule="exact"/>
        <w:ind w:firstLine="640"/>
        <w:jc w:val="both"/>
      </w:pPr>
      <w:r>
        <w:rPr>
          <w:rFonts w:ascii="仿宋_GB2312" w:hAnsi="仿宋_GB2312" w:eastAsia="仿宋_GB2312"/>
          <w:b w:val="0"/>
          <w:sz w:val="32"/>
        </w:rPr>
        <w:t>20.农林水支出(类)农村综合改革(款)对村级公益事业建设的补助(项):支出决算数为96.91万元，比上年决算增加96.91万元，增长100.00%,主要原因是：本年度增加2024年度疏勒县塔孜洪乡公益事业建设财政奖补项目。</w:t>
      </w:r>
    </w:p>
    <w:p w14:paraId="2993E0AE">
      <w:pPr>
        <w:spacing w:line="580" w:lineRule="exact"/>
        <w:ind w:firstLine="640"/>
        <w:jc w:val="both"/>
      </w:pPr>
      <w:r>
        <w:rPr>
          <w:rFonts w:ascii="仿宋_GB2312" w:hAnsi="仿宋_GB2312" w:eastAsia="仿宋_GB2312"/>
          <w:b w:val="0"/>
          <w:sz w:val="32"/>
        </w:rPr>
        <w:t>21.住房保障支出(类)住房改革支出(款)住房公积金(项):支出决算数为177.18万元，比上年决算增加20.52万元，增长13.10%,主要原因是：本年在职人员工资基数调增，公积金缴费基数上涨，相应支出增加。</w:t>
      </w:r>
    </w:p>
    <w:p w14:paraId="775D4316">
      <w:pPr>
        <w:spacing w:line="640" w:lineRule="exact"/>
        <w:ind w:firstLine="640"/>
        <w:jc w:val="both"/>
        <w:outlineLvl w:val="2"/>
      </w:pPr>
      <w:r>
        <w:rPr>
          <w:rFonts w:ascii="黑体" w:hAnsi="黑体" w:eastAsia="黑体"/>
          <w:sz w:val="32"/>
        </w:rPr>
        <w:t>六、一般公共预算财政拨款基本支出决算情况说明</w:t>
      </w:r>
    </w:p>
    <w:p w14:paraId="55A846AF">
      <w:pPr>
        <w:spacing w:line="580" w:lineRule="exact"/>
        <w:ind w:firstLine="640"/>
        <w:jc w:val="both"/>
      </w:pPr>
      <w:r>
        <w:rPr>
          <w:rFonts w:ascii="仿宋_GB2312" w:hAnsi="仿宋_GB2312" w:eastAsia="仿宋_GB2312"/>
          <w:b w:val="0"/>
          <w:sz w:val="32"/>
        </w:rPr>
        <w:t>2024年度一般公共预算财政拨款基本支出2,368.47万元，其中：</w:t>
      </w:r>
      <w:r>
        <w:rPr>
          <w:rFonts w:ascii="仿宋_GB2312" w:hAnsi="仿宋_GB2312" w:eastAsia="仿宋_GB2312"/>
          <w:b/>
          <w:sz w:val="32"/>
        </w:rPr>
        <w:t>人员经费2,316.66万元，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抚恤金、生活补助。</w:t>
      </w:r>
    </w:p>
    <w:p w14:paraId="63687A0C">
      <w:pPr>
        <w:spacing w:line="580" w:lineRule="exact"/>
        <w:ind w:firstLine="640"/>
        <w:jc w:val="both"/>
      </w:pPr>
      <w:r>
        <w:rPr>
          <w:rFonts w:ascii="仿宋_GB2312" w:hAnsi="仿宋_GB2312" w:eastAsia="仿宋_GB2312"/>
          <w:b/>
          <w:sz w:val="32"/>
        </w:rPr>
        <w:t>公用经费51.80万元，</w:t>
      </w:r>
      <w:r>
        <w:rPr>
          <w:rFonts w:ascii="仿宋_GB2312" w:hAnsi="仿宋_GB2312" w:eastAsia="仿宋_GB2312"/>
          <w:b w:val="0"/>
          <w:sz w:val="32"/>
        </w:rPr>
        <w:t>包括：办公费、水费、电费、邮电费、差旅费、维修（护）费、劳务费、委托业务费、公务用车运行维护费、其他交通费用。</w:t>
      </w:r>
    </w:p>
    <w:p w14:paraId="030F6AC4">
      <w:pPr>
        <w:spacing w:line="640" w:lineRule="exact"/>
        <w:ind w:firstLine="640"/>
        <w:jc w:val="both"/>
        <w:outlineLvl w:val="2"/>
      </w:pPr>
      <w:r>
        <w:rPr>
          <w:rFonts w:ascii="黑体" w:hAnsi="黑体" w:eastAsia="黑体"/>
          <w:sz w:val="32"/>
        </w:rPr>
        <w:t>七、政府性基金预算财政拨款收入支出决算情况说明</w:t>
      </w:r>
    </w:p>
    <w:p w14:paraId="413BB2A6">
      <w:pPr>
        <w:spacing w:line="580" w:lineRule="exact"/>
        <w:ind w:firstLine="640"/>
        <w:jc w:val="both"/>
      </w:pPr>
      <w:r>
        <w:rPr>
          <w:rFonts w:ascii="仿宋_GB2312" w:hAnsi="仿宋_GB2312" w:eastAsia="仿宋_GB2312"/>
          <w:b/>
          <w:sz w:val="32"/>
        </w:rPr>
        <w:t>2024年度政府性基金预算财政拨款收入总计2,117.18万元，</w:t>
      </w:r>
      <w:r>
        <w:rPr>
          <w:rFonts w:ascii="仿宋_GB2312" w:hAnsi="仿宋_GB2312" w:eastAsia="仿宋_GB2312"/>
          <w:b w:val="0"/>
          <w:sz w:val="32"/>
        </w:rPr>
        <w:t>其中：年初结转和结余0.00万元，本年收入2,117.18万元。</w:t>
      </w:r>
      <w:r>
        <w:rPr>
          <w:rFonts w:ascii="仿宋_GB2312" w:hAnsi="仿宋_GB2312" w:eastAsia="仿宋_GB2312"/>
          <w:b/>
          <w:sz w:val="32"/>
        </w:rPr>
        <w:t>政府性基金预算财政拨款支出总计2,117.18万元，</w:t>
      </w:r>
      <w:r>
        <w:rPr>
          <w:rFonts w:ascii="仿宋_GB2312" w:hAnsi="仿宋_GB2312" w:eastAsia="仿宋_GB2312"/>
          <w:b w:val="0"/>
          <w:sz w:val="32"/>
        </w:rPr>
        <w:t>其中：年末结转和结余0.00万元，本年支出2,117.18万元。</w:t>
      </w:r>
    </w:p>
    <w:p w14:paraId="30D6B408">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增加2,098.73万元，增长11,375.23%，主要原因是：本年增加疏勒县塔孜洪乡征地拆迁补偿-第三师G3012-草湖-G314公路（G3012-草湖段）征迁补偿项目资金，导致经费较上年增加。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年初预算数1,489.02万元，决算数2,117.18万元，预决算差异率42.19%，主要原因是：年中追加2023年度疏勒县塔孜洪乡征地拆迁补偿--第三师G3012-草湖-G314公路（G3012-草湖段）征迁补偿项目资金，导致预决算存在差异。</w:t>
      </w:r>
    </w:p>
    <w:p w14:paraId="6A488680">
      <w:pPr>
        <w:spacing w:line="580" w:lineRule="exact"/>
        <w:ind w:firstLine="640"/>
        <w:jc w:val="both"/>
      </w:pPr>
      <w:r>
        <w:rPr>
          <w:rFonts w:ascii="仿宋_GB2312" w:hAnsi="仿宋_GB2312" w:eastAsia="仿宋_GB2312"/>
          <w:b w:val="0"/>
          <w:sz w:val="32"/>
        </w:rPr>
        <w:t>政府性基金预算财政拨款支出2,117.18万元。</w:t>
      </w:r>
    </w:p>
    <w:p w14:paraId="728E6F9C">
      <w:pPr>
        <w:spacing w:line="580" w:lineRule="exact"/>
        <w:ind w:firstLine="640"/>
        <w:jc w:val="both"/>
      </w:pPr>
      <w:r>
        <w:rPr>
          <w:rFonts w:ascii="仿宋_GB2312" w:hAnsi="仿宋_GB2312" w:eastAsia="仿宋_GB2312"/>
          <w:b w:val="0"/>
          <w:sz w:val="32"/>
        </w:rPr>
        <w:t>1.社会保障和就业支出(类)大中型水库移民后期扶持基金支出(款)基础设施建设和经济发展(项):支出决算数为0.00万元，比上年决算减少2.45万元，下降100.00%,主要原因是：本年减少2023年社会福利的彩票公益金、大中型水库移民后期扶持基金，相应支出减少。</w:t>
      </w:r>
    </w:p>
    <w:p w14:paraId="36C9B305">
      <w:pPr>
        <w:spacing w:line="580" w:lineRule="exact"/>
        <w:ind w:firstLine="640"/>
        <w:jc w:val="both"/>
      </w:pPr>
      <w:r>
        <w:rPr>
          <w:rFonts w:ascii="仿宋_GB2312" w:hAnsi="仿宋_GB2312" w:eastAsia="仿宋_GB2312"/>
          <w:b w:val="0"/>
          <w:sz w:val="32"/>
        </w:rPr>
        <w:t>2.城乡社区支出(类)国有土地使用权出让收入安排的支出(款)征地和拆迁补偿支出(项):支出决算数为2,117.18万元，比上年决算增加2,117.18万元，增长100.00%,主要原因是：本年增加疏勒县塔孜洪乡征地拆迁补偿-第三师G3012-草湖-G314公路（G3012-草湖段）征迁补偿项目资金，相应支出减少。</w:t>
      </w:r>
    </w:p>
    <w:p w14:paraId="5E0A05A9">
      <w:pPr>
        <w:spacing w:line="580" w:lineRule="exact"/>
        <w:ind w:firstLine="640"/>
        <w:jc w:val="both"/>
      </w:pPr>
      <w:r>
        <w:rPr>
          <w:rFonts w:ascii="仿宋_GB2312" w:hAnsi="仿宋_GB2312" w:eastAsia="仿宋_GB2312"/>
          <w:b w:val="0"/>
          <w:sz w:val="32"/>
        </w:rPr>
        <w:t>3.其他支出(类)彩票公益金安排的支出(款)用于社会福利的彩票公益金支出(项):支出决算数为0.00万元，比上年决算减少16.00万元，下降100.00%,主要原因是：本年减少2023年社会福利的彩票公益金、大中型水库移民后期扶持基金，相应支出减少。</w:t>
      </w:r>
    </w:p>
    <w:p w14:paraId="5934E70E">
      <w:pPr>
        <w:spacing w:line="640" w:lineRule="exact"/>
        <w:ind w:firstLine="640"/>
        <w:jc w:val="both"/>
        <w:outlineLvl w:val="2"/>
      </w:pPr>
      <w:r>
        <w:rPr>
          <w:rFonts w:ascii="黑体" w:hAnsi="黑体" w:eastAsia="黑体"/>
          <w:sz w:val="32"/>
        </w:rPr>
        <w:t>八、国有资本经营预算财政拨款收入支出决算情况说明</w:t>
      </w:r>
    </w:p>
    <w:p w14:paraId="6ABE48E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9CFD85E">
      <w:pPr>
        <w:spacing w:line="640" w:lineRule="exact"/>
        <w:ind w:firstLine="640"/>
        <w:jc w:val="both"/>
        <w:outlineLvl w:val="2"/>
      </w:pPr>
      <w:r>
        <w:rPr>
          <w:rFonts w:ascii="黑体" w:hAnsi="黑体" w:eastAsia="黑体"/>
          <w:sz w:val="32"/>
        </w:rPr>
        <w:t>九、财政拨款“三公”经费支出决算情况说明</w:t>
      </w:r>
    </w:p>
    <w:p w14:paraId="35814020">
      <w:pPr>
        <w:spacing w:line="580" w:lineRule="exact"/>
        <w:ind w:firstLine="640"/>
        <w:jc w:val="both"/>
      </w:pPr>
      <w:r>
        <w:rPr>
          <w:rFonts w:ascii="仿宋_GB2312" w:hAnsi="仿宋_GB2312" w:eastAsia="仿宋_GB2312"/>
          <w:b/>
          <w:sz w:val="32"/>
        </w:rPr>
        <w:t>2024年度财政拨款“三公”经费支出1.55万元，</w:t>
      </w:r>
      <w:r>
        <w:rPr>
          <w:rFonts w:ascii="仿宋_GB2312" w:hAnsi="仿宋_GB2312" w:eastAsia="仿宋_GB2312"/>
          <w:b w:val="0"/>
          <w:sz w:val="32"/>
        </w:rPr>
        <w:t>比上年增加0.00万元，增长0.00%，主要原因是：本单位</w:t>
      </w:r>
      <w:r>
        <w:rPr>
          <w:rFonts w:hint="eastAsia" w:ascii="仿宋_GB2312" w:hAnsi="仿宋_GB2312" w:eastAsia="仿宋_GB2312"/>
          <w:b w:val="0"/>
          <w:sz w:val="32"/>
          <w:lang w:val="en-US" w:eastAsia="zh-CN"/>
        </w:rPr>
        <w:t>财政拨款</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1.55万元，占100.00%，比上年增加0.00万元，增长0.00%，主要原因是：本单位公务用车运行维护费与上年一致无变化。公务接待费支出0.00万元，占0.00%，比上年增加0.00万元，增长0.00%，主要原因是：2023年与2024年均未安排公务接待费支出。</w:t>
      </w:r>
    </w:p>
    <w:p w14:paraId="2F4A4ADC">
      <w:pPr>
        <w:spacing w:line="580" w:lineRule="exact"/>
        <w:ind w:firstLine="640"/>
        <w:jc w:val="both"/>
      </w:pPr>
      <w:r>
        <w:rPr>
          <w:rFonts w:ascii="仿宋_GB2312" w:hAnsi="仿宋_GB2312" w:eastAsia="仿宋_GB2312"/>
          <w:b/>
          <w:sz w:val="32"/>
        </w:rPr>
        <w:t>具体情况如下：</w:t>
      </w:r>
    </w:p>
    <w:p w14:paraId="2ADE4E7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75D55AB">
      <w:pPr>
        <w:spacing w:line="580" w:lineRule="exact"/>
        <w:ind w:firstLine="640"/>
        <w:jc w:val="both"/>
      </w:pPr>
      <w:r>
        <w:rPr>
          <w:rFonts w:ascii="仿宋_GB2312" w:hAnsi="仿宋_GB2312" w:eastAsia="仿宋_GB2312"/>
          <w:b w:val="0"/>
          <w:sz w:val="32"/>
        </w:rPr>
        <w:t>公务用车购置及运行维护费1.55万元，其中：公务用车购置费0.00万元，公务用车运行维护费1.55万元。公务用车运行维护费开支内容包括车辆燃油费、维修费、保险费。公务用车购置数0辆，公务用车保有量2辆。国有资产占用情况中固定资产车辆12辆，与公务用车保有量差异原因是：差异车辆为一般业务用车，预算未安排公务用车运行维护费。</w:t>
      </w:r>
    </w:p>
    <w:p w14:paraId="3831DCE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3EEB01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1.55万元，决算数1.55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1.55万元，决算数1.55万元，预决算差异率0.00%，主要原因是：严格按照预算执行，预决算无差异。公务接待费全年预算数0.00万元，决算数0.00万元，预决算差异率0.00%，主要原因是：本单位无公务接待费。</w:t>
      </w:r>
    </w:p>
    <w:p w14:paraId="7F12A2AF">
      <w:pPr>
        <w:spacing w:line="640" w:lineRule="exact"/>
        <w:ind w:firstLine="640"/>
        <w:jc w:val="both"/>
        <w:outlineLvl w:val="2"/>
      </w:pPr>
      <w:r>
        <w:rPr>
          <w:rFonts w:ascii="黑体" w:hAnsi="黑体" w:eastAsia="黑体"/>
          <w:sz w:val="32"/>
        </w:rPr>
        <w:t>十、其他重要事项的情况说明</w:t>
      </w:r>
    </w:p>
    <w:p w14:paraId="409F058C">
      <w:pPr>
        <w:spacing w:line="640" w:lineRule="exact"/>
        <w:ind w:firstLine="640"/>
        <w:jc w:val="both"/>
        <w:outlineLvl w:val="3"/>
      </w:pPr>
      <w:r>
        <w:rPr>
          <w:rFonts w:ascii="楷体_GB2312" w:hAnsi="楷体_GB2312" w:eastAsia="楷体_GB2312"/>
          <w:b/>
          <w:sz w:val="32"/>
        </w:rPr>
        <w:t>（一）机关运行经费及公用经费支出情况</w:t>
      </w:r>
    </w:p>
    <w:p w14:paraId="0A96B730">
      <w:pPr>
        <w:spacing w:line="580" w:lineRule="exact"/>
        <w:ind w:firstLine="640"/>
        <w:jc w:val="both"/>
      </w:pPr>
      <w:r>
        <w:rPr>
          <w:rFonts w:ascii="仿宋_GB2312" w:hAnsi="仿宋_GB2312" w:eastAsia="仿宋_GB2312"/>
          <w:b w:val="0"/>
          <w:sz w:val="32"/>
        </w:rPr>
        <w:t>2024年度疏勒县塔孜洪乡人民政府（行政单位和参照公务员法管理事业单位）机关运行经费支出51.80万元，比上年增加0.37万元，增长0.72%，主要原因是：本年业务量增加，办公费用增加。</w:t>
      </w:r>
    </w:p>
    <w:p w14:paraId="2AFE8A03">
      <w:pPr>
        <w:spacing w:line="640" w:lineRule="exact"/>
        <w:ind w:firstLine="640"/>
        <w:jc w:val="both"/>
        <w:outlineLvl w:val="3"/>
      </w:pPr>
      <w:r>
        <w:rPr>
          <w:rFonts w:ascii="楷体_GB2312" w:hAnsi="楷体_GB2312" w:eastAsia="楷体_GB2312"/>
          <w:b/>
          <w:sz w:val="32"/>
        </w:rPr>
        <w:t>（二）政府采购情况</w:t>
      </w:r>
    </w:p>
    <w:p w14:paraId="671514B3">
      <w:pPr>
        <w:spacing w:line="580" w:lineRule="exact"/>
        <w:ind w:firstLine="640"/>
        <w:jc w:val="both"/>
      </w:pPr>
      <w:r>
        <w:rPr>
          <w:rFonts w:ascii="仿宋_GB2312" w:hAnsi="仿宋_GB2312" w:eastAsia="仿宋_GB2312"/>
          <w:b w:val="0"/>
          <w:sz w:val="32"/>
        </w:rPr>
        <w:t>2024年度政府采购支出总额3,726.71万元，其中：政府采购货物支出1,395.38万元、政府采购工程支出1,792.94万元、政府采购服务支出538.39万元。</w:t>
      </w:r>
    </w:p>
    <w:p w14:paraId="055B1439">
      <w:pPr>
        <w:spacing w:line="580" w:lineRule="exact"/>
        <w:ind w:firstLine="640"/>
        <w:jc w:val="both"/>
      </w:pPr>
      <w:r>
        <w:rPr>
          <w:rFonts w:ascii="仿宋_GB2312" w:hAnsi="仿宋_GB2312" w:eastAsia="仿宋_GB2312"/>
          <w:b w:val="0"/>
          <w:sz w:val="32"/>
        </w:rPr>
        <w:t>授予中小企业合同金额3,538.14万元，占政府采购支出总额的94.94%，其中：授予小微企业合同金额3,538.00万元，占政府采购支出总额的94.94%。</w:t>
      </w:r>
    </w:p>
    <w:p w14:paraId="4FF1A1D8">
      <w:pPr>
        <w:spacing w:line="640" w:lineRule="exact"/>
        <w:ind w:firstLine="640"/>
        <w:jc w:val="both"/>
        <w:outlineLvl w:val="3"/>
      </w:pPr>
      <w:r>
        <w:rPr>
          <w:rFonts w:ascii="楷体_GB2312" w:hAnsi="楷体_GB2312" w:eastAsia="楷体_GB2312"/>
          <w:b/>
          <w:sz w:val="32"/>
        </w:rPr>
        <w:t>（三）国有资产占用情况说明</w:t>
      </w:r>
    </w:p>
    <w:p w14:paraId="7D5CFF1D">
      <w:pPr>
        <w:spacing w:line="580" w:lineRule="exact"/>
        <w:ind w:firstLine="640"/>
        <w:jc w:val="both"/>
      </w:pPr>
      <w:r>
        <w:rPr>
          <w:rFonts w:ascii="仿宋_GB2312" w:hAnsi="仿宋_GB2312" w:eastAsia="仿宋_GB2312"/>
          <w:b w:val="0"/>
          <w:sz w:val="32"/>
        </w:rPr>
        <w:t>截至2024年12月31日，房屋65,114.17平方米，价值8,401.88万元。车辆12辆，价值146.94万元，其中：副部（省）级及以上领导用车0辆、主要负责人用车0辆、机要通信用车0辆、应急保障用车0辆、执法执勤用车0辆、特种专业技术用车0辆、离退休干部服务用车0辆、其他用车12辆，其他用车主要是：一般公务用车和单位业务用车。单价100万元（含）以上设备（不含车辆）8台（套）。</w:t>
      </w:r>
    </w:p>
    <w:p w14:paraId="04BA93FA">
      <w:pPr>
        <w:spacing w:line="640" w:lineRule="exact"/>
        <w:ind w:firstLine="640"/>
        <w:jc w:val="both"/>
        <w:outlineLvl w:val="2"/>
      </w:pPr>
      <w:r>
        <w:rPr>
          <w:rFonts w:ascii="黑体" w:hAnsi="黑体" w:eastAsia="黑体"/>
          <w:sz w:val="32"/>
        </w:rPr>
        <w:t>十一、预算绩效的情况说明</w:t>
      </w:r>
    </w:p>
    <w:p w14:paraId="784F4E9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根据预算绩效管理要求，本单位2024年度预算绩效管理形成整体支出绩效自评表1个，全年预算总额13,672.83万元，实际执行总额13,672.83万元；预算绩效评价项目</w:t>
      </w:r>
      <w:r>
        <w:rPr>
          <w:rFonts w:hint="eastAsia" w:ascii="仿宋_GB2312" w:hAnsi="仿宋_GB2312" w:eastAsia="仿宋_GB2312"/>
          <w:b w:val="0"/>
          <w:sz w:val="32"/>
          <w:lang w:val="en-US" w:eastAsia="zh-CN"/>
        </w:rPr>
        <w:t>1</w:t>
      </w:r>
      <w:r>
        <w:rPr>
          <w:rFonts w:ascii="仿宋_GB2312" w:hAnsi="仿宋_GB2312" w:eastAsia="仿宋_GB2312"/>
          <w:b w:val="0"/>
          <w:sz w:val="32"/>
        </w:rPr>
        <w:t>9个，全年预算数</w:t>
      </w:r>
      <w:r>
        <w:rPr>
          <w:rFonts w:hint="eastAsia" w:ascii="仿宋_GB2312" w:hAnsi="仿宋_GB2312" w:eastAsia="仿宋_GB2312"/>
          <w:b w:val="0"/>
          <w:sz w:val="32"/>
        </w:rPr>
        <w:t>7</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883.06</w:t>
      </w:r>
      <w:r>
        <w:rPr>
          <w:rFonts w:ascii="仿宋_GB2312" w:hAnsi="仿宋_GB2312" w:eastAsia="仿宋_GB2312"/>
          <w:b w:val="0"/>
          <w:sz w:val="32"/>
        </w:rPr>
        <w:t>万元，全年执行数</w:t>
      </w:r>
      <w:r>
        <w:rPr>
          <w:rFonts w:hint="eastAsia" w:ascii="仿宋_GB2312" w:hAnsi="仿宋_GB2312" w:eastAsia="仿宋_GB2312"/>
          <w:b w:val="0"/>
          <w:sz w:val="32"/>
        </w:rPr>
        <w:t>7</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813.80</w:t>
      </w:r>
      <w:r>
        <w:rPr>
          <w:rFonts w:ascii="仿宋_GB2312" w:hAnsi="仿宋_GB2312" w:eastAsia="仿宋_GB2312"/>
          <w:b w:val="0"/>
          <w:sz w:val="32"/>
        </w:rPr>
        <w:t>万元。预算绩效管理取得的成效：一是通过认真梳理2024年资金使用情况和项目实施规模，根据各项目实际存档资料，就项目工作计划与部门职能和规划内容、与科室和项目之间的对应关系、重点工作安排与重点项目安排情况等，与相关科室的管理人员进行了沟通和交流，深入了解本单位涉及项目资金的使用情况和项目完成情况；二是项目资金不存在截留、挪用，支付审批合规、不存在用途改变、范围超支和虚列项目支出等情况；三是项目实施符合专项管理办法，流程和管理制度合规。发现的问题及原因：一是预算绩效管理观念不深入，并没有全面、正确认识绩效管理。日常工作事务多，分管人员对预算绩效管理重视度不够，没有自觉、主动地去加强对预算绩效管理的认识。同时，认识绩效管理的途径缺乏也阻碍了分管人员对绩效管理的全面、正确认识。二是分管绩效管理的业务人员开展绩效管理工作不够专业化，缺乏绩效管理经验。由于分管绩效管理的业务人员为非会计专业人员，没接受过绩效管理专业培训，再加上分管该项工作时日尚短，绩效管理工作经验不足，进行绩效管理工作专业化不强。下一步改进措施：一是加大绩效工作宣传力度，强化绩效理念。二是完善绩效指标，绩效指标的设置细化、具体化，提高整体绩效目标质量。提升预算精细化管理水平；三是继续完善预算绩效管理相关工作制度，建立全过程预算绩效管理链条，有效贯彻落实全面实施绩效管理的精神；四是对相关人员加强培训，特别是针对《</w:t>
      </w:r>
      <w:r>
        <w:rPr>
          <w:rFonts w:hint="eastAsia" w:ascii="仿宋_GB2312" w:hAnsi="仿宋_GB2312" w:eastAsia="仿宋_GB2312"/>
          <w:b w:val="0"/>
          <w:sz w:val="32"/>
          <w:lang w:eastAsia="zh-CN"/>
        </w:rPr>
        <w:t>中华人民共和国预算法实施条例</w:t>
      </w:r>
      <w:r>
        <w:rPr>
          <w:rFonts w:ascii="仿宋_GB2312" w:hAnsi="仿宋_GB2312" w:eastAsia="仿宋_GB2312"/>
          <w:b w:val="0"/>
          <w:sz w:val="32"/>
        </w:rPr>
        <w:t>》《行政事业单位会计制度》等学习培训，规范部门预算收支核算，切实提高部门预算收支管理水平。具体附整体支出绩效自评表，项目支出绩效自评表和评价报告。</w:t>
      </w:r>
    </w:p>
    <w:p w14:paraId="7DECA36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1016"/>
        <w:gridCol w:w="983"/>
        <w:gridCol w:w="983"/>
        <w:gridCol w:w="983"/>
        <w:gridCol w:w="983"/>
        <w:gridCol w:w="983"/>
      </w:tblGrid>
      <w:tr w14:paraId="30006957">
        <w:tblPrEx>
          <w:tblCellMar>
            <w:top w:w="0" w:type="dxa"/>
            <w:left w:w="108" w:type="dxa"/>
            <w:bottom w:w="0" w:type="dxa"/>
            <w:right w:w="108" w:type="dxa"/>
          </w:tblCellMar>
        </w:tblPrEx>
        <w:tc>
          <w:tcPr>
            <w:tcW w:w="8847" w:type="dxa"/>
            <w:gridSpan w:val="9"/>
            <w:vAlign w:val="center"/>
          </w:tcPr>
          <w:p w14:paraId="718C43E5">
            <w:pPr>
              <w:jc w:val="center"/>
            </w:pPr>
            <w:r>
              <w:rPr>
                <w:rFonts w:ascii="宋体" w:hAnsi="宋体" w:eastAsia="宋体"/>
                <w:sz w:val="24"/>
              </w:rPr>
              <w:t>单位整体支出绩效自评表</w:t>
            </w:r>
          </w:p>
        </w:tc>
      </w:tr>
      <w:tr w14:paraId="31AFAB7D">
        <w:tblPrEx>
          <w:tblCellMar>
            <w:top w:w="0" w:type="dxa"/>
            <w:left w:w="108" w:type="dxa"/>
            <w:bottom w:w="0" w:type="dxa"/>
            <w:right w:w="108" w:type="dxa"/>
          </w:tblCellMar>
        </w:tblPrEx>
        <w:tc>
          <w:tcPr>
            <w:tcW w:w="8847" w:type="dxa"/>
            <w:gridSpan w:val="9"/>
            <w:vAlign w:val="center"/>
          </w:tcPr>
          <w:p w14:paraId="41CFC840">
            <w:pPr>
              <w:jc w:val="center"/>
            </w:pPr>
            <w:r>
              <w:rPr>
                <w:rFonts w:ascii="宋体" w:hAnsi="宋体" w:eastAsia="宋体"/>
                <w:sz w:val="24"/>
              </w:rPr>
              <w:t>（2024年度）</w:t>
            </w:r>
          </w:p>
        </w:tc>
      </w:tr>
      <w:tr w14:paraId="2019777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BACCA">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9FA3FD0">
            <w:pPr>
              <w:jc w:val="center"/>
            </w:pPr>
            <w:r>
              <w:rPr>
                <w:rFonts w:ascii="宋体" w:hAnsi="宋体" w:eastAsia="宋体"/>
                <w:sz w:val="16"/>
              </w:rPr>
              <w:t>疏勒县塔孜洪乡人民政府</w:t>
            </w:r>
          </w:p>
        </w:tc>
      </w:tr>
      <w:tr w14:paraId="264DADE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5943D5">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FBF94">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30BB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344FF">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448FD">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57CD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9DEB0D">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2AC12">
            <w:pPr>
              <w:jc w:val="center"/>
            </w:pPr>
            <w:r>
              <w:rPr>
                <w:rFonts w:ascii="宋体" w:hAnsi="宋体" w:eastAsia="宋体"/>
                <w:sz w:val="16"/>
              </w:rPr>
              <w:t>得分</w:t>
            </w:r>
          </w:p>
        </w:tc>
      </w:tr>
      <w:tr w14:paraId="44C019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632FC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ECA36">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FFBD2">
            <w:pPr>
              <w:jc w:val="center"/>
            </w:pPr>
            <w:r>
              <w:rPr>
                <w:rFonts w:ascii="宋体" w:hAnsi="宋体" w:eastAsia="宋体"/>
                <w:sz w:val="16"/>
              </w:rPr>
              <w:t>3,857.54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F6905">
            <w:pPr>
              <w:jc w:val="center"/>
            </w:pPr>
            <w:r>
              <w:rPr>
                <w:rFonts w:ascii="宋体" w:hAnsi="宋体" w:eastAsia="宋体"/>
                <w:sz w:val="16"/>
              </w:rPr>
              <w:t>13,672.83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BCD18">
            <w:pPr>
              <w:jc w:val="center"/>
            </w:pPr>
            <w:r>
              <w:rPr>
                <w:rFonts w:ascii="宋体" w:hAnsi="宋体" w:eastAsia="宋体"/>
                <w:sz w:val="16"/>
              </w:rPr>
              <w:t>13,672.83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0C07A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82FAC">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B5D66">
            <w:pPr>
              <w:jc w:val="center"/>
            </w:pPr>
            <w:r>
              <w:rPr>
                <w:rFonts w:ascii="宋体" w:hAnsi="宋体" w:eastAsia="宋体"/>
                <w:sz w:val="16"/>
              </w:rPr>
              <w:t>10</w:t>
            </w:r>
          </w:p>
        </w:tc>
      </w:tr>
      <w:tr w14:paraId="6E6A11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1F18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646B8">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71896">
            <w:pPr>
              <w:jc w:val="center"/>
            </w:pPr>
            <w:r>
              <w:rPr>
                <w:rFonts w:ascii="宋体" w:hAnsi="宋体" w:eastAsia="宋体"/>
                <w:sz w:val="16"/>
              </w:rPr>
              <w:t>509.70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D783E">
            <w:pPr>
              <w:jc w:val="center"/>
            </w:pPr>
            <w:r>
              <w:rPr>
                <w:rFonts w:ascii="宋体" w:hAnsi="宋体" w:eastAsia="宋体"/>
                <w:sz w:val="16"/>
              </w:rPr>
              <w:t>6,050.76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73EFA">
            <w:pPr>
              <w:jc w:val="center"/>
            </w:pPr>
            <w:r>
              <w:rPr>
                <w:rFonts w:ascii="宋体" w:hAnsi="宋体" w:eastAsia="宋体"/>
                <w:sz w:val="16"/>
              </w:rPr>
              <w:t>6,050.76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AB01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C122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236C6">
            <w:pPr>
              <w:jc w:val="center"/>
            </w:pPr>
            <w:r>
              <w:rPr>
                <w:rFonts w:ascii="宋体" w:hAnsi="宋体" w:eastAsia="宋体"/>
                <w:sz w:val="16"/>
              </w:rPr>
              <w:t>—</w:t>
            </w:r>
          </w:p>
        </w:tc>
      </w:tr>
      <w:tr w14:paraId="512067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119AA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57DC7">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CDC74">
            <w:pPr>
              <w:jc w:val="center"/>
            </w:pPr>
            <w:r>
              <w:rPr>
                <w:rFonts w:ascii="宋体" w:hAnsi="宋体" w:eastAsia="宋体"/>
                <w:sz w:val="16"/>
              </w:rPr>
              <w:t>3,347.84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7064B2">
            <w:pPr>
              <w:jc w:val="center"/>
            </w:pPr>
            <w:r>
              <w:rPr>
                <w:rFonts w:ascii="宋体" w:hAnsi="宋体" w:eastAsia="宋体"/>
                <w:sz w:val="16"/>
              </w:rPr>
              <w:t>4,229.27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1CF63">
            <w:pPr>
              <w:jc w:val="center"/>
            </w:pPr>
            <w:r>
              <w:rPr>
                <w:rFonts w:ascii="宋体" w:hAnsi="宋体" w:eastAsia="宋体"/>
                <w:sz w:val="16"/>
              </w:rPr>
              <w:t>4,229.27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57A6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C798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43F98">
            <w:pPr>
              <w:jc w:val="center"/>
            </w:pPr>
            <w:r>
              <w:rPr>
                <w:rFonts w:ascii="宋体" w:hAnsi="宋体" w:eastAsia="宋体"/>
                <w:sz w:val="16"/>
              </w:rPr>
              <w:t>—</w:t>
            </w:r>
          </w:p>
        </w:tc>
      </w:tr>
      <w:tr w14:paraId="698EC1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5794B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4D464">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60A8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4D8A5">
            <w:pPr>
              <w:jc w:val="center"/>
            </w:pPr>
            <w:r>
              <w:rPr>
                <w:rFonts w:ascii="宋体" w:hAnsi="宋体" w:eastAsia="宋体"/>
                <w:sz w:val="16"/>
              </w:rPr>
              <w:t>3,392.80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64BFB">
            <w:pPr>
              <w:jc w:val="center"/>
            </w:pPr>
            <w:r>
              <w:rPr>
                <w:rFonts w:ascii="宋体" w:hAnsi="宋体" w:eastAsia="宋体"/>
                <w:sz w:val="16"/>
              </w:rPr>
              <w:t>3,392.80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A06C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2F62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B183F">
            <w:pPr>
              <w:jc w:val="center"/>
            </w:pPr>
            <w:r>
              <w:rPr>
                <w:rFonts w:ascii="宋体" w:hAnsi="宋体" w:eastAsia="宋体"/>
                <w:sz w:val="16"/>
              </w:rPr>
              <w:t>—</w:t>
            </w:r>
          </w:p>
        </w:tc>
      </w:tr>
      <w:tr w14:paraId="0A0C4D3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07FCC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62A892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A92359">
            <w:pPr>
              <w:jc w:val="center"/>
            </w:pPr>
            <w:r>
              <w:rPr>
                <w:rFonts w:ascii="宋体" w:hAnsi="宋体" w:eastAsia="宋体"/>
                <w:sz w:val="16"/>
              </w:rPr>
              <w:t>实际完成情况</w:t>
            </w:r>
          </w:p>
        </w:tc>
      </w:tr>
      <w:tr w14:paraId="22553D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47055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0A415E">
            <w:pPr>
              <w:jc w:val="both"/>
            </w:pPr>
            <w:r>
              <w:rPr>
                <w:rFonts w:ascii="宋体" w:hAnsi="宋体" w:eastAsia="宋体"/>
                <w:sz w:val="16"/>
              </w:rPr>
              <w:t>1、警钟长鸣，全力实现“一个总目标”，紧盯自治区党委“3+1”重点工作安排部署，牢固树立稳定工作无小事的意识，坚持做到“两个统筹”，坚决打好</w:t>
            </w:r>
            <w:r>
              <w:rPr>
                <w:rFonts w:hint="eastAsia" w:ascii="宋体" w:hAnsi="宋体"/>
                <w:sz w:val="16"/>
                <w:lang w:eastAsia="zh-CN"/>
              </w:rPr>
              <w:t>WW</w:t>
            </w:r>
            <w:r>
              <w:rPr>
                <w:rFonts w:ascii="宋体" w:hAnsi="宋体" w:eastAsia="宋体"/>
                <w:sz w:val="16"/>
              </w:rPr>
              <w:t>“组合拳”，牢牢守住“五个不发生”红线底线，常态化抓好各项工作落实，保障</w:t>
            </w:r>
            <w:r>
              <w:rPr>
                <w:rFonts w:hint="eastAsia" w:ascii="宋体" w:hAnsi="宋体"/>
                <w:sz w:val="16"/>
                <w:lang w:eastAsia="zh-CN"/>
              </w:rPr>
              <w:t>WW</w:t>
            </w:r>
            <w:r>
              <w:rPr>
                <w:rFonts w:ascii="宋体" w:hAnsi="宋体" w:eastAsia="宋体"/>
                <w:sz w:val="16"/>
              </w:rPr>
              <w:t>指挥体系畅通无阻、运转高效，确保塔孜洪乡社会大局持续稳定、长期稳定。</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2、稳步推进，全力打造“两大基地”，即守好“菜篮子”基地和稳住“米袋子”基地。</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多措并举，全力培强“三大企业”，不断向产业两端延伸产业链，增加农产品附加值，推动高质量发展，持续做大“土特产”文章，规划建成“鲁疆情”食用菌、“郭牌”西甜瓜、江苏德利尔等优势特色产业。</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4、精准谋划，全力瞄准文旅、水产养殖、果蔬及“智慧物流”四大业态。凝心聚力，带领全乡各族群众致富，切实增强农民群众的幸福感、获得感，让农民群众生活质量更上一层楼。</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7EA9AF">
            <w:pPr>
              <w:jc w:val="both"/>
            </w:pPr>
            <w:r>
              <w:rPr>
                <w:rFonts w:ascii="宋体" w:hAnsi="宋体" w:eastAsia="宋体"/>
                <w:sz w:val="16"/>
              </w:rPr>
              <w:t>2024年度，疏勒县塔孜洪乡常态化抓好各项工作落实。2024年完成特色种养殖专业技术人员培训2030人次、稳步推进，全力打造“两大基地”，即守好“菜篮子”基地和稳住“米袋子”基地，推进高标准农田建设面积25188.15亩，建成各类蔬菜拱棚数量4933座，完成果蔬产业“贝贝南瓜”基地推广种植面积1009亩。全力培强“三大企业”，不断向产业两端延伸产业链，增加农产品附加值，推动高质量发展，持续</w:t>
            </w:r>
            <w:r>
              <w:rPr>
                <w:rFonts w:hint="eastAsia" w:ascii="宋体" w:hAnsi="宋体"/>
                <w:sz w:val="16"/>
                <w:lang w:eastAsia="zh-CN"/>
              </w:rPr>
              <w:t>做好“土特产”文章</w:t>
            </w:r>
            <w:r>
              <w:rPr>
                <w:rFonts w:ascii="宋体" w:hAnsi="宋体" w:eastAsia="宋体"/>
                <w:sz w:val="16"/>
              </w:rPr>
              <w:t>，规划建成“鲁疆情”食用菌、“郭牌”西瓜、江苏德利尔等优势特色产业；精准谋划，全力瞄准文旅、水产养殖、果蔬及“智慧物流”四大业态。凝心聚力，带领全乡各族群众致富，切实增强农民群众的幸福感、获得感，让农民群众生活质量更上一层楼。通过2024年工作，不断完善法治体系，提升决策水平，坚持全面从严治党，保持不实作风严惩的高压态势。有效保障</w:t>
            </w:r>
            <w:r>
              <w:rPr>
                <w:rFonts w:hint="eastAsia" w:ascii="宋体" w:hAnsi="宋体"/>
                <w:sz w:val="16"/>
                <w:lang w:eastAsia="zh-CN"/>
              </w:rPr>
              <w:t>WW</w:t>
            </w:r>
            <w:r>
              <w:rPr>
                <w:rFonts w:ascii="宋体" w:hAnsi="宋体" w:eastAsia="宋体"/>
                <w:sz w:val="16"/>
              </w:rPr>
              <w:t>指挥体系畅通无阻、高效运转，化解政府债务数量1个，确保我乡社会大局持续、长期稳定。</w:t>
            </w:r>
          </w:p>
        </w:tc>
      </w:tr>
      <w:tr w14:paraId="34A1B2B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EF9D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D018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56143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E7C51">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FA84B">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68DA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9CB7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F6411">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29EC4">
            <w:pPr>
              <w:jc w:val="center"/>
            </w:pPr>
            <w:r>
              <w:rPr>
                <w:rFonts w:ascii="宋体" w:hAnsi="宋体" w:eastAsia="宋体"/>
                <w:sz w:val="16"/>
              </w:rPr>
              <w:t>得分</w:t>
            </w:r>
          </w:p>
        </w:tc>
      </w:tr>
      <w:tr w14:paraId="1614982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A14AE2">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FA735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5CD30">
            <w:pPr>
              <w:jc w:val="center"/>
            </w:pPr>
            <w:r>
              <w:rPr>
                <w:rFonts w:ascii="宋体" w:hAnsi="宋体" w:eastAsia="宋体"/>
                <w:sz w:val="16"/>
              </w:rPr>
              <w:t>特色种养殖专业技术人员培训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9F84C">
            <w:pPr>
              <w:jc w:val="center"/>
            </w:pPr>
            <w:r>
              <w:rPr>
                <w:rFonts w:ascii="宋体" w:hAnsi="宋体" w:eastAsia="宋体"/>
                <w:sz w:val="16"/>
              </w:rPr>
              <w:t>&gt;=2030人次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E5FA2">
            <w:pPr>
              <w:jc w:val="center"/>
            </w:pPr>
            <w:r>
              <w:rPr>
                <w:rFonts w:ascii="宋体" w:hAnsi="宋体" w:eastAsia="宋体"/>
                <w:sz w:val="16"/>
              </w:rPr>
              <w:t>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4CA97">
            <w:pPr>
              <w:jc w:val="center"/>
            </w:pPr>
            <w:r>
              <w:rPr>
                <w:rFonts w:ascii="宋体" w:hAnsi="宋体" w:eastAsia="宋体"/>
                <w:sz w:val="16"/>
              </w:rPr>
              <w:t>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DBEA4">
            <w:pPr>
              <w:jc w:val="center"/>
            </w:pPr>
            <w:r>
              <w:rPr>
                <w:rFonts w:ascii="宋体" w:hAnsi="宋体" w:eastAsia="宋体"/>
                <w:sz w:val="16"/>
              </w:rPr>
              <w:t>2030人次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AE38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70B93">
            <w:pPr>
              <w:jc w:val="center"/>
            </w:pPr>
            <w:r>
              <w:rPr>
                <w:rFonts w:ascii="宋体" w:hAnsi="宋体" w:eastAsia="宋体"/>
                <w:sz w:val="16"/>
              </w:rPr>
              <w:t>17</w:t>
            </w:r>
          </w:p>
        </w:tc>
      </w:tr>
      <w:tr w14:paraId="5604C0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C056A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61EA4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5FEDB">
            <w:pPr>
              <w:jc w:val="center"/>
            </w:pPr>
            <w:r>
              <w:rPr>
                <w:rFonts w:ascii="宋体" w:hAnsi="宋体" w:eastAsia="宋体"/>
                <w:sz w:val="16"/>
              </w:rPr>
              <w:t>推进高标准农田建设面积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95ABAD">
            <w:pPr>
              <w:jc w:val="center"/>
            </w:pPr>
            <w:r>
              <w:rPr>
                <w:rFonts w:ascii="宋体" w:hAnsi="宋体" w:eastAsia="宋体"/>
                <w:sz w:val="16"/>
              </w:rPr>
              <w:t>&gt;=25188.15亩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68CB8">
            <w:pPr>
              <w:jc w:val="center"/>
            </w:pPr>
            <w:r>
              <w:rPr>
                <w:rFonts w:ascii="宋体" w:hAnsi="宋体" w:eastAsia="宋体"/>
                <w:sz w:val="16"/>
              </w:rPr>
              <w:t>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F7ED7">
            <w:pPr>
              <w:jc w:val="center"/>
            </w:pPr>
            <w:r>
              <w:rPr>
                <w:rFonts w:ascii="宋体" w:hAnsi="宋体" w:eastAsia="宋体"/>
                <w:sz w:val="16"/>
              </w:rPr>
              <w:t>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62E75">
            <w:pPr>
              <w:jc w:val="center"/>
            </w:pPr>
            <w:r>
              <w:rPr>
                <w:rFonts w:ascii="宋体" w:hAnsi="宋体" w:eastAsia="宋体"/>
                <w:sz w:val="16"/>
              </w:rPr>
              <w:t>25188.15亩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33A9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30273">
            <w:pPr>
              <w:jc w:val="center"/>
            </w:pPr>
            <w:r>
              <w:rPr>
                <w:rFonts w:ascii="宋体" w:hAnsi="宋体" w:eastAsia="宋体"/>
                <w:sz w:val="16"/>
              </w:rPr>
              <w:t>17</w:t>
            </w:r>
          </w:p>
        </w:tc>
      </w:tr>
      <w:tr w14:paraId="667CA0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E46BA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1E028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AB267">
            <w:pPr>
              <w:jc w:val="center"/>
            </w:pPr>
            <w:r>
              <w:rPr>
                <w:rFonts w:ascii="宋体" w:hAnsi="宋体" w:eastAsia="宋体"/>
                <w:sz w:val="16"/>
              </w:rPr>
              <w:t>建成各类蔬菜拱棚数量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0C184">
            <w:pPr>
              <w:jc w:val="center"/>
            </w:pPr>
            <w:r>
              <w:rPr>
                <w:rFonts w:ascii="宋体" w:hAnsi="宋体" w:eastAsia="宋体"/>
                <w:sz w:val="16"/>
              </w:rPr>
              <w:t>&gt;=4933座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7E9DA">
            <w:pPr>
              <w:jc w:val="center"/>
            </w:pPr>
            <w:r>
              <w:rPr>
                <w:rFonts w:ascii="宋体" w:hAnsi="宋体" w:eastAsia="宋体"/>
                <w:sz w:val="16"/>
              </w:rPr>
              <w:t>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9B2A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D3B80">
            <w:pPr>
              <w:jc w:val="center"/>
            </w:pPr>
            <w:r>
              <w:rPr>
                <w:rFonts w:ascii="宋体" w:hAnsi="宋体" w:eastAsia="宋体"/>
                <w:sz w:val="16"/>
              </w:rPr>
              <w:t>4933座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B3D2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F24E5">
            <w:pPr>
              <w:jc w:val="center"/>
            </w:pPr>
            <w:r>
              <w:rPr>
                <w:rFonts w:ascii="宋体" w:hAnsi="宋体" w:eastAsia="宋体"/>
                <w:sz w:val="16"/>
              </w:rPr>
              <w:t>15</w:t>
            </w:r>
          </w:p>
        </w:tc>
      </w:tr>
      <w:tr w14:paraId="5F3635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D4E49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8D53F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8ED8C">
            <w:pPr>
              <w:jc w:val="center"/>
            </w:pPr>
            <w:r>
              <w:rPr>
                <w:rFonts w:ascii="宋体" w:hAnsi="宋体" w:eastAsia="宋体"/>
                <w:sz w:val="16"/>
              </w:rPr>
              <w:t>果蔬产业“贝贝南瓜”基地推广种植面积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FD5E3E">
            <w:pPr>
              <w:jc w:val="center"/>
            </w:pPr>
            <w:r>
              <w:rPr>
                <w:rFonts w:ascii="宋体" w:hAnsi="宋体" w:eastAsia="宋体"/>
                <w:sz w:val="16"/>
              </w:rPr>
              <w:t>&gt;=1009亩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DBC97">
            <w:pPr>
              <w:jc w:val="center"/>
            </w:pPr>
            <w:r>
              <w:rPr>
                <w:rFonts w:ascii="宋体" w:hAnsi="宋体" w:eastAsia="宋体"/>
                <w:sz w:val="16"/>
              </w:rPr>
              <w:t>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7542B">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45B81">
            <w:pPr>
              <w:jc w:val="center"/>
            </w:pPr>
            <w:r>
              <w:rPr>
                <w:rFonts w:ascii="宋体" w:hAnsi="宋体" w:eastAsia="宋体"/>
                <w:sz w:val="16"/>
              </w:rPr>
              <w:t>1009亩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B515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4B1CA">
            <w:pPr>
              <w:jc w:val="center"/>
            </w:pPr>
            <w:r>
              <w:rPr>
                <w:rFonts w:ascii="宋体" w:hAnsi="宋体" w:eastAsia="宋体"/>
                <w:sz w:val="16"/>
              </w:rPr>
              <w:t>15</w:t>
            </w:r>
          </w:p>
        </w:tc>
      </w:tr>
      <w:tr w14:paraId="2AD413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A7E95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DE31A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28F21">
            <w:pPr>
              <w:jc w:val="center"/>
            </w:pPr>
            <w:r>
              <w:rPr>
                <w:rFonts w:ascii="宋体" w:hAnsi="宋体" w:eastAsia="宋体"/>
                <w:sz w:val="16"/>
              </w:rPr>
              <w:t>化解政府债务数量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4266B">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8E015">
            <w:pPr>
              <w:jc w:val="center"/>
            </w:pPr>
            <w:r>
              <w:rPr>
                <w:rFonts w:ascii="宋体" w:hAnsi="宋体" w:eastAsia="宋体"/>
                <w:sz w:val="16"/>
              </w:rPr>
              <w:t>会议纪要</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579CC">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9E8A9">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917B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6BE3C">
            <w:pPr>
              <w:jc w:val="center"/>
            </w:pPr>
            <w:r>
              <w:rPr>
                <w:rFonts w:ascii="宋体" w:hAnsi="宋体" w:eastAsia="宋体"/>
                <w:sz w:val="16"/>
              </w:rPr>
              <w:t>13</w:t>
            </w:r>
          </w:p>
        </w:tc>
      </w:tr>
      <w:tr w14:paraId="7F04E0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2C254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EF432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8E5E6">
            <w:pPr>
              <w:jc w:val="center"/>
            </w:pPr>
            <w:r>
              <w:rPr>
                <w:rFonts w:ascii="宋体" w:hAnsi="宋体" w:eastAsia="宋体"/>
                <w:sz w:val="16"/>
              </w:rPr>
              <w:t>乡镇聘用人员数量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CFCF7">
            <w:pPr>
              <w:jc w:val="center"/>
            </w:pPr>
            <w:r>
              <w:rPr>
                <w:rFonts w:ascii="宋体" w:hAnsi="宋体" w:eastAsia="宋体"/>
                <w:sz w:val="16"/>
              </w:rPr>
              <w:t>=8名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F48AC">
            <w:pPr>
              <w:jc w:val="center"/>
            </w:pPr>
            <w:r>
              <w:rPr>
                <w:rFonts w:ascii="宋体" w:hAnsi="宋体" w:eastAsia="宋体"/>
                <w:sz w:val="16"/>
              </w:rPr>
              <w:t>会议纪要</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3DD55">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0CAB3">
            <w:pPr>
              <w:jc w:val="center"/>
            </w:pPr>
            <w:r>
              <w:rPr>
                <w:rFonts w:ascii="宋体" w:hAnsi="宋体" w:eastAsia="宋体"/>
                <w:sz w:val="16"/>
              </w:rPr>
              <w:t>8名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AD7D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811ED">
            <w:pPr>
              <w:jc w:val="center"/>
            </w:pPr>
            <w:r>
              <w:rPr>
                <w:rFonts w:ascii="宋体" w:hAnsi="宋体" w:eastAsia="宋体"/>
                <w:sz w:val="16"/>
              </w:rPr>
              <w:t>13</w:t>
            </w:r>
          </w:p>
        </w:tc>
      </w:tr>
    </w:tbl>
    <w:p w14:paraId="656585FA">
      <w:r>
        <w:br w:type="page"/>
      </w:r>
    </w:p>
    <w:tbl>
      <w:tblPr>
        <w:tblStyle w:val="9"/>
        <w:tblW w:w="0" w:type="auto"/>
        <w:tblInd w:w="0" w:type="dxa"/>
        <w:tblLayout w:type="autofit"/>
        <w:tblCellMar>
          <w:top w:w="0" w:type="dxa"/>
          <w:left w:w="108" w:type="dxa"/>
          <w:bottom w:w="0" w:type="dxa"/>
          <w:right w:w="108" w:type="dxa"/>
        </w:tblCellMar>
      </w:tblPr>
      <w:tblGrid>
        <w:gridCol w:w="607"/>
        <w:gridCol w:w="566"/>
        <w:gridCol w:w="566"/>
        <w:gridCol w:w="856"/>
        <w:gridCol w:w="936"/>
        <w:gridCol w:w="583"/>
        <w:gridCol w:w="576"/>
        <w:gridCol w:w="590"/>
        <w:gridCol w:w="568"/>
        <w:gridCol w:w="586"/>
        <w:gridCol w:w="856"/>
        <w:gridCol w:w="632"/>
        <w:gridCol w:w="506"/>
        <w:gridCol w:w="632"/>
      </w:tblGrid>
      <w:tr w14:paraId="28C2CCD3">
        <w:tblPrEx>
          <w:tblCellMar>
            <w:top w:w="0" w:type="dxa"/>
            <w:left w:w="108" w:type="dxa"/>
            <w:bottom w:w="0" w:type="dxa"/>
            <w:right w:w="108" w:type="dxa"/>
          </w:tblCellMar>
        </w:tblPrEx>
        <w:tc>
          <w:tcPr>
            <w:tcW w:w="8848" w:type="dxa"/>
            <w:gridSpan w:val="14"/>
            <w:vAlign w:val="center"/>
          </w:tcPr>
          <w:p w14:paraId="29320F75">
            <w:pPr>
              <w:jc w:val="center"/>
            </w:pPr>
            <w:r>
              <w:rPr>
                <w:rFonts w:ascii="宋体" w:hAnsi="宋体" w:eastAsia="宋体"/>
                <w:sz w:val="24"/>
              </w:rPr>
              <w:t>项目支出绩效自评表</w:t>
            </w:r>
          </w:p>
        </w:tc>
      </w:tr>
      <w:tr w14:paraId="1C22BF26">
        <w:tblPrEx>
          <w:tblCellMar>
            <w:top w:w="0" w:type="dxa"/>
            <w:left w:w="108" w:type="dxa"/>
            <w:bottom w:w="0" w:type="dxa"/>
            <w:right w:w="108" w:type="dxa"/>
          </w:tblCellMar>
        </w:tblPrEx>
        <w:tc>
          <w:tcPr>
            <w:tcW w:w="8848" w:type="dxa"/>
            <w:gridSpan w:val="14"/>
            <w:vAlign w:val="center"/>
          </w:tcPr>
          <w:p w14:paraId="02E3B386">
            <w:pPr>
              <w:jc w:val="center"/>
            </w:pPr>
            <w:r>
              <w:rPr>
                <w:rFonts w:ascii="宋体" w:hAnsi="宋体" w:eastAsia="宋体"/>
                <w:sz w:val="24"/>
              </w:rPr>
              <w:t>(2024年度)</w:t>
            </w:r>
          </w:p>
        </w:tc>
      </w:tr>
      <w:tr w14:paraId="297EC7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450A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3BE0CB">
            <w:pPr>
              <w:jc w:val="center"/>
            </w:pPr>
            <w:r>
              <w:rPr>
                <w:rFonts w:ascii="宋体" w:hAnsi="宋体" w:eastAsia="宋体"/>
                <w:sz w:val="16"/>
              </w:rPr>
              <w:t>2023年度疏勒县塔孜洪乡征地拆迁补偿项目</w:t>
            </w:r>
          </w:p>
        </w:tc>
      </w:tr>
      <w:tr w14:paraId="69777E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F41B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AFC94B">
            <w:pPr>
              <w:jc w:val="center"/>
            </w:pPr>
            <w:r>
              <w:rPr>
                <w:rFonts w:ascii="宋体" w:hAnsi="宋体" w:eastAsia="宋体"/>
                <w:sz w:val="16"/>
              </w:rPr>
              <w:t>疏勒县塔孜洪乡人民政府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0D12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9F16A8">
            <w:pPr>
              <w:jc w:val="center"/>
            </w:pPr>
            <w:r>
              <w:rPr>
                <w:rFonts w:ascii="宋体" w:hAnsi="宋体" w:eastAsia="宋体"/>
                <w:sz w:val="16"/>
              </w:rPr>
              <w:t>疏勒县塔孜洪乡人民政府</w:t>
            </w:r>
          </w:p>
        </w:tc>
      </w:tr>
      <w:tr w14:paraId="656DC7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4D4F5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1AEF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DF8B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EF20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6327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6341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1EB7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92315">
            <w:pPr>
              <w:jc w:val="center"/>
            </w:pPr>
            <w:r>
              <w:rPr>
                <w:rFonts w:ascii="宋体" w:hAnsi="宋体" w:eastAsia="宋体"/>
                <w:sz w:val="16"/>
              </w:rPr>
              <w:t>得分</w:t>
            </w:r>
          </w:p>
        </w:tc>
      </w:tr>
      <w:tr w14:paraId="3DD3FE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786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5A35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BEC42">
            <w:pPr>
              <w:jc w:val="center"/>
            </w:pPr>
            <w:r>
              <w:rPr>
                <w:rFonts w:ascii="宋体" w:hAnsi="宋体" w:eastAsia="宋体"/>
                <w:sz w:val="16"/>
              </w:rPr>
              <w:t>1,577.44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AEBEC">
            <w:pPr>
              <w:jc w:val="center"/>
            </w:pPr>
            <w:r>
              <w:rPr>
                <w:rFonts w:ascii="宋体" w:hAnsi="宋体" w:eastAsia="宋体"/>
                <w:sz w:val="16"/>
              </w:rPr>
              <w:t>2,124.27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4BAFF">
            <w:pPr>
              <w:jc w:val="center"/>
            </w:pPr>
            <w:r>
              <w:rPr>
                <w:rFonts w:ascii="宋体" w:hAnsi="宋体" w:eastAsia="宋体"/>
                <w:sz w:val="16"/>
              </w:rPr>
              <w:t>2,124.27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0DF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AA9C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23AB4">
            <w:pPr>
              <w:jc w:val="center"/>
            </w:pPr>
            <w:r>
              <w:rPr>
                <w:rFonts w:ascii="宋体" w:hAnsi="宋体" w:eastAsia="宋体"/>
                <w:sz w:val="16"/>
              </w:rPr>
              <w:t>10.00分</w:t>
            </w:r>
          </w:p>
        </w:tc>
      </w:tr>
      <w:tr w14:paraId="50A3E7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DC0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5FDF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C6528">
            <w:pPr>
              <w:jc w:val="center"/>
            </w:pPr>
            <w:r>
              <w:rPr>
                <w:rFonts w:ascii="宋体" w:hAnsi="宋体" w:eastAsia="宋体"/>
                <w:sz w:val="16"/>
              </w:rPr>
              <w:t>1,577.44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280BB">
            <w:pPr>
              <w:jc w:val="center"/>
            </w:pPr>
            <w:r>
              <w:rPr>
                <w:rFonts w:ascii="宋体" w:hAnsi="宋体" w:eastAsia="宋体"/>
                <w:sz w:val="16"/>
              </w:rPr>
              <w:t>2,124.27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01BFB">
            <w:pPr>
              <w:jc w:val="center"/>
            </w:pPr>
            <w:r>
              <w:rPr>
                <w:rFonts w:ascii="宋体" w:hAnsi="宋体" w:eastAsia="宋体"/>
                <w:sz w:val="16"/>
              </w:rPr>
              <w:t>2,124.27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34E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8FD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F4D6C">
            <w:pPr>
              <w:jc w:val="center"/>
            </w:pPr>
            <w:r>
              <w:rPr>
                <w:rFonts w:ascii="宋体" w:hAnsi="宋体" w:eastAsia="宋体"/>
                <w:sz w:val="16"/>
              </w:rPr>
              <w:t>—</w:t>
            </w:r>
          </w:p>
        </w:tc>
      </w:tr>
      <w:tr w14:paraId="5BB10E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E6F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62B4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425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586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E11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518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997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99124">
            <w:pPr>
              <w:jc w:val="center"/>
            </w:pPr>
            <w:r>
              <w:rPr>
                <w:rFonts w:ascii="宋体" w:hAnsi="宋体" w:eastAsia="宋体"/>
                <w:sz w:val="16"/>
              </w:rPr>
              <w:t>—</w:t>
            </w:r>
          </w:p>
        </w:tc>
      </w:tr>
      <w:tr w14:paraId="19A36E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2FE4F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D3B72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928E13">
            <w:pPr>
              <w:jc w:val="center"/>
            </w:pPr>
            <w:r>
              <w:rPr>
                <w:rFonts w:ascii="宋体" w:hAnsi="宋体" w:eastAsia="宋体"/>
                <w:sz w:val="16"/>
              </w:rPr>
              <w:t>实际完成情况</w:t>
            </w:r>
          </w:p>
        </w:tc>
      </w:tr>
      <w:tr w14:paraId="369992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1BC0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A9EC6F">
            <w:pPr>
              <w:jc w:val="both"/>
            </w:pPr>
            <w:r>
              <w:rPr>
                <w:rFonts w:ascii="宋体" w:hAnsi="宋体" w:eastAsia="宋体"/>
                <w:sz w:val="16"/>
              </w:rPr>
              <w:t>项目预算金额2124.27万元,其中第三师G3012-草湖-G314公路（G3012-草湖段）征迁补偿预算金额2045.19万元；塔孜洪乡19村人居环境整治项目征迁补偿金额79.08万元。通过项目的实施化解因拆迁土地权属等纠纷产生的矛盾，提升居民生活质量，增加居民的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09478D">
            <w:pPr>
              <w:jc w:val="both"/>
            </w:pPr>
            <w:r>
              <w:rPr>
                <w:rFonts w:hint="eastAsia" w:ascii="宋体" w:hAnsi="宋体"/>
                <w:sz w:val="16"/>
                <w:lang w:eastAsia="zh-CN"/>
              </w:rPr>
              <w:t>截至2024</w:t>
            </w:r>
            <w:r>
              <w:rPr>
                <w:rFonts w:ascii="宋体" w:hAnsi="宋体" w:eastAsia="宋体"/>
                <w:sz w:val="16"/>
              </w:rPr>
              <w:t>年12月31日，项目实际投资金额为2124.269329万元,其中第三师G3012-草湖-G314公路（G3012-草湖段）征迁补偿预算金额2045.191085万元；塔孜洪乡19村人居环境整治项目征迁补偿金额79.078244万元。通过项目的实施化解因拆迁土地权属等纠纷产生的矛盾，提升居民生活质量，增加居民的幸福感，拆迁补偿户满意度100%。</w:t>
            </w:r>
          </w:p>
        </w:tc>
      </w:tr>
      <w:tr w14:paraId="408656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FB6B0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D79C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851D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5D8D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387F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FE06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38B8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5F47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BD82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EC14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3F99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D622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5D143">
            <w:pPr>
              <w:jc w:val="center"/>
            </w:pPr>
            <w:r>
              <w:rPr>
                <w:rFonts w:ascii="宋体" w:hAnsi="宋体" w:eastAsia="宋体"/>
                <w:sz w:val="16"/>
              </w:rPr>
              <w:t>偏差原因分析及改进措施</w:t>
            </w:r>
          </w:p>
        </w:tc>
      </w:tr>
      <w:tr w14:paraId="46059D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C7D87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E4006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BD87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C60AD">
            <w:pPr>
              <w:jc w:val="center"/>
            </w:pPr>
            <w:r>
              <w:rPr>
                <w:rFonts w:ascii="宋体" w:hAnsi="宋体" w:eastAsia="宋体"/>
                <w:sz w:val="16"/>
              </w:rPr>
              <w:t>拆迁补偿项目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4A755">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6A8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BC5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FFD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41A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03E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A9324">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241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19CA8">
            <w:pPr>
              <w:jc w:val="center"/>
            </w:pPr>
          </w:p>
        </w:tc>
      </w:tr>
      <w:tr w14:paraId="7DC8F8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9DD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884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0139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6BE21">
            <w:pPr>
              <w:jc w:val="center"/>
            </w:pPr>
            <w:r>
              <w:rPr>
                <w:rFonts w:ascii="宋体" w:hAnsi="宋体" w:eastAsia="宋体"/>
                <w:sz w:val="16"/>
              </w:rPr>
              <w:t>拆迁补偿资金发放合规率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149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146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F39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EE6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409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37519">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D7D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F4F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41A5C">
            <w:pPr>
              <w:jc w:val="center"/>
            </w:pPr>
          </w:p>
        </w:tc>
      </w:tr>
      <w:tr w14:paraId="600289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E454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6520F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31FD6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A2B9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F5D50">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F10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2A2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58E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E682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4A1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EA061">
            <w:pPr>
              <w:jc w:val="center"/>
            </w:pPr>
            <w:r>
              <w:rPr>
                <w:rFonts w:ascii="宋体" w:hAnsi="宋体" w:eastAsia="宋体"/>
                <w:sz w:val="16"/>
              </w:rPr>
              <w:t>=2024年12月11日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8EE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D49E1">
            <w:pPr>
              <w:jc w:val="center"/>
            </w:pPr>
          </w:p>
        </w:tc>
      </w:tr>
      <w:tr w14:paraId="686E16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C5E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2CD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7EE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58DC4">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0B9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1C9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164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8B8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D7A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7AB4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EA9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8E0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0C7C4">
            <w:pPr>
              <w:jc w:val="center"/>
            </w:pPr>
          </w:p>
        </w:tc>
      </w:tr>
      <w:tr w14:paraId="47EF48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A1E1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7282B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5D2FE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A12CB">
            <w:pPr>
              <w:jc w:val="center"/>
            </w:pPr>
            <w:r>
              <w:rPr>
                <w:rFonts w:ascii="宋体" w:hAnsi="宋体" w:eastAsia="宋体"/>
                <w:sz w:val="16"/>
              </w:rPr>
              <w:t>第三师G3012-草湖-G314公路（G3012-草湖段）征迁补偿费用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85E3A">
            <w:pPr>
              <w:jc w:val="center"/>
            </w:pPr>
            <w:r>
              <w:rPr>
                <w:rFonts w:ascii="宋体" w:hAnsi="宋体" w:eastAsia="宋体"/>
                <w:sz w:val="16"/>
              </w:rPr>
              <w:t>&lt;=2045.19万元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2411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82A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56F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9B1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EE2A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C7A96">
            <w:pPr>
              <w:jc w:val="center"/>
            </w:pPr>
            <w:r>
              <w:rPr>
                <w:rFonts w:ascii="宋体" w:hAnsi="宋体" w:eastAsia="宋体"/>
                <w:sz w:val="16"/>
              </w:rPr>
              <w:t>=2045.19万元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0D1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6D127">
            <w:pPr>
              <w:jc w:val="center"/>
            </w:pPr>
          </w:p>
        </w:tc>
      </w:tr>
      <w:tr w14:paraId="30B2BD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FAA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CDF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285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F847F">
            <w:pPr>
              <w:jc w:val="center"/>
            </w:pPr>
            <w:r>
              <w:rPr>
                <w:rFonts w:ascii="宋体" w:hAnsi="宋体" w:eastAsia="宋体"/>
                <w:sz w:val="16"/>
              </w:rPr>
              <w:t>塔孜洪乡19村人居环境整治项目征迁补偿费用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D59EB">
            <w:pPr>
              <w:jc w:val="center"/>
            </w:pPr>
            <w:r>
              <w:rPr>
                <w:rFonts w:ascii="宋体" w:hAnsi="宋体" w:eastAsia="宋体"/>
                <w:sz w:val="16"/>
              </w:rPr>
              <w:t>&lt;=79.08万元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3E35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D71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EAC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192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E123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AD3A2">
            <w:pPr>
              <w:jc w:val="center"/>
            </w:pPr>
            <w:r>
              <w:rPr>
                <w:rFonts w:ascii="宋体" w:hAnsi="宋体" w:eastAsia="宋体"/>
                <w:sz w:val="16"/>
              </w:rPr>
              <w:t>=79.08万元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230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CB552">
            <w:pPr>
              <w:jc w:val="center"/>
            </w:pPr>
          </w:p>
        </w:tc>
      </w:tr>
      <w:tr w14:paraId="3B43FB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4A67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8A18B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8F2B5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144D1">
            <w:pPr>
              <w:jc w:val="center"/>
            </w:pPr>
            <w:r>
              <w:rPr>
                <w:rFonts w:ascii="宋体" w:hAnsi="宋体" w:eastAsia="宋体"/>
                <w:sz w:val="16"/>
              </w:rPr>
              <w:t>化解因拆迁土地权属等纠纷产生的矛盾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4F275">
            <w:pPr>
              <w:jc w:val="center"/>
            </w:pPr>
            <w:r>
              <w:rPr>
                <w:rFonts w:ascii="宋体" w:hAnsi="宋体" w:eastAsia="宋体"/>
                <w:sz w:val="16"/>
              </w:rPr>
              <w:t>及时化解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9CD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50E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F49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7993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0DC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F6EB4">
            <w:pPr>
              <w:jc w:val="center"/>
            </w:pPr>
            <w:r>
              <w:rPr>
                <w:rFonts w:ascii="宋体" w:hAnsi="宋体" w:eastAsia="宋体"/>
                <w:sz w:val="16"/>
              </w:rPr>
              <w:t>及时化解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5D0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3364B">
            <w:pPr>
              <w:jc w:val="center"/>
            </w:pPr>
          </w:p>
        </w:tc>
      </w:tr>
      <w:tr w14:paraId="6D393D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5E9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1D9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3AD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16AA4">
            <w:pPr>
              <w:jc w:val="center"/>
            </w:pPr>
            <w:r>
              <w:rPr>
                <w:rFonts w:ascii="宋体" w:hAnsi="宋体" w:eastAsia="宋体"/>
                <w:sz w:val="16"/>
              </w:rPr>
              <w:t>提升居民生活质量，增加居民的幸福感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6839F">
            <w:pPr>
              <w:jc w:val="center"/>
            </w:pPr>
            <w:r>
              <w:rPr>
                <w:rFonts w:ascii="宋体" w:hAnsi="宋体" w:eastAsia="宋体"/>
                <w:sz w:val="16"/>
              </w:rPr>
              <w:t>持续提升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7C1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B9F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381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9594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F44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A9756">
            <w:pPr>
              <w:jc w:val="center"/>
            </w:pPr>
            <w:r>
              <w:rPr>
                <w:rFonts w:ascii="宋体" w:hAnsi="宋体" w:eastAsia="宋体"/>
                <w:sz w:val="16"/>
              </w:rPr>
              <w:t>持续提升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BCE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86134">
            <w:pPr>
              <w:jc w:val="center"/>
            </w:pPr>
          </w:p>
        </w:tc>
      </w:tr>
      <w:tr w14:paraId="702E87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CDA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F0E7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4F3D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D6020">
            <w:pPr>
              <w:jc w:val="center"/>
            </w:pPr>
            <w:r>
              <w:rPr>
                <w:rFonts w:ascii="宋体" w:hAnsi="宋体" w:eastAsia="宋体"/>
                <w:sz w:val="16"/>
              </w:rPr>
              <w:t>拆迁补偿户满意度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5492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D32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900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CE2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D548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6B1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0C5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273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E196E">
            <w:pPr>
              <w:jc w:val="center"/>
            </w:pPr>
            <w:r>
              <w:rPr>
                <w:rFonts w:ascii="宋体" w:hAnsi="宋体" w:eastAsia="宋体"/>
                <w:sz w:val="16"/>
              </w:rPr>
              <w:t>原因分析：该项目指标拆迁补偿户满意度≥95%，因项目实际问卷调查满意度为100%，故指标偏差5.26%；改进措施：根据项目实施情况，合理设置预期指标值，使完成值和预期指标值一致。</w:t>
            </w:r>
          </w:p>
        </w:tc>
      </w:tr>
      <w:tr w14:paraId="50BEBE0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AEB98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16CE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67662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D778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2FFFB9C"/>
        </w:tc>
      </w:tr>
    </w:tbl>
    <w:p w14:paraId="416E222E">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4"/>
        <w:gridCol w:w="625"/>
        <w:gridCol w:w="856"/>
        <w:gridCol w:w="614"/>
        <w:gridCol w:w="625"/>
        <w:gridCol w:w="620"/>
        <w:gridCol w:w="614"/>
        <w:gridCol w:w="620"/>
        <w:gridCol w:w="776"/>
        <w:gridCol w:w="632"/>
        <w:gridCol w:w="593"/>
        <w:gridCol w:w="632"/>
      </w:tblGrid>
      <w:tr w14:paraId="10453D5C">
        <w:tc>
          <w:tcPr>
            <w:tcW w:w="8848" w:type="dxa"/>
            <w:gridSpan w:val="14"/>
            <w:vAlign w:val="center"/>
          </w:tcPr>
          <w:p w14:paraId="238C0F03">
            <w:pPr>
              <w:jc w:val="center"/>
            </w:pPr>
            <w:r>
              <w:rPr>
                <w:rFonts w:ascii="宋体" w:hAnsi="宋体" w:eastAsia="宋体"/>
                <w:sz w:val="24"/>
              </w:rPr>
              <w:t>项目支出绩效自评表</w:t>
            </w:r>
          </w:p>
        </w:tc>
      </w:tr>
      <w:tr w14:paraId="72AC6FDE">
        <w:tblPrEx>
          <w:tblCellMar>
            <w:top w:w="0" w:type="dxa"/>
            <w:left w:w="108" w:type="dxa"/>
            <w:bottom w:w="0" w:type="dxa"/>
            <w:right w:w="108" w:type="dxa"/>
          </w:tblCellMar>
        </w:tblPrEx>
        <w:tc>
          <w:tcPr>
            <w:tcW w:w="8848" w:type="dxa"/>
            <w:gridSpan w:val="14"/>
            <w:vAlign w:val="center"/>
          </w:tcPr>
          <w:p w14:paraId="1453DA0B">
            <w:pPr>
              <w:jc w:val="center"/>
            </w:pPr>
            <w:r>
              <w:rPr>
                <w:rFonts w:ascii="宋体" w:hAnsi="宋体" w:eastAsia="宋体"/>
                <w:sz w:val="24"/>
              </w:rPr>
              <w:t>(2024年度)</w:t>
            </w:r>
          </w:p>
        </w:tc>
      </w:tr>
      <w:tr w14:paraId="72769A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C27B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F161769">
            <w:pPr>
              <w:jc w:val="center"/>
            </w:pPr>
            <w:r>
              <w:rPr>
                <w:rFonts w:ascii="宋体" w:hAnsi="宋体" w:eastAsia="宋体"/>
                <w:sz w:val="16"/>
              </w:rPr>
              <w:t>2024年化债类项目</w:t>
            </w:r>
          </w:p>
        </w:tc>
      </w:tr>
      <w:tr w14:paraId="276D13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9269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C5AB73">
            <w:pPr>
              <w:jc w:val="center"/>
            </w:pPr>
            <w:r>
              <w:rPr>
                <w:rFonts w:ascii="宋体" w:hAnsi="宋体" w:eastAsia="宋体"/>
                <w:sz w:val="16"/>
              </w:rPr>
              <w:t>疏勒县塔孜洪乡人民政府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1B20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FB52C2">
            <w:pPr>
              <w:jc w:val="center"/>
            </w:pPr>
            <w:r>
              <w:rPr>
                <w:rFonts w:ascii="宋体" w:hAnsi="宋体" w:eastAsia="宋体"/>
                <w:sz w:val="16"/>
              </w:rPr>
              <w:t>疏勒县塔孜洪乡人民政府</w:t>
            </w:r>
          </w:p>
        </w:tc>
      </w:tr>
      <w:tr w14:paraId="5EFFB8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D97A1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9AA7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A346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E0B8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DC36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CF36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82EF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A3AA2">
            <w:pPr>
              <w:jc w:val="center"/>
            </w:pPr>
            <w:r>
              <w:rPr>
                <w:rFonts w:ascii="宋体" w:hAnsi="宋体" w:eastAsia="宋体"/>
                <w:sz w:val="16"/>
              </w:rPr>
              <w:t>得分</w:t>
            </w:r>
          </w:p>
        </w:tc>
      </w:tr>
      <w:tr w14:paraId="5A4394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7F2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90FC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D9BFB">
            <w:pPr>
              <w:jc w:val="center"/>
            </w:pPr>
            <w:r>
              <w:rPr>
                <w:rFonts w:ascii="宋体" w:hAnsi="宋体" w:eastAsia="宋体"/>
                <w:sz w:val="16"/>
              </w:rPr>
              <w:t>14.80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9BAA4">
            <w:pPr>
              <w:jc w:val="center"/>
            </w:pPr>
            <w:r>
              <w:rPr>
                <w:rFonts w:ascii="宋体" w:hAnsi="宋体" w:eastAsia="宋体"/>
                <w:sz w:val="16"/>
              </w:rPr>
              <w:t>359.23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090B7">
            <w:pPr>
              <w:jc w:val="center"/>
            </w:pPr>
            <w:r>
              <w:rPr>
                <w:rFonts w:ascii="宋体" w:hAnsi="宋体" w:eastAsia="宋体"/>
                <w:sz w:val="16"/>
              </w:rPr>
              <w:t>359.23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973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D132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BF481">
            <w:pPr>
              <w:jc w:val="center"/>
            </w:pPr>
            <w:r>
              <w:rPr>
                <w:rFonts w:ascii="宋体" w:hAnsi="宋体" w:eastAsia="宋体"/>
                <w:sz w:val="16"/>
              </w:rPr>
              <w:t>10.00分</w:t>
            </w:r>
          </w:p>
        </w:tc>
      </w:tr>
      <w:tr w14:paraId="5EC4C4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FD8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7B1B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61405">
            <w:pPr>
              <w:jc w:val="center"/>
            </w:pPr>
            <w:r>
              <w:rPr>
                <w:rFonts w:ascii="宋体" w:hAnsi="宋体" w:eastAsia="宋体"/>
                <w:sz w:val="16"/>
              </w:rPr>
              <w:t>14.80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75CA8">
            <w:pPr>
              <w:jc w:val="center"/>
            </w:pPr>
            <w:r>
              <w:rPr>
                <w:rFonts w:ascii="宋体" w:hAnsi="宋体" w:eastAsia="宋体"/>
                <w:sz w:val="16"/>
              </w:rPr>
              <w:t>359.23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14274">
            <w:pPr>
              <w:jc w:val="center"/>
            </w:pPr>
            <w:r>
              <w:rPr>
                <w:rFonts w:ascii="宋体" w:hAnsi="宋体" w:eastAsia="宋体"/>
                <w:sz w:val="16"/>
              </w:rPr>
              <w:t>359.23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E5B8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AEE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55F9C">
            <w:pPr>
              <w:jc w:val="center"/>
            </w:pPr>
            <w:r>
              <w:rPr>
                <w:rFonts w:ascii="宋体" w:hAnsi="宋体" w:eastAsia="宋体"/>
                <w:sz w:val="16"/>
              </w:rPr>
              <w:t>—</w:t>
            </w:r>
          </w:p>
        </w:tc>
      </w:tr>
      <w:tr w14:paraId="0EBC9D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E699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D17D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39D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AFF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7A8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F7FF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C40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CD04D">
            <w:pPr>
              <w:jc w:val="center"/>
            </w:pPr>
            <w:r>
              <w:rPr>
                <w:rFonts w:ascii="宋体" w:hAnsi="宋体" w:eastAsia="宋体"/>
                <w:sz w:val="16"/>
              </w:rPr>
              <w:t>—</w:t>
            </w:r>
          </w:p>
        </w:tc>
      </w:tr>
      <w:tr w14:paraId="70FFC3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71788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18EAB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B065C8">
            <w:pPr>
              <w:jc w:val="center"/>
            </w:pPr>
            <w:r>
              <w:rPr>
                <w:rFonts w:ascii="宋体" w:hAnsi="宋体" w:eastAsia="宋体"/>
                <w:sz w:val="16"/>
              </w:rPr>
              <w:t>实际完成情况</w:t>
            </w:r>
          </w:p>
        </w:tc>
      </w:tr>
      <w:tr w14:paraId="4F999B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1960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31CA59">
            <w:pPr>
              <w:jc w:val="both"/>
            </w:pPr>
            <w:r>
              <w:rPr>
                <w:rFonts w:ascii="宋体" w:hAnsi="宋体" w:eastAsia="宋体"/>
                <w:sz w:val="16"/>
              </w:rPr>
              <w:t>项目总投资359.234263万元，涉及债务项目数量8个，资金计划用于化解塔孜洪乡政府采购防冲撞墩、爆胎器、门禁等防护措施项目小于等于4.8万元、塔孜洪乡人民政府门口学校改扩建及维修项目小于等于10万元、2021年疏勒县营商环境优化提升项目小于等于20.80万元、2022年疏勒县普通教育能力提升项目小于等于37.27万元、2022年疏勒县乡镇乡村人居环境综合整治项目小于等于0.94万元、2022年疏勒县乡镇乡村振兴人居环境综合整治项目小于等于35.26万元、2023年“煤改电”工程（二期）居民供暖设施改造项目小于等于220.66万元、2023年疏勒县基层党组织阵地建设项目小于等于29.5万元债务，通过实施本项目贯彻落实国家债务管理政策，有效缓解政府资金不足的现状，有效规范政府债务管理，严格控制政府债务风险，不断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6C6530">
            <w:pPr>
              <w:jc w:val="both"/>
            </w:pPr>
            <w:r>
              <w:rPr>
                <w:rFonts w:hint="eastAsia" w:ascii="宋体" w:hAnsi="宋体"/>
                <w:sz w:val="16"/>
                <w:lang w:eastAsia="zh-CN"/>
              </w:rPr>
              <w:t>截至2024</w:t>
            </w:r>
            <w:r>
              <w:rPr>
                <w:rFonts w:ascii="宋体" w:hAnsi="宋体" w:eastAsia="宋体"/>
                <w:sz w:val="16"/>
              </w:rPr>
              <w:t>年12月31日，项目实际投资总额为359.234263万元，涉及债务项目数量8个，资金用于化解塔孜洪乡政府采购防冲撞墩、爆胎器、门禁等防护措施项目4.8万元、塔孜洪乡人民政府门口学校改扩建及维修项目10万元、2021年疏勒县营商环境优化提升项目20.80万元、2022年疏勒县普通教育能力提升项目37.27万元、2022年疏勒县乡镇乡村人居环境综合整治项目0.94万元、2022年疏勒县乡镇乡村振兴人居环境综合整治项目35.26万元、2023年“煤改电”工程（二期）居民供暖设施改造项目220.66万元、2023年疏勒县基层党组织阵地建设项目29.5万元债务，项目实施后，债务风险控制率100%，有效规范地方政府债务管理程度，债权人满意度100%。</w:t>
            </w:r>
          </w:p>
        </w:tc>
      </w:tr>
      <w:tr w14:paraId="2EB79E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F5BC2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4B13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B8A9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CAF6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B6E3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9A71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6064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A91A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EB40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611C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FCA8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0B71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FB328">
            <w:pPr>
              <w:jc w:val="center"/>
            </w:pPr>
            <w:r>
              <w:rPr>
                <w:rFonts w:ascii="宋体" w:hAnsi="宋体" w:eastAsia="宋体"/>
                <w:sz w:val="16"/>
              </w:rPr>
              <w:t>偏差原因分析及改进措施</w:t>
            </w:r>
          </w:p>
        </w:tc>
      </w:tr>
      <w:tr w14:paraId="1C844C5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91417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DEE54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6F53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171A2">
            <w:pPr>
              <w:jc w:val="center"/>
            </w:pPr>
            <w:r>
              <w:rPr>
                <w:rFonts w:ascii="宋体" w:hAnsi="宋体" w:eastAsia="宋体"/>
                <w:sz w:val="16"/>
              </w:rPr>
              <w:t>化解债务项目数量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7FFEE">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D0F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2B4F4">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EF5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305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421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35209">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8B3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E42D6">
            <w:pPr>
              <w:jc w:val="center"/>
            </w:pPr>
          </w:p>
        </w:tc>
      </w:tr>
      <w:tr w14:paraId="7D5019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567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8F41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26F1C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F30B9">
            <w:pPr>
              <w:jc w:val="center"/>
            </w:pPr>
            <w:r>
              <w:rPr>
                <w:rFonts w:ascii="宋体" w:hAnsi="宋体" w:eastAsia="宋体"/>
                <w:sz w:val="16"/>
              </w:rPr>
              <w:t>债务化解成功率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040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E8E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CF0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FF5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A8A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806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C73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A14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46B16">
            <w:pPr>
              <w:jc w:val="center"/>
            </w:pPr>
          </w:p>
        </w:tc>
      </w:tr>
      <w:tr w14:paraId="20DC60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C15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77A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572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1768A">
            <w:pPr>
              <w:jc w:val="center"/>
            </w:pPr>
            <w:r>
              <w:rPr>
                <w:rFonts w:ascii="宋体" w:hAnsi="宋体" w:eastAsia="宋体"/>
                <w:sz w:val="16"/>
              </w:rPr>
              <w:t>债务纠纷发案率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B269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29B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1B7B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7E0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C0C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CAA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4FF8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DFF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4997A">
            <w:pPr>
              <w:jc w:val="center"/>
            </w:pPr>
          </w:p>
        </w:tc>
      </w:tr>
      <w:tr w14:paraId="24BA7B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8E0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D54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1B5F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FE28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4AF16">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CAE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ADE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FC1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ABB4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994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29EB5">
            <w:pPr>
              <w:jc w:val="center"/>
            </w:pPr>
            <w:r>
              <w:rPr>
                <w:rFonts w:ascii="宋体" w:hAnsi="宋体" w:eastAsia="宋体"/>
                <w:sz w:val="16"/>
              </w:rPr>
              <w:t>2024年12月27日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49B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C33AC">
            <w:pPr>
              <w:jc w:val="center"/>
            </w:pPr>
          </w:p>
        </w:tc>
      </w:tr>
      <w:tr w14:paraId="17971B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9A06B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C1E93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1E598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96BDC">
            <w:pPr>
              <w:jc w:val="center"/>
            </w:pPr>
            <w:r>
              <w:rPr>
                <w:rFonts w:ascii="宋体" w:hAnsi="宋体" w:eastAsia="宋体"/>
                <w:sz w:val="16"/>
              </w:rPr>
              <w:t>塔孜洪乡政府采购防冲撞墩、爆胎器、门禁等防护措施项目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A7DEF">
            <w:pPr>
              <w:jc w:val="center"/>
            </w:pPr>
            <w:r>
              <w:rPr>
                <w:rFonts w:ascii="宋体" w:hAnsi="宋体" w:eastAsia="宋体"/>
                <w:sz w:val="16"/>
              </w:rPr>
              <w:t>&lt;=4.8万元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31A8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678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88B0E">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C65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CBE41">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CB19B">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AE1BF">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B0C54">
            <w:pPr>
              <w:jc w:val="center"/>
            </w:pPr>
          </w:p>
        </w:tc>
      </w:tr>
      <w:tr w14:paraId="3B9D32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B13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C60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376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F28A9">
            <w:pPr>
              <w:jc w:val="center"/>
            </w:pPr>
            <w:r>
              <w:rPr>
                <w:rFonts w:ascii="宋体" w:hAnsi="宋体" w:eastAsia="宋体"/>
                <w:sz w:val="16"/>
              </w:rPr>
              <w:t>塔孜洪乡人民政府门口学校改扩建及维修项目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812F3">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02E4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348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413A5">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CA3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154F4">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AA573">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8B4B0">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FA536">
            <w:pPr>
              <w:jc w:val="center"/>
            </w:pPr>
          </w:p>
        </w:tc>
      </w:tr>
      <w:tr w14:paraId="660A29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242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21B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DC40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60F6D">
            <w:pPr>
              <w:jc w:val="center"/>
            </w:pPr>
            <w:r>
              <w:rPr>
                <w:rFonts w:ascii="宋体" w:hAnsi="宋体" w:eastAsia="宋体"/>
                <w:sz w:val="16"/>
              </w:rPr>
              <w:t>2021年疏勒县营商环境优化提升项目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8F1AD">
            <w:pPr>
              <w:jc w:val="center"/>
            </w:pPr>
            <w:r>
              <w:rPr>
                <w:rFonts w:ascii="宋体" w:hAnsi="宋体" w:eastAsia="宋体"/>
                <w:sz w:val="16"/>
              </w:rPr>
              <w:t>&lt;=20.80万元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B5C2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470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64112">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FA8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9409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7EBDA">
            <w:pPr>
              <w:jc w:val="center"/>
            </w:pPr>
            <w:r>
              <w:rPr>
                <w:rFonts w:ascii="宋体" w:hAnsi="宋体" w:eastAsia="宋体"/>
                <w:sz w:val="16"/>
              </w:rPr>
              <w:t>=20.8万元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1597B">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06009">
            <w:pPr>
              <w:jc w:val="center"/>
            </w:pPr>
          </w:p>
        </w:tc>
      </w:tr>
      <w:tr w14:paraId="598CD9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3CF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23F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842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D668B">
            <w:pPr>
              <w:jc w:val="center"/>
            </w:pPr>
            <w:r>
              <w:rPr>
                <w:rFonts w:ascii="宋体" w:hAnsi="宋体" w:eastAsia="宋体"/>
                <w:sz w:val="16"/>
              </w:rPr>
              <w:t>2022年疏勒县普通教育能力提升项目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CA12C">
            <w:pPr>
              <w:jc w:val="center"/>
            </w:pPr>
            <w:r>
              <w:rPr>
                <w:rFonts w:ascii="宋体" w:hAnsi="宋体" w:eastAsia="宋体"/>
                <w:sz w:val="16"/>
              </w:rPr>
              <w:t>&lt;=37.27万元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B9E1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F77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E92EB">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847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C4C5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A5730">
            <w:pPr>
              <w:jc w:val="center"/>
            </w:pPr>
            <w:r>
              <w:rPr>
                <w:rFonts w:ascii="宋体" w:hAnsi="宋体" w:eastAsia="宋体"/>
                <w:sz w:val="16"/>
              </w:rPr>
              <w:t>=37.27万元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D1A8A">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BDD4A">
            <w:pPr>
              <w:jc w:val="center"/>
            </w:pPr>
          </w:p>
        </w:tc>
      </w:tr>
      <w:tr w14:paraId="638F0B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BA8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FCD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98E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FAD38">
            <w:pPr>
              <w:jc w:val="center"/>
            </w:pPr>
            <w:r>
              <w:rPr>
                <w:rFonts w:ascii="宋体" w:hAnsi="宋体" w:eastAsia="宋体"/>
                <w:sz w:val="16"/>
              </w:rPr>
              <w:t>2022年疏勒县乡镇乡村人居环境综合整治项目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E0E7F">
            <w:pPr>
              <w:jc w:val="center"/>
            </w:pPr>
            <w:r>
              <w:rPr>
                <w:rFonts w:ascii="宋体" w:hAnsi="宋体" w:eastAsia="宋体"/>
                <w:sz w:val="16"/>
              </w:rPr>
              <w:t>&lt;=0.94万元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A1A7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853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7BB57">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214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54F7D">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1AE25">
            <w:pPr>
              <w:jc w:val="center"/>
            </w:pPr>
            <w:r>
              <w:rPr>
                <w:rFonts w:ascii="宋体" w:hAnsi="宋体" w:eastAsia="宋体"/>
                <w:sz w:val="16"/>
              </w:rPr>
              <w:t>=0.94万元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C28CF">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208B5">
            <w:pPr>
              <w:jc w:val="center"/>
            </w:pPr>
          </w:p>
        </w:tc>
      </w:tr>
      <w:tr w14:paraId="720CAA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4BD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8D7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BA6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0DD3F">
            <w:pPr>
              <w:jc w:val="center"/>
            </w:pPr>
            <w:r>
              <w:rPr>
                <w:rFonts w:ascii="宋体" w:hAnsi="宋体" w:eastAsia="宋体"/>
                <w:sz w:val="16"/>
              </w:rPr>
              <w:t>2022年疏勒县乡镇乡村振兴人居环境综合整治项目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46E6A">
            <w:pPr>
              <w:jc w:val="center"/>
            </w:pPr>
            <w:r>
              <w:rPr>
                <w:rFonts w:ascii="宋体" w:hAnsi="宋体" w:eastAsia="宋体"/>
                <w:sz w:val="16"/>
              </w:rPr>
              <w:t>&lt;=35.26万元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C40E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828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396E5">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D61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8857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380D3">
            <w:pPr>
              <w:jc w:val="center"/>
            </w:pPr>
            <w:r>
              <w:rPr>
                <w:rFonts w:ascii="宋体" w:hAnsi="宋体" w:eastAsia="宋体"/>
                <w:sz w:val="16"/>
              </w:rPr>
              <w:t>=35.26万元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D55C4">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1D680">
            <w:pPr>
              <w:jc w:val="center"/>
            </w:pPr>
          </w:p>
        </w:tc>
      </w:tr>
      <w:tr w14:paraId="1C61F3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46A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412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DBD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F756C">
            <w:pPr>
              <w:jc w:val="center"/>
            </w:pPr>
            <w:r>
              <w:rPr>
                <w:rFonts w:ascii="宋体" w:hAnsi="宋体" w:eastAsia="宋体"/>
                <w:sz w:val="16"/>
              </w:rPr>
              <w:t>2023年疏勒县基层党组织阵地建设项目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7BC15">
            <w:pPr>
              <w:jc w:val="center"/>
            </w:pPr>
            <w:r>
              <w:rPr>
                <w:rFonts w:ascii="宋体" w:hAnsi="宋体" w:eastAsia="宋体"/>
                <w:sz w:val="16"/>
              </w:rPr>
              <w:t>&lt;=29.5万元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CC47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E91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7D3A0">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D57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7DFF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F8830">
            <w:pPr>
              <w:jc w:val="center"/>
            </w:pPr>
            <w:r>
              <w:rPr>
                <w:rFonts w:ascii="宋体" w:hAnsi="宋体" w:eastAsia="宋体"/>
                <w:sz w:val="16"/>
              </w:rPr>
              <w:t>=29.5万元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2675A">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0224D">
            <w:pPr>
              <w:jc w:val="center"/>
            </w:pPr>
          </w:p>
        </w:tc>
      </w:tr>
      <w:tr w14:paraId="6A3740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9D7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C67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12E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0F350">
            <w:pPr>
              <w:jc w:val="center"/>
            </w:pPr>
            <w:r>
              <w:rPr>
                <w:rFonts w:ascii="宋体" w:hAnsi="宋体" w:eastAsia="宋体"/>
                <w:sz w:val="16"/>
              </w:rPr>
              <w:t>2023年“煤改电”工程（二期）居民供暖设施改造项目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4AC19">
            <w:pPr>
              <w:jc w:val="center"/>
            </w:pPr>
            <w:r>
              <w:rPr>
                <w:rFonts w:ascii="宋体" w:hAnsi="宋体" w:eastAsia="宋体"/>
                <w:sz w:val="16"/>
              </w:rPr>
              <w:t>&lt;=220.66万元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3070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0B5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1C8FA">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3E2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30DAC">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F25D7">
            <w:pPr>
              <w:jc w:val="center"/>
            </w:pPr>
            <w:r>
              <w:rPr>
                <w:rFonts w:ascii="宋体" w:hAnsi="宋体" w:eastAsia="宋体"/>
                <w:sz w:val="16"/>
              </w:rPr>
              <w:t>=220.66万元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31E8C">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B8168">
            <w:pPr>
              <w:jc w:val="center"/>
            </w:pPr>
          </w:p>
        </w:tc>
      </w:tr>
      <w:tr w14:paraId="766F45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DAE6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DAFBD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8B8D2">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06222">
            <w:pPr>
              <w:jc w:val="center"/>
            </w:pPr>
            <w:r>
              <w:rPr>
                <w:rFonts w:ascii="宋体" w:hAnsi="宋体" w:eastAsia="宋体"/>
                <w:sz w:val="16"/>
              </w:rPr>
              <w:t>债务风险控制率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08D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EC4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327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03E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270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953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A5B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23B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8B31C">
            <w:pPr>
              <w:jc w:val="center"/>
            </w:pPr>
          </w:p>
        </w:tc>
      </w:tr>
      <w:tr w14:paraId="2AEBE4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1B1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DA3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C1BD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D0FC0">
            <w:pPr>
              <w:jc w:val="center"/>
            </w:pPr>
            <w:r>
              <w:rPr>
                <w:rFonts w:ascii="宋体" w:hAnsi="宋体" w:eastAsia="宋体"/>
                <w:sz w:val="16"/>
              </w:rPr>
              <w:t>规范地方政府债务管理程度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52B14">
            <w:pPr>
              <w:jc w:val="center"/>
            </w:pPr>
            <w:r>
              <w:rPr>
                <w:rFonts w:ascii="宋体" w:hAnsi="宋体" w:eastAsia="宋体"/>
                <w:sz w:val="16"/>
              </w:rPr>
              <w:t>有效规范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07B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3EB87">
            <w:pPr>
              <w:jc w:val="center"/>
            </w:pPr>
            <w:r>
              <w:rPr>
                <w:rFonts w:ascii="宋体" w:hAnsi="宋体" w:eastAsia="宋体"/>
                <w:sz w:val="16"/>
              </w:rPr>
              <w:t>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EC8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5C33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211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022F9">
            <w:pPr>
              <w:jc w:val="center"/>
            </w:pPr>
            <w:r>
              <w:rPr>
                <w:rFonts w:ascii="宋体" w:hAnsi="宋体" w:eastAsia="宋体"/>
                <w:sz w:val="16"/>
              </w:rPr>
              <w:t>有效规范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7AC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7EA0E">
            <w:pPr>
              <w:jc w:val="center"/>
            </w:pPr>
          </w:p>
        </w:tc>
      </w:tr>
      <w:tr w14:paraId="22F565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0CE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E392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6106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7CBCA">
            <w:pPr>
              <w:jc w:val="center"/>
            </w:pPr>
            <w:r>
              <w:rPr>
                <w:rFonts w:ascii="宋体" w:hAnsi="宋体" w:eastAsia="宋体"/>
                <w:sz w:val="16"/>
              </w:rPr>
              <w:t>债权人满意度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2E7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520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84E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C1E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B685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DD8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1D5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EBC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7BF56">
            <w:pPr>
              <w:jc w:val="center"/>
            </w:pPr>
          </w:p>
        </w:tc>
      </w:tr>
      <w:tr w14:paraId="04D530E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BB46A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946E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0E66A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6F99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6FF5F0C"/>
        </w:tc>
      </w:tr>
    </w:tbl>
    <w:p w14:paraId="3AE080BF">
      <w:r>
        <w:br w:type="page"/>
      </w:r>
    </w:p>
    <w:tbl>
      <w:tblPr>
        <w:tblStyle w:val="9"/>
        <w:tblW w:w="0" w:type="auto"/>
        <w:tblInd w:w="0" w:type="dxa"/>
        <w:tblLayout w:type="autofit"/>
        <w:tblCellMar>
          <w:top w:w="0" w:type="dxa"/>
          <w:left w:w="108" w:type="dxa"/>
          <w:bottom w:w="0" w:type="dxa"/>
          <w:right w:w="108" w:type="dxa"/>
        </w:tblCellMar>
      </w:tblPr>
      <w:tblGrid>
        <w:gridCol w:w="605"/>
        <w:gridCol w:w="561"/>
        <w:gridCol w:w="561"/>
        <w:gridCol w:w="605"/>
        <w:gridCol w:w="1096"/>
        <w:gridCol w:w="562"/>
        <w:gridCol w:w="562"/>
        <w:gridCol w:w="584"/>
        <w:gridCol w:w="562"/>
        <w:gridCol w:w="584"/>
        <w:gridCol w:w="1016"/>
        <w:gridCol w:w="632"/>
        <w:gridCol w:w="498"/>
        <w:gridCol w:w="632"/>
      </w:tblGrid>
      <w:tr w14:paraId="131B8036">
        <w:tc>
          <w:tcPr>
            <w:tcW w:w="8848" w:type="dxa"/>
            <w:gridSpan w:val="14"/>
            <w:vAlign w:val="center"/>
          </w:tcPr>
          <w:p w14:paraId="09FDCDF3">
            <w:pPr>
              <w:jc w:val="center"/>
            </w:pPr>
            <w:r>
              <w:rPr>
                <w:rFonts w:ascii="宋体" w:hAnsi="宋体" w:eastAsia="宋体"/>
                <w:sz w:val="24"/>
              </w:rPr>
              <w:t>项目支出绩效自评表</w:t>
            </w:r>
          </w:p>
        </w:tc>
      </w:tr>
      <w:tr w14:paraId="3C8EC777">
        <w:tblPrEx>
          <w:tblCellMar>
            <w:top w:w="0" w:type="dxa"/>
            <w:left w:w="108" w:type="dxa"/>
            <w:bottom w:w="0" w:type="dxa"/>
            <w:right w:w="108" w:type="dxa"/>
          </w:tblCellMar>
        </w:tblPrEx>
        <w:tc>
          <w:tcPr>
            <w:tcW w:w="8848" w:type="dxa"/>
            <w:gridSpan w:val="14"/>
            <w:vAlign w:val="center"/>
          </w:tcPr>
          <w:p w14:paraId="40411E2A">
            <w:pPr>
              <w:jc w:val="center"/>
            </w:pPr>
            <w:r>
              <w:rPr>
                <w:rFonts w:ascii="宋体" w:hAnsi="宋体" w:eastAsia="宋体"/>
                <w:sz w:val="24"/>
              </w:rPr>
              <w:t>(2024年度)</w:t>
            </w:r>
          </w:p>
        </w:tc>
      </w:tr>
      <w:tr w14:paraId="743B8D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F211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A7226F">
            <w:pPr>
              <w:jc w:val="center"/>
            </w:pPr>
            <w:r>
              <w:rPr>
                <w:rFonts w:ascii="宋体" w:hAnsi="宋体" w:eastAsia="宋体"/>
                <w:sz w:val="16"/>
              </w:rPr>
              <w:t>2024年度疏勒县塔孜洪乡公益事业建设财政奖补项目</w:t>
            </w:r>
          </w:p>
        </w:tc>
      </w:tr>
      <w:tr w14:paraId="671D7B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AE31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8D3DB2">
            <w:pPr>
              <w:jc w:val="center"/>
            </w:pPr>
            <w:r>
              <w:rPr>
                <w:rFonts w:ascii="宋体" w:hAnsi="宋体" w:eastAsia="宋体"/>
                <w:sz w:val="16"/>
              </w:rPr>
              <w:t>疏勒县塔孜洪乡人民政府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83B1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27CCD3">
            <w:pPr>
              <w:jc w:val="center"/>
            </w:pPr>
            <w:r>
              <w:rPr>
                <w:rFonts w:ascii="宋体" w:hAnsi="宋体" w:eastAsia="宋体"/>
                <w:sz w:val="16"/>
              </w:rPr>
              <w:t>疏勒县塔孜洪乡人民政府</w:t>
            </w:r>
          </w:p>
        </w:tc>
      </w:tr>
      <w:tr w14:paraId="7A0C06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B9B1A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4385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F606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1CF4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1CDE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0517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55CF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64353">
            <w:pPr>
              <w:jc w:val="center"/>
            </w:pPr>
            <w:r>
              <w:rPr>
                <w:rFonts w:ascii="宋体" w:hAnsi="宋体" w:eastAsia="宋体"/>
                <w:sz w:val="16"/>
              </w:rPr>
              <w:t>得分</w:t>
            </w:r>
          </w:p>
        </w:tc>
      </w:tr>
      <w:tr w14:paraId="2D3E16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895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C6BF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5670C">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6DE9A">
            <w:pPr>
              <w:jc w:val="center"/>
            </w:pPr>
            <w:r>
              <w:rPr>
                <w:rFonts w:ascii="宋体" w:hAnsi="宋体" w:eastAsia="宋体"/>
                <w:sz w:val="16"/>
              </w:rPr>
              <w:t>96.91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1471A">
            <w:pPr>
              <w:jc w:val="center"/>
            </w:pPr>
            <w:r>
              <w:rPr>
                <w:rFonts w:ascii="宋体" w:hAnsi="宋体" w:eastAsia="宋体"/>
                <w:sz w:val="16"/>
              </w:rPr>
              <w:t>96.91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EA9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94B3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299BE">
            <w:pPr>
              <w:jc w:val="center"/>
            </w:pPr>
            <w:r>
              <w:rPr>
                <w:rFonts w:ascii="宋体" w:hAnsi="宋体" w:eastAsia="宋体"/>
                <w:sz w:val="16"/>
              </w:rPr>
              <w:t>10.00分</w:t>
            </w:r>
          </w:p>
        </w:tc>
      </w:tr>
      <w:tr w14:paraId="2EAA31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3F3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93C9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6D49D">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F0F10">
            <w:pPr>
              <w:jc w:val="center"/>
            </w:pPr>
            <w:r>
              <w:rPr>
                <w:rFonts w:ascii="宋体" w:hAnsi="宋体" w:eastAsia="宋体"/>
                <w:sz w:val="16"/>
              </w:rPr>
              <w:t>96.91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8562D">
            <w:pPr>
              <w:jc w:val="center"/>
            </w:pPr>
            <w:r>
              <w:rPr>
                <w:rFonts w:ascii="宋体" w:hAnsi="宋体" w:eastAsia="宋体"/>
                <w:sz w:val="16"/>
              </w:rPr>
              <w:t>96.91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3EC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31A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344DD">
            <w:pPr>
              <w:jc w:val="center"/>
            </w:pPr>
            <w:r>
              <w:rPr>
                <w:rFonts w:ascii="宋体" w:hAnsi="宋体" w:eastAsia="宋体"/>
                <w:sz w:val="16"/>
              </w:rPr>
              <w:t>—</w:t>
            </w:r>
          </w:p>
        </w:tc>
      </w:tr>
      <w:tr w14:paraId="42A54D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9278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68FB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D75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7CD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2DC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E0B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C07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4A688">
            <w:pPr>
              <w:jc w:val="center"/>
            </w:pPr>
            <w:r>
              <w:rPr>
                <w:rFonts w:ascii="宋体" w:hAnsi="宋体" w:eastAsia="宋体"/>
                <w:sz w:val="16"/>
              </w:rPr>
              <w:t>—</w:t>
            </w:r>
          </w:p>
        </w:tc>
      </w:tr>
      <w:tr w14:paraId="0B96EC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8FB86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90714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5332EB">
            <w:pPr>
              <w:jc w:val="center"/>
            </w:pPr>
            <w:r>
              <w:rPr>
                <w:rFonts w:ascii="宋体" w:hAnsi="宋体" w:eastAsia="宋体"/>
                <w:sz w:val="16"/>
              </w:rPr>
              <w:t>实际完成情况</w:t>
            </w:r>
          </w:p>
        </w:tc>
      </w:tr>
      <w:tr w14:paraId="096A9D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9316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73CCB2">
            <w:pPr>
              <w:jc w:val="both"/>
            </w:pPr>
            <w:r>
              <w:rPr>
                <w:rFonts w:ascii="宋体" w:hAnsi="宋体" w:eastAsia="宋体"/>
                <w:sz w:val="16"/>
              </w:rPr>
              <w:t>项目计划投资96.912523万元，用于疏勒县塔孜洪乡17村铺设管道16313米，塔孜洪乡喀孜玛18村去往洋大曼15村方向道路两边提升改造共计11公里安装低压管道自动</w:t>
            </w:r>
            <w:r>
              <w:rPr>
                <w:rFonts w:hint="eastAsia" w:ascii="宋体" w:hAnsi="宋体"/>
                <w:sz w:val="16"/>
                <w:lang w:eastAsia="zh-CN"/>
              </w:rPr>
              <w:t>泄水系统</w:t>
            </w:r>
            <w:r>
              <w:rPr>
                <w:rFonts w:ascii="宋体" w:hAnsi="宋体" w:eastAsia="宋体"/>
                <w:sz w:val="16"/>
              </w:rPr>
              <w:t>，塔孜洪乡18村村委会门口为做好村级各类活动开展对村委会大门口进行硬化735平方米并安装75个矩形渠，为做好辖区亮化工作，在18村安装太阳能门头灯数量858盏，通过项目的实施能够有效改善我村农村人居环境，提高人居环境质量和生态文明水平，建设整治，美丽的家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786455">
            <w:pPr>
              <w:jc w:val="both"/>
            </w:pPr>
            <w:r>
              <w:rPr>
                <w:rFonts w:hint="eastAsia" w:ascii="宋体" w:hAnsi="宋体"/>
                <w:sz w:val="16"/>
                <w:lang w:eastAsia="zh-CN"/>
              </w:rPr>
              <w:t>截至2024</w:t>
            </w:r>
            <w:r>
              <w:rPr>
                <w:rFonts w:ascii="宋体" w:hAnsi="宋体" w:eastAsia="宋体"/>
                <w:sz w:val="16"/>
              </w:rPr>
              <w:t>年12月31日，项目实际投资为96.912523万元，用于疏勒县塔孜洪乡17村铺设管道16313米，塔孜洪乡喀孜玛18村去往洋大曼15村方向道路两边提升改造共计11公里安装低压管道自动</w:t>
            </w:r>
            <w:r>
              <w:rPr>
                <w:rFonts w:hint="eastAsia" w:ascii="宋体" w:hAnsi="宋体"/>
                <w:sz w:val="16"/>
                <w:lang w:eastAsia="zh-CN"/>
              </w:rPr>
              <w:t>泄水系统</w:t>
            </w:r>
            <w:r>
              <w:rPr>
                <w:rFonts w:ascii="宋体" w:hAnsi="宋体" w:eastAsia="宋体"/>
                <w:sz w:val="16"/>
              </w:rPr>
              <w:t>，塔孜洪乡18村村委会门口为做好村级各类活动开展对村委会大门口进行硬化735平方米并安装75个矩形渠，为做好辖区亮化工作，在18村安装太阳能门头灯数量858盏，通过项目的实施能够有效改善我村农村人居环境，推进建设美丽家乡和提升居民生活质量，增加居民的幸福感，辖区群众满意度100%。</w:t>
            </w:r>
          </w:p>
        </w:tc>
      </w:tr>
      <w:tr w14:paraId="038C49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13F86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DCD6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EFCA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5F58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B074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EDFA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674B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0861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93FB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2477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A08C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7E46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2FDF0">
            <w:pPr>
              <w:jc w:val="center"/>
            </w:pPr>
            <w:r>
              <w:rPr>
                <w:rFonts w:ascii="宋体" w:hAnsi="宋体" w:eastAsia="宋体"/>
                <w:sz w:val="16"/>
              </w:rPr>
              <w:t>偏差原因分析及改进措施</w:t>
            </w:r>
          </w:p>
        </w:tc>
      </w:tr>
      <w:tr w14:paraId="5A95A7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29084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5F41D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0D8F6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F81E3">
            <w:pPr>
              <w:jc w:val="center"/>
            </w:pPr>
            <w:r>
              <w:rPr>
                <w:rFonts w:ascii="宋体" w:hAnsi="宋体" w:eastAsia="宋体"/>
                <w:sz w:val="16"/>
              </w:rPr>
              <w:t>涉及行政村数量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12951">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443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995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DD63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142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3D82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36218">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C806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9F7C8">
            <w:pPr>
              <w:jc w:val="center"/>
            </w:pPr>
          </w:p>
        </w:tc>
      </w:tr>
      <w:tr w14:paraId="79BFAF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183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35B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F3C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C31AD">
            <w:pPr>
              <w:jc w:val="center"/>
            </w:pPr>
            <w:r>
              <w:rPr>
                <w:rFonts w:ascii="宋体" w:hAnsi="宋体" w:eastAsia="宋体"/>
                <w:sz w:val="16"/>
              </w:rPr>
              <w:t>17村铺设管道长度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ABC89">
            <w:pPr>
              <w:jc w:val="center"/>
            </w:pPr>
            <w:r>
              <w:rPr>
                <w:rFonts w:ascii="宋体" w:hAnsi="宋体" w:eastAsia="宋体"/>
                <w:sz w:val="16"/>
              </w:rPr>
              <w:t>&gt;=16313米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267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62D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942A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CDE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A3698">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CDACF">
            <w:pPr>
              <w:jc w:val="center"/>
            </w:pPr>
            <w:r>
              <w:rPr>
                <w:rFonts w:ascii="宋体" w:hAnsi="宋体" w:eastAsia="宋体"/>
                <w:sz w:val="16"/>
              </w:rPr>
              <w:t>=16313米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9AD4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390AA">
            <w:pPr>
              <w:jc w:val="center"/>
            </w:pPr>
          </w:p>
        </w:tc>
      </w:tr>
      <w:tr w14:paraId="790983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176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2F1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505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CEBA0">
            <w:pPr>
              <w:jc w:val="center"/>
            </w:pPr>
            <w:r>
              <w:rPr>
                <w:rFonts w:ascii="宋体" w:hAnsi="宋体" w:eastAsia="宋体"/>
                <w:sz w:val="16"/>
              </w:rPr>
              <w:t>18村安装低压管道自动</w:t>
            </w:r>
            <w:r>
              <w:rPr>
                <w:rFonts w:hint="eastAsia" w:ascii="宋体" w:hAnsi="宋体"/>
                <w:sz w:val="16"/>
                <w:lang w:eastAsia="zh-CN"/>
              </w:rPr>
              <w:t>泄水系统</w:t>
            </w:r>
            <w:r>
              <w:rPr>
                <w:rFonts w:ascii="宋体" w:hAnsi="宋体" w:eastAsia="宋体"/>
                <w:sz w:val="16"/>
              </w:rPr>
              <w:t>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AC9F8">
            <w:pPr>
              <w:jc w:val="center"/>
            </w:pPr>
            <w:r>
              <w:rPr>
                <w:rFonts w:ascii="宋体" w:hAnsi="宋体" w:eastAsia="宋体"/>
                <w:sz w:val="16"/>
              </w:rPr>
              <w:t>&gt;=11公里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98A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550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CF2A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F3A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6D31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7E41D">
            <w:pPr>
              <w:jc w:val="center"/>
            </w:pPr>
            <w:r>
              <w:rPr>
                <w:rFonts w:ascii="宋体" w:hAnsi="宋体" w:eastAsia="宋体"/>
                <w:sz w:val="16"/>
              </w:rPr>
              <w:t>=11公里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4BD9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651C3">
            <w:pPr>
              <w:jc w:val="center"/>
            </w:pPr>
          </w:p>
        </w:tc>
      </w:tr>
      <w:tr w14:paraId="3E90FB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EF0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7A9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256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D003B">
            <w:pPr>
              <w:jc w:val="center"/>
            </w:pPr>
            <w:r>
              <w:rPr>
                <w:rFonts w:ascii="宋体" w:hAnsi="宋体" w:eastAsia="宋体"/>
                <w:sz w:val="16"/>
              </w:rPr>
              <w:t>18村村委会门口地面硬化面积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0067B">
            <w:pPr>
              <w:jc w:val="center"/>
            </w:pPr>
            <w:r>
              <w:rPr>
                <w:rFonts w:ascii="宋体" w:hAnsi="宋体" w:eastAsia="宋体"/>
                <w:sz w:val="16"/>
              </w:rPr>
              <w:t>&gt;=735平方米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0D0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70A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7765C">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408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67935">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93CF0">
            <w:pPr>
              <w:jc w:val="center"/>
            </w:pPr>
            <w:r>
              <w:rPr>
                <w:rFonts w:ascii="宋体" w:hAnsi="宋体" w:eastAsia="宋体"/>
                <w:sz w:val="16"/>
              </w:rPr>
              <w:t>=735平方米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E42B9">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F2FDF">
            <w:pPr>
              <w:jc w:val="center"/>
            </w:pPr>
          </w:p>
        </w:tc>
      </w:tr>
      <w:tr w14:paraId="695A42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9F8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516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24B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8F3C6">
            <w:pPr>
              <w:jc w:val="center"/>
            </w:pPr>
            <w:r>
              <w:rPr>
                <w:rFonts w:ascii="宋体" w:hAnsi="宋体" w:eastAsia="宋体"/>
                <w:sz w:val="16"/>
              </w:rPr>
              <w:t>18村安装矩形渠数量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AD5B8">
            <w:pPr>
              <w:jc w:val="center"/>
            </w:pPr>
            <w:r>
              <w:rPr>
                <w:rFonts w:ascii="宋体" w:hAnsi="宋体" w:eastAsia="宋体"/>
                <w:sz w:val="16"/>
              </w:rPr>
              <w:t>&gt;=75个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793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189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E3C2A">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6D7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D727C">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D9AFD">
            <w:pPr>
              <w:jc w:val="center"/>
            </w:pPr>
            <w:r>
              <w:rPr>
                <w:rFonts w:ascii="宋体" w:hAnsi="宋体" w:eastAsia="宋体"/>
                <w:sz w:val="16"/>
              </w:rPr>
              <w:t>=75个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974FB">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3E08B">
            <w:pPr>
              <w:jc w:val="center"/>
            </w:pPr>
          </w:p>
        </w:tc>
      </w:tr>
      <w:tr w14:paraId="4188CD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6A61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670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43E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403C7">
            <w:pPr>
              <w:jc w:val="center"/>
            </w:pPr>
            <w:r>
              <w:rPr>
                <w:rFonts w:ascii="宋体" w:hAnsi="宋体" w:eastAsia="宋体"/>
                <w:sz w:val="16"/>
              </w:rPr>
              <w:t>18村安装太阳能门头灯数量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F8ACF">
            <w:pPr>
              <w:jc w:val="center"/>
            </w:pPr>
            <w:r>
              <w:rPr>
                <w:rFonts w:ascii="宋体" w:hAnsi="宋体" w:eastAsia="宋体"/>
                <w:sz w:val="16"/>
              </w:rPr>
              <w:t>&gt;=858盏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6F0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AAC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4FF5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3C5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D0AC4">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60880">
            <w:pPr>
              <w:jc w:val="center"/>
            </w:pPr>
            <w:r>
              <w:rPr>
                <w:rFonts w:ascii="宋体" w:hAnsi="宋体" w:eastAsia="宋体"/>
                <w:sz w:val="16"/>
              </w:rPr>
              <w:t>=858盏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9009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FD750">
            <w:pPr>
              <w:jc w:val="center"/>
            </w:pPr>
          </w:p>
        </w:tc>
      </w:tr>
      <w:tr w14:paraId="66D122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716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300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7CAD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06248">
            <w:pPr>
              <w:jc w:val="center"/>
            </w:pPr>
            <w:r>
              <w:rPr>
                <w:rFonts w:ascii="宋体" w:hAnsi="宋体" w:eastAsia="宋体"/>
                <w:sz w:val="16"/>
              </w:rPr>
              <w:t>项目资金支付合规率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93C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260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5DB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4B31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9EA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B382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69E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5706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578C9">
            <w:pPr>
              <w:jc w:val="center"/>
            </w:pPr>
          </w:p>
        </w:tc>
      </w:tr>
      <w:tr w14:paraId="3C2ED0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670B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A65A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C8498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0371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3F9DD">
            <w:pPr>
              <w:jc w:val="center"/>
            </w:pPr>
            <w:r>
              <w:rPr>
                <w:rFonts w:ascii="宋体" w:hAnsi="宋体" w:eastAsia="宋体"/>
                <w:sz w:val="16"/>
              </w:rPr>
              <w:t>=2024年12月21日前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5A7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158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872B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8160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7A1A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7676E">
            <w:pPr>
              <w:jc w:val="center"/>
            </w:pPr>
            <w:r>
              <w:rPr>
                <w:rFonts w:ascii="宋体" w:hAnsi="宋体" w:eastAsia="宋体"/>
                <w:sz w:val="16"/>
              </w:rPr>
              <w:t>2024年11月21日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B64C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4E4C9">
            <w:pPr>
              <w:jc w:val="center"/>
            </w:pPr>
          </w:p>
        </w:tc>
      </w:tr>
      <w:tr w14:paraId="67CA4C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C61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999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232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FA12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C82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5DC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404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5333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6A4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421E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9FC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4C8C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E3FF8">
            <w:pPr>
              <w:jc w:val="center"/>
            </w:pPr>
          </w:p>
        </w:tc>
      </w:tr>
      <w:tr w14:paraId="4DC7A0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4C8D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198A2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E2726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21FBA">
            <w:pPr>
              <w:jc w:val="center"/>
            </w:pPr>
            <w:r>
              <w:rPr>
                <w:rFonts w:ascii="宋体" w:hAnsi="宋体" w:eastAsia="宋体"/>
                <w:sz w:val="16"/>
              </w:rPr>
              <w:t>塔孜洪乡17村公益事业建设财政奖补项目资金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3EEF4">
            <w:pPr>
              <w:jc w:val="center"/>
            </w:pPr>
            <w:r>
              <w:rPr>
                <w:rFonts w:ascii="宋体" w:hAnsi="宋体" w:eastAsia="宋体"/>
                <w:sz w:val="16"/>
              </w:rPr>
              <w:t>&lt;=48.24278万元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BD40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750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AB8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5CF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D374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2DDCA">
            <w:pPr>
              <w:jc w:val="center"/>
            </w:pPr>
            <w:r>
              <w:rPr>
                <w:rFonts w:ascii="宋体" w:hAnsi="宋体" w:eastAsia="宋体"/>
                <w:sz w:val="16"/>
              </w:rPr>
              <w:t>=48.24278万元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C3F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5104B">
            <w:pPr>
              <w:jc w:val="center"/>
            </w:pPr>
          </w:p>
        </w:tc>
      </w:tr>
      <w:tr w14:paraId="5A5F56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5BD6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8E2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375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01684">
            <w:pPr>
              <w:jc w:val="center"/>
            </w:pPr>
            <w:r>
              <w:rPr>
                <w:rFonts w:ascii="宋体" w:hAnsi="宋体" w:eastAsia="宋体"/>
                <w:sz w:val="16"/>
              </w:rPr>
              <w:t>塔孜洪乡18村公益事业建设财政奖补项目资金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4BFB6">
            <w:pPr>
              <w:jc w:val="center"/>
            </w:pPr>
            <w:r>
              <w:rPr>
                <w:rFonts w:ascii="宋体" w:hAnsi="宋体" w:eastAsia="宋体"/>
                <w:sz w:val="16"/>
              </w:rPr>
              <w:t>&lt;=48.669743万元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0540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B03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E11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8B7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D821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0FBFB">
            <w:pPr>
              <w:jc w:val="center"/>
            </w:pPr>
            <w:r>
              <w:rPr>
                <w:rFonts w:ascii="宋体" w:hAnsi="宋体" w:eastAsia="宋体"/>
                <w:sz w:val="16"/>
              </w:rPr>
              <w:t>=48.669743万元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841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D2780">
            <w:pPr>
              <w:jc w:val="center"/>
            </w:pPr>
          </w:p>
        </w:tc>
      </w:tr>
      <w:tr w14:paraId="29FE35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2ED84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9B193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49EB6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DBC2C">
            <w:pPr>
              <w:jc w:val="center"/>
            </w:pPr>
            <w:r>
              <w:rPr>
                <w:rFonts w:ascii="宋体" w:hAnsi="宋体" w:eastAsia="宋体"/>
                <w:sz w:val="16"/>
              </w:rPr>
              <w:t>人居环境得以改善，推进建设美丽家乡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99C42">
            <w:pPr>
              <w:jc w:val="center"/>
            </w:pPr>
            <w:r>
              <w:rPr>
                <w:rFonts w:ascii="宋体" w:hAnsi="宋体" w:eastAsia="宋体"/>
                <w:sz w:val="16"/>
              </w:rPr>
              <w:t>持续改善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F3A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A8E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BB4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0B6E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54C5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C8869">
            <w:pPr>
              <w:jc w:val="center"/>
            </w:pPr>
            <w:r>
              <w:rPr>
                <w:rFonts w:ascii="宋体" w:hAnsi="宋体" w:eastAsia="宋体"/>
                <w:sz w:val="16"/>
              </w:rPr>
              <w:t>持续改善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174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5F1CB">
            <w:pPr>
              <w:jc w:val="center"/>
            </w:pPr>
          </w:p>
        </w:tc>
      </w:tr>
      <w:tr w14:paraId="04BA5B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252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20F4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E1C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F195E">
            <w:pPr>
              <w:jc w:val="center"/>
            </w:pPr>
            <w:r>
              <w:rPr>
                <w:rFonts w:ascii="宋体" w:hAnsi="宋体" w:eastAsia="宋体"/>
                <w:sz w:val="16"/>
              </w:rPr>
              <w:t>提升居民生活质量，增加居民的幸福感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1E5CA">
            <w:pPr>
              <w:jc w:val="center"/>
            </w:pPr>
            <w:r>
              <w:rPr>
                <w:rFonts w:ascii="宋体" w:hAnsi="宋体" w:eastAsia="宋体"/>
                <w:sz w:val="16"/>
              </w:rPr>
              <w:t>持续提升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CA7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B42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E99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1BA8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5A8DB">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86CB8">
            <w:pPr>
              <w:jc w:val="center"/>
            </w:pPr>
            <w:r>
              <w:rPr>
                <w:rFonts w:ascii="宋体" w:hAnsi="宋体" w:eastAsia="宋体"/>
                <w:sz w:val="16"/>
              </w:rPr>
              <w:t>持续提升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932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3F127">
            <w:pPr>
              <w:jc w:val="center"/>
            </w:pPr>
          </w:p>
        </w:tc>
      </w:tr>
      <w:tr w14:paraId="7E16F8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796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007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CDD4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D5A80">
            <w:pPr>
              <w:jc w:val="center"/>
            </w:pPr>
            <w:r>
              <w:rPr>
                <w:rFonts w:ascii="宋体" w:hAnsi="宋体" w:eastAsia="宋体"/>
                <w:sz w:val="16"/>
              </w:rPr>
              <w:t>辖区群众满意度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410D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622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3D9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F42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A970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65DFB">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FC2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41B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7A17F">
            <w:pPr>
              <w:jc w:val="center"/>
            </w:pPr>
            <w:r>
              <w:rPr>
                <w:rFonts w:ascii="宋体" w:hAnsi="宋体" w:eastAsia="宋体"/>
                <w:sz w:val="16"/>
              </w:rPr>
              <w:t>原因分析：该项目指标辖区群众满意度≥95%，因项目实际问卷调查满意度为100%，故指标偏差5.26%；改进措施：根据项目实施情况，合理设置预期指标值，使完成值和预期指标值一致。</w:t>
            </w:r>
          </w:p>
        </w:tc>
      </w:tr>
      <w:tr w14:paraId="411C9F7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32EBE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4AE2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7DBD6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A5D4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2EDA5A0"/>
        </w:tc>
      </w:tr>
    </w:tbl>
    <w:p w14:paraId="230BA70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0257541">
        <w:tblPrEx>
          <w:tblCellMar>
            <w:top w:w="0" w:type="dxa"/>
            <w:left w:w="108" w:type="dxa"/>
            <w:bottom w:w="0" w:type="dxa"/>
            <w:right w:w="108" w:type="dxa"/>
          </w:tblCellMar>
        </w:tblPrEx>
        <w:tc>
          <w:tcPr>
            <w:tcW w:w="8848" w:type="dxa"/>
            <w:gridSpan w:val="14"/>
            <w:vAlign w:val="center"/>
          </w:tcPr>
          <w:p w14:paraId="1BB42BEE">
            <w:pPr>
              <w:jc w:val="center"/>
            </w:pPr>
            <w:r>
              <w:rPr>
                <w:rFonts w:ascii="宋体" w:hAnsi="宋体" w:eastAsia="宋体"/>
                <w:sz w:val="24"/>
              </w:rPr>
              <w:t>项目支出绩效自评表</w:t>
            </w:r>
          </w:p>
        </w:tc>
      </w:tr>
      <w:tr w14:paraId="39A2800D">
        <w:tblPrEx>
          <w:tblCellMar>
            <w:top w:w="0" w:type="dxa"/>
            <w:left w:w="108" w:type="dxa"/>
            <w:bottom w:w="0" w:type="dxa"/>
            <w:right w:w="108" w:type="dxa"/>
          </w:tblCellMar>
        </w:tblPrEx>
        <w:tc>
          <w:tcPr>
            <w:tcW w:w="8848" w:type="dxa"/>
            <w:gridSpan w:val="14"/>
            <w:vAlign w:val="center"/>
          </w:tcPr>
          <w:p w14:paraId="7EBDE304">
            <w:pPr>
              <w:jc w:val="center"/>
            </w:pPr>
            <w:r>
              <w:rPr>
                <w:rFonts w:ascii="宋体" w:hAnsi="宋体" w:eastAsia="宋体"/>
                <w:sz w:val="24"/>
              </w:rPr>
              <w:t>(2024年度)</w:t>
            </w:r>
          </w:p>
        </w:tc>
      </w:tr>
      <w:tr w14:paraId="713A6E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1D81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27B142">
            <w:pPr>
              <w:jc w:val="center"/>
            </w:pPr>
            <w:r>
              <w:rPr>
                <w:rFonts w:ascii="宋体" w:hAnsi="宋体" w:eastAsia="宋体"/>
                <w:sz w:val="16"/>
              </w:rPr>
              <w:t>2024年疏勒县“疏勒贝贝”南瓜种植推广基地建设创新项目</w:t>
            </w:r>
          </w:p>
        </w:tc>
      </w:tr>
      <w:tr w14:paraId="7363B8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60D8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0656B7">
            <w:pPr>
              <w:jc w:val="center"/>
            </w:pPr>
            <w:r>
              <w:rPr>
                <w:rFonts w:ascii="宋体" w:hAnsi="宋体" w:eastAsia="宋体"/>
                <w:sz w:val="16"/>
              </w:rPr>
              <w:t>疏勒县塔孜洪乡人民政府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1244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831F02">
            <w:pPr>
              <w:jc w:val="center"/>
            </w:pPr>
            <w:r>
              <w:rPr>
                <w:rFonts w:ascii="宋体" w:hAnsi="宋体" w:eastAsia="宋体"/>
                <w:sz w:val="16"/>
              </w:rPr>
              <w:t>疏勒县塔孜洪乡人民政府</w:t>
            </w:r>
          </w:p>
        </w:tc>
      </w:tr>
      <w:tr w14:paraId="770436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A2E34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1B0C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8271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1310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D6C7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7C27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38DF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F8FDE">
            <w:pPr>
              <w:jc w:val="center"/>
            </w:pPr>
            <w:r>
              <w:rPr>
                <w:rFonts w:ascii="宋体" w:hAnsi="宋体" w:eastAsia="宋体"/>
                <w:sz w:val="16"/>
              </w:rPr>
              <w:t>得分</w:t>
            </w:r>
          </w:p>
        </w:tc>
      </w:tr>
      <w:tr w14:paraId="0D558A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B4E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98AA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465EB">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47E27">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FD406">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5CE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EBE4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10FCD">
            <w:pPr>
              <w:jc w:val="center"/>
            </w:pPr>
            <w:r>
              <w:rPr>
                <w:rFonts w:ascii="宋体" w:hAnsi="宋体" w:eastAsia="宋体"/>
                <w:sz w:val="16"/>
              </w:rPr>
              <w:t>10.00分</w:t>
            </w:r>
          </w:p>
        </w:tc>
      </w:tr>
      <w:tr w14:paraId="6F0E85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F6D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29CB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6D4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75E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A08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5385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A82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803F7">
            <w:pPr>
              <w:jc w:val="center"/>
            </w:pPr>
            <w:r>
              <w:rPr>
                <w:rFonts w:ascii="宋体" w:hAnsi="宋体" w:eastAsia="宋体"/>
                <w:sz w:val="16"/>
              </w:rPr>
              <w:t>—</w:t>
            </w:r>
          </w:p>
        </w:tc>
      </w:tr>
      <w:tr w14:paraId="5E6D95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C21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182D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5416C">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D665C">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B5E81">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7263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2BF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331E9">
            <w:pPr>
              <w:jc w:val="center"/>
            </w:pPr>
            <w:r>
              <w:rPr>
                <w:rFonts w:ascii="宋体" w:hAnsi="宋体" w:eastAsia="宋体"/>
                <w:sz w:val="16"/>
              </w:rPr>
              <w:t>—</w:t>
            </w:r>
          </w:p>
        </w:tc>
      </w:tr>
      <w:tr w14:paraId="500181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9ED06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AC671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8E3DA0">
            <w:pPr>
              <w:jc w:val="center"/>
            </w:pPr>
            <w:r>
              <w:rPr>
                <w:rFonts w:ascii="宋体" w:hAnsi="宋体" w:eastAsia="宋体"/>
                <w:sz w:val="16"/>
              </w:rPr>
              <w:t>实际完成情况</w:t>
            </w:r>
          </w:p>
        </w:tc>
      </w:tr>
      <w:tr w14:paraId="7C13E7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7738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6C63CA">
            <w:pPr>
              <w:jc w:val="both"/>
            </w:pPr>
            <w:r>
              <w:rPr>
                <w:rFonts w:ascii="宋体" w:hAnsi="宋体" w:eastAsia="宋体"/>
                <w:sz w:val="16"/>
              </w:rPr>
              <w:t>该项目总投资为80万元，主要用于疏勒县塔孜洪乡2024年疏勒县“疏勒贝贝”南瓜种植推广基地建设创新项目，打造高标准贝贝南瓜核心品种展示区1个，涉及行政村数量4个，种植贝贝南瓜面积1009亩；栽培标准化生产技术规程。机械化种植标准化生产技术规程；涉及种植农户人数256人；组织开展县乡村技术人员、菜农培训，培训本地技术人员1000人次。推动塔孜洪乡种植业产业发展，带动村经济发展，推进</w:t>
            </w:r>
            <w:r>
              <w:rPr>
                <w:rFonts w:hint="eastAsia" w:ascii="宋体" w:hAnsi="宋体"/>
                <w:sz w:val="16"/>
                <w:lang w:eastAsia="zh-CN"/>
              </w:rPr>
              <w:t>建设宜居宜业和美乡村</w:t>
            </w:r>
            <w:r>
              <w:rPr>
                <w:rFonts w:ascii="宋体" w:hAnsi="宋体" w:eastAsia="宋体"/>
                <w:sz w:val="16"/>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028698">
            <w:pPr>
              <w:jc w:val="both"/>
            </w:pPr>
            <w:r>
              <w:rPr>
                <w:rFonts w:ascii="宋体" w:hAnsi="宋体" w:eastAsia="宋体"/>
                <w:sz w:val="16"/>
              </w:rPr>
              <w:t>项目实际投资总额为80万元，主要用于打造高标准贝贝南瓜核心品种展示区1个，涉及行政村数量4个，种植贝贝南瓜面积1009亩,种植农户人数256人,组织开展县乡村技术人员、菜农培训，培训本地技术人员1000人次。项目实施后不断提高农业科技含量，加速农业科技成果向现实生产力转化，持续发展优质高品质贝贝南瓜种植，打造高端品牌；贝贝南瓜种植户满意度100%。</w:t>
            </w:r>
          </w:p>
        </w:tc>
      </w:tr>
      <w:tr w14:paraId="78F1A9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1DA15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CE79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319F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0BC5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9C48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44B4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49CD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9FC5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F203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DFD4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2E3C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D436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7D4DA">
            <w:pPr>
              <w:jc w:val="center"/>
            </w:pPr>
            <w:r>
              <w:rPr>
                <w:rFonts w:ascii="宋体" w:hAnsi="宋体" w:eastAsia="宋体"/>
                <w:sz w:val="16"/>
              </w:rPr>
              <w:t>偏差原因分析及改进措施</w:t>
            </w:r>
          </w:p>
        </w:tc>
      </w:tr>
      <w:tr w14:paraId="50E030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A8F26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55259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D134B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77007">
            <w:pPr>
              <w:jc w:val="center"/>
            </w:pPr>
            <w:r>
              <w:rPr>
                <w:rFonts w:ascii="宋体" w:hAnsi="宋体" w:eastAsia="宋体"/>
                <w:sz w:val="16"/>
              </w:rPr>
              <w:t>涉及行政村数量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ECF1F">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051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E4B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7852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CE2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E08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FDC04">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213F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1A1B8">
            <w:pPr>
              <w:jc w:val="center"/>
            </w:pPr>
          </w:p>
        </w:tc>
      </w:tr>
      <w:tr w14:paraId="420848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1B3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51E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338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F1149">
            <w:pPr>
              <w:jc w:val="center"/>
            </w:pPr>
            <w:r>
              <w:rPr>
                <w:rFonts w:ascii="宋体" w:hAnsi="宋体" w:eastAsia="宋体"/>
                <w:sz w:val="16"/>
              </w:rPr>
              <w:t>开展技术人员培训人次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D29D0">
            <w:pPr>
              <w:jc w:val="center"/>
            </w:pPr>
            <w:r>
              <w:rPr>
                <w:rFonts w:ascii="宋体" w:hAnsi="宋体" w:eastAsia="宋体"/>
                <w:sz w:val="16"/>
              </w:rPr>
              <w:t>&gt;=1000人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C69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357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97F2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6CD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0FB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BA6F9">
            <w:pPr>
              <w:jc w:val="center"/>
            </w:pPr>
            <w:r>
              <w:rPr>
                <w:rFonts w:ascii="宋体" w:hAnsi="宋体" w:eastAsia="宋体"/>
                <w:sz w:val="16"/>
              </w:rPr>
              <w:t>=1000人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1518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860F5">
            <w:pPr>
              <w:jc w:val="center"/>
            </w:pPr>
          </w:p>
        </w:tc>
      </w:tr>
      <w:tr w14:paraId="76D0DE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A8B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DF5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EEA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2994D">
            <w:pPr>
              <w:jc w:val="center"/>
            </w:pPr>
            <w:r>
              <w:rPr>
                <w:rFonts w:ascii="宋体" w:hAnsi="宋体" w:eastAsia="宋体"/>
                <w:sz w:val="16"/>
              </w:rPr>
              <w:t>贝贝南瓜种植面积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0EF3B">
            <w:pPr>
              <w:jc w:val="center"/>
            </w:pPr>
            <w:r>
              <w:rPr>
                <w:rFonts w:ascii="宋体" w:hAnsi="宋体" w:eastAsia="宋体"/>
                <w:sz w:val="16"/>
              </w:rPr>
              <w:t>=1009亩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58C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60D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4D11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598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46A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86A0E">
            <w:pPr>
              <w:jc w:val="center"/>
            </w:pPr>
            <w:r>
              <w:rPr>
                <w:rFonts w:ascii="宋体" w:hAnsi="宋体" w:eastAsia="宋体"/>
                <w:sz w:val="16"/>
              </w:rPr>
              <w:t>=1009亩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E896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F1A0E">
            <w:pPr>
              <w:jc w:val="center"/>
            </w:pPr>
          </w:p>
        </w:tc>
      </w:tr>
      <w:tr w14:paraId="3F5DAC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7E7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FFE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516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797CF">
            <w:pPr>
              <w:jc w:val="center"/>
            </w:pPr>
            <w:r>
              <w:rPr>
                <w:rFonts w:ascii="宋体" w:hAnsi="宋体" w:eastAsia="宋体"/>
                <w:sz w:val="16"/>
              </w:rPr>
              <w:t>涉及种植农户人数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D48B4">
            <w:pPr>
              <w:jc w:val="center"/>
            </w:pPr>
            <w:r>
              <w:rPr>
                <w:rFonts w:ascii="宋体" w:hAnsi="宋体" w:eastAsia="宋体"/>
                <w:sz w:val="16"/>
              </w:rPr>
              <w:t>=256人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C77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259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878B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9C0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72B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90FA8">
            <w:pPr>
              <w:jc w:val="center"/>
            </w:pPr>
            <w:r>
              <w:rPr>
                <w:rFonts w:ascii="宋体" w:hAnsi="宋体" w:eastAsia="宋体"/>
                <w:sz w:val="16"/>
              </w:rPr>
              <w:t>=256人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EDFA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98F71">
            <w:pPr>
              <w:jc w:val="center"/>
            </w:pPr>
          </w:p>
        </w:tc>
      </w:tr>
      <w:tr w14:paraId="5BC9AF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916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FC50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BFB8A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0748F">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005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094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654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A0A7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492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ED7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786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3E1F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8F58D">
            <w:pPr>
              <w:jc w:val="center"/>
            </w:pPr>
          </w:p>
        </w:tc>
      </w:tr>
      <w:tr w14:paraId="431949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C01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251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920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9415B">
            <w:pPr>
              <w:jc w:val="center"/>
            </w:pPr>
            <w:r>
              <w:rPr>
                <w:rFonts w:ascii="宋体" w:hAnsi="宋体" w:eastAsia="宋体"/>
                <w:sz w:val="16"/>
              </w:rPr>
              <w:t>资金使用规范率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8D2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0FF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054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2615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2B4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168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4CD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A664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9D0C1">
            <w:pPr>
              <w:jc w:val="center"/>
            </w:pPr>
          </w:p>
        </w:tc>
      </w:tr>
      <w:tr w14:paraId="46994F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CAD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2BF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AAB7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70F66">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52F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FA2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6F6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B5A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285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BE3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4FE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16B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35519">
            <w:pPr>
              <w:jc w:val="center"/>
            </w:pPr>
          </w:p>
        </w:tc>
      </w:tr>
      <w:tr w14:paraId="506ACC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5448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CFC83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3FA4A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C6FF9">
            <w:pPr>
              <w:jc w:val="center"/>
            </w:pPr>
            <w:r>
              <w:rPr>
                <w:rFonts w:ascii="宋体" w:hAnsi="宋体" w:eastAsia="宋体"/>
                <w:sz w:val="16"/>
              </w:rPr>
              <w:t>疏勒县塔孜洪乡喀拉扎克村股份经济合作社补助费用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C4A2A">
            <w:pPr>
              <w:jc w:val="center"/>
            </w:pPr>
            <w:r>
              <w:rPr>
                <w:rFonts w:ascii="宋体" w:hAnsi="宋体" w:eastAsia="宋体"/>
                <w:sz w:val="16"/>
              </w:rPr>
              <w:t>=59.8万元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BE22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414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FF52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8FC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04B4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5A5A1">
            <w:pPr>
              <w:jc w:val="center"/>
            </w:pPr>
            <w:r>
              <w:rPr>
                <w:rFonts w:ascii="宋体" w:hAnsi="宋体" w:eastAsia="宋体"/>
                <w:sz w:val="16"/>
              </w:rPr>
              <w:t>=59.8万元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2160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D3841">
            <w:pPr>
              <w:jc w:val="center"/>
            </w:pPr>
          </w:p>
        </w:tc>
      </w:tr>
      <w:tr w14:paraId="04C3AF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D41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D89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9D0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077F0">
            <w:pPr>
              <w:jc w:val="center"/>
            </w:pPr>
            <w:r>
              <w:rPr>
                <w:rFonts w:ascii="宋体" w:hAnsi="宋体" w:eastAsia="宋体"/>
                <w:sz w:val="16"/>
              </w:rPr>
              <w:t>疏勒县塔孜洪乡其曼巴格村股份经济合作社补助费用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374EB">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D7CD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D42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66C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DB5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2CEE0">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ACC5F">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25B1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48D05">
            <w:pPr>
              <w:jc w:val="center"/>
            </w:pPr>
          </w:p>
        </w:tc>
      </w:tr>
      <w:tr w14:paraId="29FA35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9E2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A0F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F99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FCE9F">
            <w:pPr>
              <w:jc w:val="center"/>
            </w:pPr>
            <w:r>
              <w:rPr>
                <w:rFonts w:ascii="宋体" w:hAnsi="宋体" w:eastAsia="宋体"/>
                <w:sz w:val="16"/>
              </w:rPr>
              <w:t>疏勒县塔孜洪乡姜铁木尔村股份经济合作社补助费用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9C0D6">
            <w:pPr>
              <w:jc w:val="center"/>
            </w:pPr>
            <w:r>
              <w:rPr>
                <w:rFonts w:ascii="宋体" w:hAnsi="宋体" w:eastAsia="宋体"/>
                <w:sz w:val="16"/>
              </w:rPr>
              <w:t>=9.50万元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2DE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3DA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6BFA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C64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1329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B8C4A">
            <w:pPr>
              <w:jc w:val="center"/>
            </w:pPr>
            <w:r>
              <w:rPr>
                <w:rFonts w:ascii="宋体" w:hAnsi="宋体" w:eastAsia="宋体"/>
                <w:sz w:val="16"/>
              </w:rPr>
              <w:t>=9.5万元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4D6B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2D359">
            <w:pPr>
              <w:jc w:val="center"/>
            </w:pPr>
          </w:p>
        </w:tc>
      </w:tr>
      <w:tr w14:paraId="5073FA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56B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81A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7FE2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A9958">
            <w:pPr>
              <w:jc w:val="center"/>
            </w:pPr>
            <w:r>
              <w:rPr>
                <w:rFonts w:ascii="宋体" w:hAnsi="宋体" w:eastAsia="宋体"/>
                <w:sz w:val="16"/>
              </w:rPr>
              <w:t>疏勒县塔孜洪乡塔什其艾日克村股份经济合作社补助费用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8941F">
            <w:pPr>
              <w:jc w:val="center"/>
            </w:pPr>
            <w:r>
              <w:rPr>
                <w:rFonts w:ascii="宋体" w:hAnsi="宋体" w:eastAsia="宋体"/>
                <w:sz w:val="16"/>
              </w:rPr>
              <w:t>=3.70万元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F6FB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190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9925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61E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9C38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974B0">
            <w:pPr>
              <w:jc w:val="center"/>
            </w:pPr>
            <w:r>
              <w:rPr>
                <w:rFonts w:ascii="宋体" w:hAnsi="宋体" w:eastAsia="宋体"/>
                <w:sz w:val="16"/>
              </w:rPr>
              <w:t>=3.7万元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AB17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A04B9">
            <w:pPr>
              <w:jc w:val="center"/>
            </w:pPr>
          </w:p>
        </w:tc>
      </w:tr>
      <w:tr w14:paraId="3F6161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C58F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CFDC2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A39BA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72E88">
            <w:pPr>
              <w:jc w:val="center"/>
            </w:pPr>
            <w:r>
              <w:rPr>
                <w:rFonts w:ascii="宋体" w:hAnsi="宋体" w:eastAsia="宋体"/>
                <w:sz w:val="16"/>
              </w:rPr>
              <w:t>提高农业科技含量，加速农业科技成果向现实生产力转化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F09E9">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452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427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196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0E9F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C4D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EA0EE">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B2B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49EFC">
            <w:pPr>
              <w:jc w:val="center"/>
            </w:pPr>
          </w:p>
        </w:tc>
      </w:tr>
      <w:tr w14:paraId="355E33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64F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96A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96C9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8683E">
            <w:pPr>
              <w:jc w:val="center"/>
            </w:pPr>
            <w:r>
              <w:rPr>
                <w:rFonts w:ascii="宋体" w:hAnsi="宋体" w:eastAsia="宋体"/>
                <w:sz w:val="16"/>
              </w:rPr>
              <w:t>发展优质高品质贝贝南瓜种植，打造高端品牌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459C1">
            <w:pPr>
              <w:jc w:val="center"/>
            </w:pPr>
            <w:r>
              <w:rPr>
                <w:rFonts w:ascii="宋体" w:hAnsi="宋体" w:eastAsia="宋体"/>
                <w:sz w:val="16"/>
              </w:rPr>
              <w:t>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A90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C98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B23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4B22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C2E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4DCFF">
            <w:pPr>
              <w:jc w:val="center"/>
            </w:pPr>
            <w:r>
              <w:rPr>
                <w:rFonts w:ascii="宋体" w:hAnsi="宋体" w:eastAsia="宋体"/>
                <w:sz w:val="16"/>
              </w:rPr>
              <w:t>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675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F531F">
            <w:pPr>
              <w:jc w:val="center"/>
            </w:pPr>
          </w:p>
        </w:tc>
      </w:tr>
      <w:tr w14:paraId="543F88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424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27D2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77E5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1B05A">
            <w:pPr>
              <w:jc w:val="center"/>
            </w:pPr>
            <w:r>
              <w:rPr>
                <w:rFonts w:ascii="宋体" w:hAnsi="宋体" w:eastAsia="宋体"/>
                <w:sz w:val="16"/>
              </w:rPr>
              <w:t>贝贝南瓜种植户满意度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C837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D38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563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935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F5BE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815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228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BA2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43293">
            <w:pPr>
              <w:jc w:val="center"/>
            </w:pPr>
            <w:r>
              <w:rPr>
                <w:rFonts w:ascii="宋体" w:hAnsi="宋体" w:eastAsia="宋体"/>
                <w:sz w:val="16"/>
              </w:rPr>
              <w:t>贝贝南瓜种植户满意度100%，故存在5%偏差。</w:t>
            </w:r>
          </w:p>
        </w:tc>
      </w:tr>
      <w:tr w14:paraId="4FB907D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AF72B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222F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D3065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04F8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1F8DC6A"/>
        </w:tc>
      </w:tr>
    </w:tbl>
    <w:p w14:paraId="72DC7C2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C6AFD5F">
        <w:tc>
          <w:tcPr>
            <w:tcW w:w="8848" w:type="dxa"/>
            <w:gridSpan w:val="14"/>
            <w:vAlign w:val="center"/>
          </w:tcPr>
          <w:p w14:paraId="0027A1E1">
            <w:pPr>
              <w:jc w:val="center"/>
            </w:pPr>
            <w:r>
              <w:rPr>
                <w:rFonts w:ascii="宋体" w:hAnsi="宋体" w:eastAsia="宋体"/>
                <w:sz w:val="24"/>
              </w:rPr>
              <w:t>项目支出绩效自评表</w:t>
            </w:r>
          </w:p>
        </w:tc>
      </w:tr>
      <w:tr w14:paraId="1864BF0E">
        <w:tblPrEx>
          <w:tblCellMar>
            <w:top w:w="0" w:type="dxa"/>
            <w:left w:w="108" w:type="dxa"/>
            <w:bottom w:w="0" w:type="dxa"/>
            <w:right w:w="108" w:type="dxa"/>
          </w:tblCellMar>
        </w:tblPrEx>
        <w:tc>
          <w:tcPr>
            <w:tcW w:w="8848" w:type="dxa"/>
            <w:gridSpan w:val="14"/>
            <w:vAlign w:val="center"/>
          </w:tcPr>
          <w:p w14:paraId="3146B486">
            <w:pPr>
              <w:jc w:val="center"/>
            </w:pPr>
            <w:r>
              <w:rPr>
                <w:rFonts w:ascii="宋体" w:hAnsi="宋体" w:eastAsia="宋体"/>
                <w:sz w:val="24"/>
              </w:rPr>
              <w:t>(2024年度)</w:t>
            </w:r>
          </w:p>
        </w:tc>
      </w:tr>
      <w:tr w14:paraId="34CCFB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701F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B661AE">
            <w:pPr>
              <w:jc w:val="center"/>
            </w:pPr>
            <w:r>
              <w:rPr>
                <w:rFonts w:ascii="宋体" w:hAnsi="宋体" w:eastAsia="宋体"/>
                <w:sz w:val="16"/>
              </w:rPr>
              <w:t>2024年疏勒县加强人才合作项目</w:t>
            </w:r>
          </w:p>
        </w:tc>
      </w:tr>
      <w:tr w14:paraId="5E0BCB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A54D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183A65">
            <w:pPr>
              <w:jc w:val="center"/>
            </w:pPr>
            <w:r>
              <w:rPr>
                <w:rFonts w:ascii="宋体" w:hAnsi="宋体" w:eastAsia="宋体"/>
                <w:sz w:val="16"/>
              </w:rPr>
              <w:t>疏勒县塔孜洪乡人民政府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8213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39468A">
            <w:pPr>
              <w:jc w:val="center"/>
            </w:pPr>
            <w:r>
              <w:rPr>
                <w:rFonts w:ascii="宋体" w:hAnsi="宋体" w:eastAsia="宋体"/>
                <w:sz w:val="16"/>
              </w:rPr>
              <w:t>疏勒县塔孜洪乡人民政府</w:t>
            </w:r>
          </w:p>
        </w:tc>
      </w:tr>
      <w:tr w14:paraId="0DFCEF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4828C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A1D9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0A58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1D0E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B40A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8962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A0A0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A5644">
            <w:pPr>
              <w:jc w:val="center"/>
            </w:pPr>
            <w:r>
              <w:rPr>
                <w:rFonts w:ascii="宋体" w:hAnsi="宋体" w:eastAsia="宋体"/>
                <w:sz w:val="16"/>
              </w:rPr>
              <w:t>得分</w:t>
            </w:r>
          </w:p>
        </w:tc>
      </w:tr>
      <w:tr w14:paraId="70FA68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6C7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3E89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4A610">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12F27">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F9119">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8D5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D35B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4D4CC">
            <w:pPr>
              <w:jc w:val="center"/>
            </w:pPr>
            <w:r>
              <w:rPr>
                <w:rFonts w:ascii="宋体" w:hAnsi="宋体" w:eastAsia="宋体"/>
                <w:sz w:val="16"/>
              </w:rPr>
              <w:t>10.00分</w:t>
            </w:r>
          </w:p>
        </w:tc>
      </w:tr>
      <w:tr w14:paraId="0323C4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3D5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1F20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9FC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A72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841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162F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56D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5536D">
            <w:pPr>
              <w:jc w:val="center"/>
            </w:pPr>
            <w:r>
              <w:rPr>
                <w:rFonts w:ascii="宋体" w:hAnsi="宋体" w:eastAsia="宋体"/>
                <w:sz w:val="16"/>
              </w:rPr>
              <w:t>—</w:t>
            </w:r>
          </w:p>
        </w:tc>
      </w:tr>
      <w:tr w14:paraId="6908BB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D4E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8FA7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912A1">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95373">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97620">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F51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35F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88086">
            <w:pPr>
              <w:jc w:val="center"/>
            </w:pPr>
            <w:r>
              <w:rPr>
                <w:rFonts w:ascii="宋体" w:hAnsi="宋体" w:eastAsia="宋体"/>
                <w:sz w:val="16"/>
              </w:rPr>
              <w:t>—</w:t>
            </w:r>
          </w:p>
        </w:tc>
      </w:tr>
      <w:tr w14:paraId="6690B5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9A8F1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64750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D62E8F">
            <w:pPr>
              <w:jc w:val="center"/>
            </w:pPr>
            <w:r>
              <w:rPr>
                <w:rFonts w:ascii="宋体" w:hAnsi="宋体" w:eastAsia="宋体"/>
                <w:sz w:val="16"/>
              </w:rPr>
              <w:t>实际完成情况</w:t>
            </w:r>
          </w:p>
        </w:tc>
      </w:tr>
      <w:tr w14:paraId="0A71F1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0415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5906A8">
            <w:pPr>
              <w:jc w:val="both"/>
            </w:pPr>
            <w:r>
              <w:rPr>
                <w:rFonts w:ascii="宋体" w:hAnsi="宋体" w:eastAsia="宋体"/>
                <w:sz w:val="16"/>
              </w:rPr>
              <w:t>该项目总投资为20万元，主要</w:t>
            </w:r>
            <w:r>
              <w:rPr>
                <w:rFonts w:hint="eastAsia" w:ascii="宋体" w:hAnsi="宋体"/>
                <w:sz w:val="16"/>
                <w:lang w:eastAsia="zh-CN"/>
              </w:rPr>
              <w:t>用于</w:t>
            </w:r>
            <w:r>
              <w:rPr>
                <w:rFonts w:ascii="宋体" w:hAnsi="宋体" w:eastAsia="宋体"/>
                <w:sz w:val="16"/>
              </w:rPr>
              <w:t>开展农业培训3-5次，培养农民技术员20人以上，开展农民培训100人次以上。通过项目的实施推动塔孜洪乡种植业产业发展，带动村经济发展，推进</w:t>
            </w:r>
            <w:r>
              <w:rPr>
                <w:rFonts w:hint="eastAsia" w:ascii="宋体" w:hAnsi="宋体"/>
                <w:sz w:val="16"/>
                <w:lang w:eastAsia="zh-CN"/>
              </w:rPr>
              <w:t>建设宜居宜业和美乡村</w:t>
            </w:r>
            <w:r>
              <w:rPr>
                <w:rFonts w:ascii="宋体" w:hAnsi="宋体" w:eastAsia="宋体"/>
                <w:sz w:val="16"/>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DC3379">
            <w:pPr>
              <w:jc w:val="both"/>
            </w:pPr>
            <w:r>
              <w:rPr>
                <w:rFonts w:ascii="宋体" w:hAnsi="宋体" w:eastAsia="宋体"/>
                <w:sz w:val="16"/>
              </w:rPr>
              <w:t>项目实际投资总额为20万元，主要</w:t>
            </w:r>
            <w:r>
              <w:rPr>
                <w:rFonts w:hint="eastAsia" w:ascii="宋体" w:hAnsi="宋体"/>
                <w:sz w:val="16"/>
                <w:lang w:eastAsia="zh-CN"/>
              </w:rPr>
              <w:t>用于</w:t>
            </w:r>
            <w:r>
              <w:rPr>
                <w:rFonts w:ascii="宋体" w:hAnsi="宋体" w:eastAsia="宋体"/>
                <w:sz w:val="16"/>
              </w:rPr>
              <w:t>开展农业培训3次，培养农民技术员20人，开展农民培训1000人次。项目实施后，推动塔孜洪乡种植业产业发展，不断提高农业科技含量，加速农业科技成果向现实生产力转化，有效推进农业结构调整，实现农业增效，受益农民满意度100%。</w:t>
            </w:r>
          </w:p>
        </w:tc>
      </w:tr>
      <w:tr w14:paraId="327037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52AB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CE9F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2BAE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8CD5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8D27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1CEA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5E67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B3A1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8BFA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F0C3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34EC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562E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FEFA2">
            <w:pPr>
              <w:jc w:val="center"/>
            </w:pPr>
            <w:r>
              <w:rPr>
                <w:rFonts w:ascii="宋体" w:hAnsi="宋体" w:eastAsia="宋体"/>
                <w:sz w:val="16"/>
              </w:rPr>
              <w:t>偏差原因分析及改进措施</w:t>
            </w:r>
          </w:p>
        </w:tc>
      </w:tr>
      <w:tr w14:paraId="4B626A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19E30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62B9D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40F7A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61DF5">
            <w:pPr>
              <w:jc w:val="center"/>
            </w:pPr>
            <w:r>
              <w:rPr>
                <w:rFonts w:ascii="宋体" w:hAnsi="宋体" w:eastAsia="宋体"/>
                <w:sz w:val="16"/>
              </w:rPr>
              <w:t>开展农业培训次数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71EBE">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FCE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427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7ED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2CA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59A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7D358">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171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FD3FD">
            <w:pPr>
              <w:jc w:val="center"/>
            </w:pPr>
          </w:p>
        </w:tc>
      </w:tr>
      <w:tr w14:paraId="75A27F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20D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56B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E470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059A0">
            <w:pPr>
              <w:jc w:val="center"/>
            </w:pPr>
            <w:r>
              <w:rPr>
                <w:rFonts w:ascii="宋体" w:hAnsi="宋体" w:eastAsia="宋体"/>
                <w:sz w:val="16"/>
              </w:rPr>
              <w:t>培养农民技术员人数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C0A54">
            <w:pPr>
              <w:jc w:val="center"/>
            </w:pPr>
            <w:r>
              <w:rPr>
                <w:rFonts w:ascii="宋体" w:hAnsi="宋体" w:eastAsia="宋体"/>
                <w:sz w:val="16"/>
              </w:rPr>
              <w:t>&gt;=20人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BE7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0C3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B85B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E7F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A54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789BB">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355D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1AE8E">
            <w:pPr>
              <w:jc w:val="center"/>
            </w:pPr>
          </w:p>
        </w:tc>
      </w:tr>
      <w:tr w14:paraId="368DB3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952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0CD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D37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8E440">
            <w:pPr>
              <w:jc w:val="center"/>
            </w:pPr>
            <w:r>
              <w:rPr>
                <w:rFonts w:ascii="宋体" w:hAnsi="宋体" w:eastAsia="宋体"/>
                <w:sz w:val="16"/>
              </w:rPr>
              <w:t>培训农民人次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B1A84">
            <w:pPr>
              <w:jc w:val="center"/>
            </w:pPr>
            <w:r>
              <w:rPr>
                <w:rFonts w:ascii="宋体" w:hAnsi="宋体" w:eastAsia="宋体"/>
                <w:sz w:val="16"/>
              </w:rPr>
              <w:t>&gt;=1000人次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BC8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69C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21B9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7B2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E46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1E6EC">
            <w:pPr>
              <w:jc w:val="center"/>
            </w:pPr>
            <w:r>
              <w:rPr>
                <w:rFonts w:ascii="宋体" w:hAnsi="宋体" w:eastAsia="宋体"/>
                <w:sz w:val="16"/>
              </w:rPr>
              <w:t>=1000人次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613B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AF779">
            <w:pPr>
              <w:jc w:val="center"/>
            </w:pPr>
          </w:p>
        </w:tc>
      </w:tr>
      <w:tr w14:paraId="0B6671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F2D5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21C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2636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31D47">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557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59F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518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47C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B79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DF7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EFD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1D5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23E63">
            <w:pPr>
              <w:jc w:val="center"/>
            </w:pPr>
          </w:p>
        </w:tc>
      </w:tr>
      <w:tr w14:paraId="1219CA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573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9349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DE335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A2479">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2FA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D2A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04D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70F1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1C5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145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C60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0E6C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EEE5C">
            <w:pPr>
              <w:jc w:val="center"/>
            </w:pPr>
          </w:p>
        </w:tc>
      </w:tr>
      <w:tr w14:paraId="3366DA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8DF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4D2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3C8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155CE">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D7B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B28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F2E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3E39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589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3B4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E3A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DD40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417DD">
            <w:pPr>
              <w:jc w:val="center"/>
            </w:pPr>
          </w:p>
        </w:tc>
      </w:tr>
      <w:tr w14:paraId="7C5C64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A358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F0B0B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2EF26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22A7A">
            <w:pPr>
              <w:jc w:val="center"/>
            </w:pPr>
            <w:r>
              <w:rPr>
                <w:rFonts w:ascii="宋体" w:hAnsi="宋体" w:eastAsia="宋体"/>
                <w:sz w:val="16"/>
              </w:rPr>
              <w:t>设备及材料测试化验加工动力费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C86F5">
            <w:pPr>
              <w:jc w:val="center"/>
            </w:pPr>
            <w:r>
              <w:rPr>
                <w:rFonts w:ascii="宋体" w:hAnsi="宋体" w:eastAsia="宋体"/>
                <w:sz w:val="16"/>
              </w:rPr>
              <w:t>=14.2万元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1C60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AA7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1806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89A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6B7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95032">
            <w:pPr>
              <w:jc w:val="center"/>
            </w:pPr>
            <w:r>
              <w:rPr>
                <w:rFonts w:ascii="宋体" w:hAnsi="宋体" w:eastAsia="宋体"/>
                <w:sz w:val="16"/>
              </w:rPr>
              <w:t>=14.2万元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2C29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B2007">
            <w:pPr>
              <w:jc w:val="center"/>
            </w:pPr>
          </w:p>
        </w:tc>
      </w:tr>
      <w:tr w14:paraId="14B2AB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593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E82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AD1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8EBC0">
            <w:pPr>
              <w:jc w:val="center"/>
            </w:pPr>
            <w:r>
              <w:rPr>
                <w:rFonts w:ascii="宋体" w:hAnsi="宋体" w:eastAsia="宋体"/>
                <w:sz w:val="16"/>
              </w:rPr>
              <w:t>培训及推广会议费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09AD5">
            <w:pPr>
              <w:jc w:val="center"/>
            </w:pPr>
            <w:r>
              <w:rPr>
                <w:rFonts w:ascii="宋体" w:hAnsi="宋体" w:eastAsia="宋体"/>
                <w:sz w:val="16"/>
              </w:rPr>
              <w: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9462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971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A7D3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2E7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1109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4F9FA">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11BA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DC243">
            <w:pPr>
              <w:jc w:val="center"/>
            </w:pPr>
          </w:p>
        </w:tc>
      </w:tr>
      <w:tr w14:paraId="06D6FB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095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2CA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742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4BDCC">
            <w:pPr>
              <w:jc w:val="center"/>
            </w:pPr>
            <w:r>
              <w:rPr>
                <w:rFonts w:ascii="宋体" w:hAnsi="宋体" w:eastAsia="宋体"/>
                <w:sz w:val="16"/>
              </w:rPr>
              <w:t>专家咨询费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958F0">
            <w:pPr>
              <w:jc w:val="center"/>
            </w:pPr>
            <w:r>
              <w:rPr>
                <w:rFonts w:ascii="宋体" w:hAnsi="宋体" w:eastAsia="宋体"/>
                <w:sz w:val="16"/>
              </w:rPr>
              <w: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D71A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792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1A69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C08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88C8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53EB1">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1FBD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16CFE">
            <w:pPr>
              <w:jc w:val="center"/>
            </w:pPr>
          </w:p>
        </w:tc>
      </w:tr>
      <w:tr w14:paraId="629542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F83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135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F18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8EAB9">
            <w:pPr>
              <w:jc w:val="center"/>
            </w:pPr>
            <w:r>
              <w:rPr>
                <w:rFonts w:ascii="宋体" w:hAnsi="宋体" w:eastAsia="宋体"/>
                <w:sz w:val="16"/>
              </w:rPr>
              <w:t>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1780F">
            <w:pPr>
              <w:jc w:val="center"/>
            </w:pPr>
            <w:r>
              <w:rPr>
                <w:rFonts w:ascii="宋体" w:hAnsi="宋体" w:eastAsia="宋体"/>
                <w:sz w:val="16"/>
              </w:rPr>
              <w:t>=4.80万元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E195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3D3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F9C2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BA6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C881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90BF8">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FC11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5813C">
            <w:pPr>
              <w:jc w:val="center"/>
            </w:pPr>
          </w:p>
        </w:tc>
      </w:tr>
      <w:tr w14:paraId="510E0A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03A3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E5C9F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0C1C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49004">
            <w:pPr>
              <w:jc w:val="center"/>
            </w:pPr>
            <w:r>
              <w:rPr>
                <w:rFonts w:ascii="宋体" w:hAnsi="宋体" w:eastAsia="宋体"/>
                <w:sz w:val="16"/>
              </w:rPr>
              <w:t>提高农业科技含量，加速农业科技成果向现实生产力转化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35058">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EC6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86E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8CC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827B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64D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3990F">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532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B1C54">
            <w:pPr>
              <w:jc w:val="center"/>
            </w:pPr>
          </w:p>
        </w:tc>
      </w:tr>
      <w:tr w14:paraId="0414FA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784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116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F21C9">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11CB2">
            <w:pPr>
              <w:jc w:val="center"/>
            </w:pPr>
            <w:r>
              <w:rPr>
                <w:rFonts w:ascii="宋体" w:hAnsi="宋体" w:eastAsia="宋体"/>
                <w:sz w:val="16"/>
              </w:rPr>
              <w:t>推进农业结构调整，实现农业增效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43409">
            <w:pPr>
              <w:jc w:val="center"/>
            </w:pPr>
            <w:r>
              <w:rPr>
                <w:rFonts w:ascii="宋体" w:hAnsi="宋体" w:eastAsia="宋体"/>
                <w:sz w:val="16"/>
              </w:rPr>
              <w:t>有效推进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599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D4B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489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B190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134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941E7">
            <w:pPr>
              <w:jc w:val="center"/>
            </w:pPr>
            <w:r>
              <w:rPr>
                <w:rFonts w:ascii="宋体" w:hAnsi="宋体" w:eastAsia="宋体"/>
                <w:sz w:val="16"/>
              </w:rPr>
              <w:t>有效推进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EFC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32C97">
            <w:pPr>
              <w:jc w:val="center"/>
            </w:pPr>
          </w:p>
        </w:tc>
      </w:tr>
      <w:tr w14:paraId="3E5C66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C61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B158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91FB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1423D">
            <w:pPr>
              <w:jc w:val="center"/>
            </w:pPr>
            <w:r>
              <w:rPr>
                <w:rFonts w:ascii="宋体" w:hAnsi="宋体" w:eastAsia="宋体"/>
                <w:sz w:val="16"/>
              </w:rPr>
              <w:t>受益农民满意度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3A3B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85D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5E0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DF6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D41D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910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435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EB1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B845D">
            <w:pPr>
              <w:jc w:val="center"/>
            </w:pPr>
            <w:r>
              <w:rPr>
                <w:rFonts w:ascii="宋体" w:hAnsi="宋体" w:eastAsia="宋体"/>
                <w:sz w:val="16"/>
              </w:rPr>
              <w:t>受益农民满意度100%，故存在5%偏差</w:t>
            </w:r>
          </w:p>
        </w:tc>
      </w:tr>
      <w:tr w14:paraId="2982FD9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8CEFA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6401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A33FC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632F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CB566D7"/>
        </w:tc>
      </w:tr>
    </w:tbl>
    <w:p w14:paraId="0AEE0C1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7034E41">
        <w:tblPrEx>
          <w:tblCellMar>
            <w:top w:w="0" w:type="dxa"/>
            <w:left w:w="108" w:type="dxa"/>
            <w:bottom w:w="0" w:type="dxa"/>
            <w:right w:w="108" w:type="dxa"/>
          </w:tblCellMar>
        </w:tblPrEx>
        <w:tc>
          <w:tcPr>
            <w:tcW w:w="8848" w:type="dxa"/>
            <w:gridSpan w:val="14"/>
            <w:vAlign w:val="center"/>
          </w:tcPr>
          <w:p w14:paraId="51D686F3">
            <w:pPr>
              <w:jc w:val="center"/>
            </w:pPr>
            <w:r>
              <w:rPr>
                <w:rFonts w:ascii="宋体" w:hAnsi="宋体" w:eastAsia="宋体"/>
                <w:sz w:val="24"/>
              </w:rPr>
              <w:t>项目支出绩效自评表</w:t>
            </w:r>
          </w:p>
        </w:tc>
      </w:tr>
      <w:tr w14:paraId="36775247">
        <w:tblPrEx>
          <w:tblCellMar>
            <w:top w:w="0" w:type="dxa"/>
            <w:left w:w="108" w:type="dxa"/>
            <w:bottom w:w="0" w:type="dxa"/>
            <w:right w:w="108" w:type="dxa"/>
          </w:tblCellMar>
        </w:tblPrEx>
        <w:tc>
          <w:tcPr>
            <w:tcW w:w="8848" w:type="dxa"/>
            <w:gridSpan w:val="14"/>
            <w:vAlign w:val="center"/>
          </w:tcPr>
          <w:p w14:paraId="26E03143">
            <w:pPr>
              <w:jc w:val="center"/>
            </w:pPr>
            <w:r>
              <w:rPr>
                <w:rFonts w:ascii="宋体" w:hAnsi="宋体" w:eastAsia="宋体"/>
                <w:sz w:val="24"/>
              </w:rPr>
              <w:t>(2024年度)</w:t>
            </w:r>
          </w:p>
        </w:tc>
      </w:tr>
      <w:tr w14:paraId="677529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0C96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5F6148F">
            <w:pPr>
              <w:jc w:val="center"/>
            </w:pPr>
            <w:r>
              <w:rPr>
                <w:rFonts w:ascii="宋体" w:hAnsi="宋体" w:eastAsia="宋体"/>
                <w:sz w:val="16"/>
              </w:rPr>
              <w:t>乡镇工作经费项目</w:t>
            </w:r>
          </w:p>
        </w:tc>
      </w:tr>
      <w:tr w14:paraId="6CA113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093C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D9AC0D">
            <w:pPr>
              <w:jc w:val="center"/>
            </w:pPr>
            <w:r>
              <w:rPr>
                <w:rFonts w:ascii="宋体" w:hAnsi="宋体" w:eastAsia="宋体"/>
                <w:sz w:val="16"/>
              </w:rPr>
              <w:t>疏勒县塔孜洪乡人民政府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DC51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FA9AD7">
            <w:pPr>
              <w:jc w:val="center"/>
            </w:pPr>
            <w:r>
              <w:rPr>
                <w:rFonts w:ascii="宋体" w:hAnsi="宋体" w:eastAsia="宋体"/>
                <w:sz w:val="16"/>
              </w:rPr>
              <w:t>疏勒县塔孜洪乡人民政府</w:t>
            </w:r>
          </w:p>
        </w:tc>
      </w:tr>
      <w:tr w14:paraId="5298B6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C5635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8803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B5C7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1E43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B638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87C5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DE5A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95E3D">
            <w:pPr>
              <w:jc w:val="center"/>
            </w:pPr>
            <w:r>
              <w:rPr>
                <w:rFonts w:ascii="宋体" w:hAnsi="宋体" w:eastAsia="宋体"/>
                <w:sz w:val="16"/>
              </w:rPr>
              <w:t>得分</w:t>
            </w:r>
          </w:p>
        </w:tc>
      </w:tr>
      <w:tr w14:paraId="125E8B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39E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CE6A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0D4B9">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C0F8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F2571">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507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6E21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79D73">
            <w:pPr>
              <w:jc w:val="center"/>
            </w:pPr>
            <w:r>
              <w:rPr>
                <w:rFonts w:ascii="宋体" w:hAnsi="宋体" w:eastAsia="宋体"/>
                <w:sz w:val="16"/>
              </w:rPr>
              <w:t>10.00分</w:t>
            </w:r>
          </w:p>
        </w:tc>
      </w:tr>
      <w:tr w14:paraId="0B623E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104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D7B8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CE1B7">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A0E46">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D1C04">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591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36C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0D249">
            <w:pPr>
              <w:jc w:val="center"/>
            </w:pPr>
            <w:r>
              <w:rPr>
                <w:rFonts w:ascii="宋体" w:hAnsi="宋体" w:eastAsia="宋体"/>
                <w:sz w:val="16"/>
              </w:rPr>
              <w:t>—</w:t>
            </w:r>
          </w:p>
        </w:tc>
      </w:tr>
      <w:tr w14:paraId="2AD475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FCB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1A65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43B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B0E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698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309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1DC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21984">
            <w:pPr>
              <w:jc w:val="center"/>
            </w:pPr>
            <w:r>
              <w:rPr>
                <w:rFonts w:ascii="宋体" w:hAnsi="宋体" w:eastAsia="宋体"/>
                <w:sz w:val="16"/>
              </w:rPr>
              <w:t>—</w:t>
            </w:r>
          </w:p>
        </w:tc>
      </w:tr>
      <w:tr w14:paraId="535EBB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9FD04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F6714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AA76DA">
            <w:pPr>
              <w:jc w:val="center"/>
            </w:pPr>
            <w:r>
              <w:rPr>
                <w:rFonts w:ascii="宋体" w:hAnsi="宋体" w:eastAsia="宋体"/>
                <w:sz w:val="16"/>
              </w:rPr>
              <w:t>实际完成情况</w:t>
            </w:r>
          </w:p>
        </w:tc>
      </w:tr>
      <w:tr w14:paraId="791A2D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FDD1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B6A7D4">
            <w:pPr>
              <w:jc w:val="both"/>
            </w:pPr>
            <w:r>
              <w:rPr>
                <w:rFonts w:ascii="宋体" w:hAnsi="宋体" w:eastAsia="宋体"/>
                <w:sz w:val="16"/>
              </w:rPr>
              <w:t>项目计划投资20万元，主要用于保障乡政府132名干部及12辆公务车辆维修保养等日常运转，资金主要用于保障乡镇伙食费5万元及乡镇用电经费15万元。预计通过该项目实施，不断提高干部工作积极性及机关运行的工作效率，促进基层治理能力治理体系现代化，保障乡村振兴稳步推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C74226">
            <w:pPr>
              <w:jc w:val="both"/>
            </w:pPr>
            <w:r>
              <w:rPr>
                <w:rFonts w:ascii="宋体" w:hAnsi="宋体" w:eastAsia="宋体"/>
                <w:sz w:val="16"/>
              </w:rPr>
              <w:t>截至2024年12月31日，项目实际投资总额为20万元，主要用于保障乡政府132名干部及12辆公务车辆维修保养等日常运转，资金主要用于保障乡镇伙食费5万元及乡镇用电经费15万元，通过该项目实施，不断提高干部工作积极性及机关运行的工作效率，促进基层</w:t>
            </w:r>
            <w:r>
              <w:rPr>
                <w:rFonts w:hint="eastAsia" w:ascii="宋体" w:hAnsi="宋体"/>
                <w:sz w:val="16"/>
                <w:lang w:eastAsia="zh-CN"/>
              </w:rPr>
              <w:t>治理体系和治理能力现代化</w:t>
            </w:r>
            <w:r>
              <w:rPr>
                <w:rFonts w:ascii="宋体" w:hAnsi="宋体" w:eastAsia="宋体"/>
                <w:sz w:val="16"/>
              </w:rPr>
              <w:t>，保障乡村振兴稳步推进。</w:t>
            </w:r>
          </w:p>
        </w:tc>
      </w:tr>
      <w:tr w14:paraId="1FE490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0B80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3261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26B6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0201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8742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6C40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1F8B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0475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FC80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AF88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49D0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77FF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EC047">
            <w:pPr>
              <w:jc w:val="center"/>
            </w:pPr>
            <w:r>
              <w:rPr>
                <w:rFonts w:ascii="宋体" w:hAnsi="宋体" w:eastAsia="宋体"/>
                <w:sz w:val="16"/>
              </w:rPr>
              <w:t>偏差原因分析及改进措施</w:t>
            </w:r>
          </w:p>
        </w:tc>
      </w:tr>
      <w:tr w14:paraId="2EEEB0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134C2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B535A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29393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B5631">
            <w:pPr>
              <w:jc w:val="center"/>
            </w:pPr>
            <w:r>
              <w:rPr>
                <w:rFonts w:ascii="宋体" w:hAnsi="宋体" w:eastAsia="宋体"/>
                <w:sz w:val="16"/>
              </w:rPr>
              <w:t>保障干部人数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414B2">
            <w:pPr>
              <w:jc w:val="center"/>
            </w:pPr>
            <w:r>
              <w:rPr>
                <w:rFonts w:ascii="宋体" w:hAnsi="宋体" w:eastAsia="宋体"/>
                <w:sz w:val="16"/>
              </w:rPr>
              <w:t>=132人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EF2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0BC1B">
            <w:pPr>
              <w:jc w:val="center"/>
            </w:pPr>
            <w:r>
              <w:rPr>
                <w:rFonts w:ascii="宋体" w:hAnsi="宋体" w:eastAsia="宋体"/>
                <w:sz w:val="16"/>
              </w:rPr>
              <w:t>133人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7EA6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1E8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B14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989A2">
            <w:pPr>
              <w:jc w:val="center"/>
            </w:pPr>
            <w:r>
              <w:rPr>
                <w:rFonts w:ascii="宋体" w:hAnsi="宋体" w:eastAsia="宋体"/>
                <w:sz w:val="16"/>
              </w:rPr>
              <w:t>=132人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2A6C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B41D3">
            <w:pPr>
              <w:jc w:val="center"/>
            </w:pPr>
          </w:p>
        </w:tc>
      </w:tr>
      <w:tr w14:paraId="1E106E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795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0CF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7E77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C7279">
            <w:pPr>
              <w:jc w:val="center"/>
            </w:pPr>
            <w:r>
              <w:rPr>
                <w:rFonts w:ascii="宋体" w:hAnsi="宋体" w:eastAsia="宋体"/>
                <w:sz w:val="16"/>
              </w:rPr>
              <w:t>保障车辆数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DBFDF">
            <w:pPr>
              <w:jc w:val="center"/>
            </w:pPr>
            <w:r>
              <w:rPr>
                <w:rFonts w:ascii="宋体" w:hAnsi="宋体" w:eastAsia="宋体"/>
                <w:sz w:val="16"/>
              </w:rPr>
              <w:t>=12辆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569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65797">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0640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249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182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84E12">
            <w:pPr>
              <w:jc w:val="center"/>
            </w:pPr>
            <w:r>
              <w:rPr>
                <w:rFonts w:ascii="宋体" w:hAnsi="宋体" w:eastAsia="宋体"/>
                <w:sz w:val="16"/>
              </w:rPr>
              <w:t>=12辆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62F8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34697">
            <w:pPr>
              <w:jc w:val="center"/>
            </w:pPr>
          </w:p>
        </w:tc>
      </w:tr>
      <w:tr w14:paraId="64F98B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A03B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A2E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4B7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30019">
            <w:pPr>
              <w:jc w:val="center"/>
            </w:pPr>
            <w:r>
              <w:rPr>
                <w:rFonts w:ascii="宋体" w:hAnsi="宋体" w:eastAsia="宋体"/>
                <w:sz w:val="16"/>
              </w:rPr>
              <w:t>保障乡镇数量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CD71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4F8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BB2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FD72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D58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7F6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EE18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2CB7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1EB0D">
            <w:pPr>
              <w:jc w:val="center"/>
            </w:pPr>
          </w:p>
        </w:tc>
      </w:tr>
      <w:tr w14:paraId="0B1133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F5C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EA8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6E87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2172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172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831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169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95A7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6CF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6E2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0A2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420F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8E65C">
            <w:pPr>
              <w:jc w:val="center"/>
            </w:pPr>
          </w:p>
        </w:tc>
      </w:tr>
      <w:tr w14:paraId="15871B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D2F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4983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CC2C7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29EE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0B2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F20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D33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F66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252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C23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901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9A4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F678D">
            <w:pPr>
              <w:jc w:val="center"/>
            </w:pPr>
          </w:p>
        </w:tc>
      </w:tr>
      <w:tr w14:paraId="65C961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697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305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1CB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A190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71E1D">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83B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A0E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437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003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14D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6FF64">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9CF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57927">
            <w:pPr>
              <w:jc w:val="center"/>
            </w:pPr>
          </w:p>
        </w:tc>
      </w:tr>
      <w:tr w14:paraId="56F0D5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C373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74310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1BB2D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1648D">
            <w:pPr>
              <w:jc w:val="center"/>
            </w:pPr>
            <w:r>
              <w:rPr>
                <w:rFonts w:ascii="宋体" w:hAnsi="宋体" w:eastAsia="宋体"/>
                <w:sz w:val="16"/>
              </w:rPr>
              <w:t>保障乡镇伙食费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825CB">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E828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3612E">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41D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69B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4451E">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0307E">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D74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17E70">
            <w:pPr>
              <w:jc w:val="center"/>
            </w:pPr>
          </w:p>
        </w:tc>
      </w:tr>
      <w:tr w14:paraId="019B12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785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200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BB0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28491">
            <w:pPr>
              <w:jc w:val="center"/>
            </w:pPr>
            <w:r>
              <w:rPr>
                <w:rFonts w:ascii="宋体" w:hAnsi="宋体" w:eastAsia="宋体"/>
                <w:sz w:val="16"/>
              </w:rPr>
              <w:t>保障乡镇用电经费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4B982">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B57B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87F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971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49F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B2967">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A2667">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382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AA353">
            <w:pPr>
              <w:jc w:val="center"/>
            </w:pPr>
          </w:p>
        </w:tc>
      </w:tr>
      <w:tr w14:paraId="0E5D30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6DC0B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00256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7796F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1F3BF">
            <w:pPr>
              <w:jc w:val="center"/>
            </w:pPr>
            <w:r>
              <w:rPr>
                <w:rFonts w:ascii="宋体" w:hAnsi="宋体" w:eastAsia="宋体"/>
                <w:sz w:val="16"/>
              </w:rPr>
              <w:t>提升干部工作积极性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3BC6A">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3E4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C0B7E">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3191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5591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138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522EB">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693D1">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784E4">
            <w:pPr>
              <w:jc w:val="center"/>
            </w:pPr>
          </w:p>
        </w:tc>
      </w:tr>
      <w:tr w14:paraId="46B07A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D38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A86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0C4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C2144">
            <w:pPr>
              <w:jc w:val="center"/>
            </w:pPr>
            <w:r>
              <w:rPr>
                <w:rFonts w:ascii="宋体" w:hAnsi="宋体" w:eastAsia="宋体"/>
                <w:sz w:val="16"/>
              </w:rPr>
              <w:t>提高乡镇</w:t>
            </w:r>
            <w:r>
              <w:rPr>
                <w:rFonts w:hint="eastAsia" w:ascii="宋体" w:hAnsi="宋体"/>
                <w:sz w:val="16"/>
                <w:lang w:eastAsia="zh-CN"/>
              </w:rPr>
              <w:t>机关</w:t>
            </w:r>
            <w:r>
              <w:rPr>
                <w:rFonts w:ascii="宋体" w:hAnsi="宋体" w:eastAsia="宋体"/>
                <w:sz w:val="16"/>
              </w:rPr>
              <w:t>工作的运行效率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9C3B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03F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D690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A172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0E5F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17B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944D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6658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75210">
            <w:pPr>
              <w:jc w:val="center"/>
            </w:pPr>
          </w:p>
        </w:tc>
      </w:tr>
      <w:tr w14:paraId="71A2C6E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68304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7FC3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DB331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8600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55E63E8"/>
        </w:tc>
      </w:tr>
    </w:tbl>
    <w:p w14:paraId="410F8AA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B894B15">
        <w:tblPrEx>
          <w:tblCellMar>
            <w:top w:w="0" w:type="dxa"/>
            <w:left w:w="108" w:type="dxa"/>
            <w:bottom w:w="0" w:type="dxa"/>
            <w:right w:w="108" w:type="dxa"/>
          </w:tblCellMar>
        </w:tblPrEx>
        <w:tc>
          <w:tcPr>
            <w:tcW w:w="8848" w:type="dxa"/>
            <w:gridSpan w:val="14"/>
            <w:vAlign w:val="center"/>
          </w:tcPr>
          <w:p w14:paraId="02EF50E3">
            <w:pPr>
              <w:jc w:val="center"/>
            </w:pPr>
            <w:r>
              <w:rPr>
                <w:rFonts w:ascii="宋体" w:hAnsi="宋体" w:eastAsia="宋体"/>
                <w:sz w:val="24"/>
              </w:rPr>
              <w:t>项目支出绩效自评表</w:t>
            </w:r>
          </w:p>
        </w:tc>
      </w:tr>
      <w:tr w14:paraId="21611557">
        <w:tblPrEx>
          <w:tblCellMar>
            <w:top w:w="0" w:type="dxa"/>
            <w:left w:w="108" w:type="dxa"/>
            <w:bottom w:w="0" w:type="dxa"/>
            <w:right w:w="108" w:type="dxa"/>
          </w:tblCellMar>
        </w:tblPrEx>
        <w:tc>
          <w:tcPr>
            <w:tcW w:w="8848" w:type="dxa"/>
            <w:gridSpan w:val="14"/>
            <w:vAlign w:val="center"/>
          </w:tcPr>
          <w:p w14:paraId="4B7FF365">
            <w:pPr>
              <w:jc w:val="center"/>
            </w:pPr>
            <w:r>
              <w:rPr>
                <w:rFonts w:ascii="宋体" w:hAnsi="宋体" w:eastAsia="宋体"/>
                <w:sz w:val="24"/>
              </w:rPr>
              <w:t>(2024年度)</w:t>
            </w:r>
          </w:p>
        </w:tc>
      </w:tr>
      <w:tr w14:paraId="16F224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DFC6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E4A6740">
            <w:pPr>
              <w:jc w:val="center"/>
            </w:pPr>
            <w:r>
              <w:rPr>
                <w:rFonts w:ascii="宋体" w:hAnsi="宋体" w:eastAsia="宋体"/>
                <w:sz w:val="16"/>
              </w:rPr>
              <w:t>乡镇聘用保安工资项目</w:t>
            </w:r>
          </w:p>
        </w:tc>
      </w:tr>
      <w:tr w14:paraId="679519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0521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D5EACA">
            <w:pPr>
              <w:jc w:val="center"/>
            </w:pPr>
            <w:r>
              <w:rPr>
                <w:rFonts w:ascii="宋体" w:hAnsi="宋体" w:eastAsia="宋体"/>
                <w:sz w:val="16"/>
              </w:rPr>
              <w:t>疏勒县塔孜洪乡人民政府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4CF0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724B65">
            <w:pPr>
              <w:jc w:val="center"/>
            </w:pPr>
            <w:r>
              <w:rPr>
                <w:rFonts w:ascii="宋体" w:hAnsi="宋体" w:eastAsia="宋体"/>
                <w:sz w:val="16"/>
              </w:rPr>
              <w:t>疏勒县塔孜洪乡人民政府</w:t>
            </w:r>
          </w:p>
        </w:tc>
      </w:tr>
      <w:tr w14:paraId="0CF147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01D2C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EE0B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E5B4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4788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140C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F268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A541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95611">
            <w:pPr>
              <w:jc w:val="center"/>
            </w:pPr>
            <w:r>
              <w:rPr>
                <w:rFonts w:ascii="宋体" w:hAnsi="宋体" w:eastAsia="宋体"/>
                <w:sz w:val="16"/>
              </w:rPr>
              <w:t>得分</w:t>
            </w:r>
          </w:p>
        </w:tc>
      </w:tr>
      <w:tr w14:paraId="4ADBE4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A8CA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E527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E260E">
            <w:pPr>
              <w:jc w:val="center"/>
            </w:pPr>
            <w:r>
              <w:rPr>
                <w:rFonts w:ascii="宋体" w:hAnsi="宋体" w:eastAsia="宋体"/>
                <w:sz w:val="16"/>
              </w:rPr>
              <w:t>14.40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BAF9A">
            <w:pPr>
              <w:jc w:val="center"/>
            </w:pPr>
            <w:r>
              <w:rPr>
                <w:rFonts w:ascii="宋体" w:hAnsi="宋体" w:eastAsia="宋体"/>
                <w:sz w:val="16"/>
              </w:rPr>
              <w:t>12.24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86624">
            <w:pPr>
              <w:jc w:val="center"/>
            </w:pPr>
            <w:r>
              <w:rPr>
                <w:rFonts w:ascii="宋体" w:hAnsi="宋体" w:eastAsia="宋体"/>
                <w:sz w:val="16"/>
              </w:rPr>
              <w:t>12.24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6B3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4C7B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467FB">
            <w:pPr>
              <w:jc w:val="center"/>
            </w:pPr>
            <w:r>
              <w:rPr>
                <w:rFonts w:ascii="宋体" w:hAnsi="宋体" w:eastAsia="宋体"/>
                <w:sz w:val="16"/>
              </w:rPr>
              <w:t>10.00分</w:t>
            </w:r>
          </w:p>
        </w:tc>
      </w:tr>
      <w:tr w14:paraId="0E6E4F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093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C31E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DF0AF">
            <w:pPr>
              <w:jc w:val="center"/>
            </w:pPr>
            <w:r>
              <w:rPr>
                <w:rFonts w:ascii="宋体" w:hAnsi="宋体" w:eastAsia="宋体"/>
                <w:sz w:val="16"/>
              </w:rPr>
              <w:t>14.40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ABBD1">
            <w:pPr>
              <w:jc w:val="center"/>
            </w:pPr>
            <w:r>
              <w:rPr>
                <w:rFonts w:ascii="宋体" w:hAnsi="宋体" w:eastAsia="宋体"/>
                <w:sz w:val="16"/>
              </w:rPr>
              <w:t>12.24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A3FB3">
            <w:pPr>
              <w:jc w:val="center"/>
            </w:pPr>
            <w:r>
              <w:rPr>
                <w:rFonts w:ascii="宋体" w:hAnsi="宋体" w:eastAsia="宋体"/>
                <w:sz w:val="16"/>
              </w:rPr>
              <w:t>12.24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F683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1A1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14684">
            <w:pPr>
              <w:jc w:val="center"/>
            </w:pPr>
            <w:r>
              <w:rPr>
                <w:rFonts w:ascii="宋体" w:hAnsi="宋体" w:eastAsia="宋体"/>
                <w:sz w:val="16"/>
              </w:rPr>
              <w:t>—</w:t>
            </w:r>
          </w:p>
        </w:tc>
      </w:tr>
      <w:tr w14:paraId="788358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7A2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2C65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B12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FC6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7AF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76C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423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0C1FD">
            <w:pPr>
              <w:jc w:val="center"/>
            </w:pPr>
            <w:r>
              <w:rPr>
                <w:rFonts w:ascii="宋体" w:hAnsi="宋体" w:eastAsia="宋体"/>
                <w:sz w:val="16"/>
              </w:rPr>
              <w:t>—</w:t>
            </w:r>
          </w:p>
        </w:tc>
      </w:tr>
      <w:tr w14:paraId="4DCD1F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6CFC8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15788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84EBE2">
            <w:pPr>
              <w:jc w:val="center"/>
            </w:pPr>
            <w:r>
              <w:rPr>
                <w:rFonts w:ascii="宋体" w:hAnsi="宋体" w:eastAsia="宋体"/>
                <w:sz w:val="16"/>
              </w:rPr>
              <w:t>实际完成情况</w:t>
            </w:r>
          </w:p>
        </w:tc>
      </w:tr>
      <w:tr w14:paraId="5357DC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08C4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14E894">
            <w:pPr>
              <w:jc w:val="both"/>
            </w:pPr>
            <w:r>
              <w:rPr>
                <w:rFonts w:ascii="宋体" w:hAnsi="宋体" w:eastAsia="宋体"/>
                <w:sz w:val="16"/>
              </w:rPr>
              <w:t>项目总投资12.24万元，本项目主要实施内容为聘用保安8人，发放13个月工资；通过实施本项目有力保障了乡镇社会面防控不断线，保持社会面持续平稳，为百姓和干部的生活安全提供有力保障和支持，使聘用保安满意度达95%及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BDD476">
            <w:pPr>
              <w:jc w:val="both"/>
            </w:pPr>
            <w:r>
              <w:rPr>
                <w:rFonts w:hint="eastAsia" w:ascii="宋体" w:hAnsi="宋体"/>
                <w:sz w:val="16"/>
                <w:lang w:eastAsia="zh-CN"/>
              </w:rPr>
              <w:t>截至2024</w:t>
            </w:r>
            <w:r>
              <w:rPr>
                <w:rFonts w:ascii="宋体" w:hAnsi="宋体" w:eastAsia="宋体"/>
                <w:sz w:val="16"/>
              </w:rPr>
              <w:t>年12月31日，项目实际投资总额为12.24万元，本项目主要实施内容为聘用保安8人，发放13个月工资；通过实施本项目有力保障了乡级聘用人员工资收入，提高社会综合治理覆盖率，保持社会面持续平稳，为百姓和干部的生活安全提供有力保障和支持，聘用人员满意度100%。</w:t>
            </w:r>
          </w:p>
        </w:tc>
      </w:tr>
      <w:tr w14:paraId="2C26F5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F881E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ADA5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E244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DC97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68BE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88F6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0286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3E53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1C29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2F6E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A663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4CE3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034AF">
            <w:pPr>
              <w:jc w:val="center"/>
            </w:pPr>
            <w:r>
              <w:rPr>
                <w:rFonts w:ascii="宋体" w:hAnsi="宋体" w:eastAsia="宋体"/>
                <w:sz w:val="16"/>
              </w:rPr>
              <w:t>偏差原因分析及改进措施</w:t>
            </w:r>
          </w:p>
        </w:tc>
      </w:tr>
      <w:tr w14:paraId="0846C8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258CE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B3D1D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A8904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05CA0">
            <w:pPr>
              <w:jc w:val="center"/>
            </w:pPr>
            <w:r>
              <w:rPr>
                <w:rFonts w:ascii="宋体" w:hAnsi="宋体" w:eastAsia="宋体"/>
                <w:sz w:val="16"/>
              </w:rPr>
              <w:t>行政单位聘用保安人数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944B4">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36C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FFA89">
            <w:pPr>
              <w:jc w:val="center"/>
            </w:pPr>
            <w:r>
              <w:rPr>
                <w:rFonts w:ascii="宋体" w:hAnsi="宋体" w:eastAsia="宋体"/>
                <w:sz w:val="16"/>
              </w:rPr>
              <w: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F97E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9FF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6FE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C2523">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7E21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76372">
            <w:pPr>
              <w:jc w:val="center"/>
            </w:pPr>
          </w:p>
        </w:tc>
      </w:tr>
      <w:tr w14:paraId="4139D4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042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070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ACE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929CA">
            <w:pPr>
              <w:jc w:val="center"/>
            </w:pPr>
            <w:r>
              <w:rPr>
                <w:rFonts w:ascii="宋体" w:hAnsi="宋体" w:eastAsia="宋体"/>
                <w:sz w:val="16"/>
              </w:rPr>
              <w:t>聘用人员本次发放工资累计月数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C6B95">
            <w:pPr>
              <w:jc w:val="center"/>
            </w:pPr>
            <w:r>
              <w:rPr>
                <w:rFonts w:ascii="宋体" w:hAnsi="宋体" w:eastAsia="宋体"/>
                <w:sz w:val="16"/>
              </w:rPr>
              <w:t>=13个月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428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B84A5">
            <w:pPr>
              <w:jc w:val="center"/>
            </w:pPr>
            <w:r>
              <w:rPr>
                <w:rFonts w:ascii="宋体" w:hAnsi="宋体" w:eastAsia="宋体"/>
                <w:sz w:val="16"/>
              </w:rPr>
              <w:t>18个月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F080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F4B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8FA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9FEAB">
            <w:pPr>
              <w:jc w:val="center"/>
            </w:pPr>
            <w:r>
              <w:rPr>
                <w:rFonts w:ascii="宋体" w:hAnsi="宋体" w:eastAsia="宋体"/>
                <w:sz w:val="16"/>
              </w:rPr>
              <w:t>=13个月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F190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5746F">
            <w:pPr>
              <w:jc w:val="center"/>
            </w:pPr>
          </w:p>
        </w:tc>
      </w:tr>
      <w:tr w14:paraId="651A95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2E4C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8818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B53C5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D8BA7">
            <w:pPr>
              <w:jc w:val="center"/>
            </w:pPr>
            <w:r>
              <w:rPr>
                <w:rFonts w:ascii="宋体" w:hAnsi="宋体" w:eastAsia="宋体"/>
                <w:sz w:val="16"/>
              </w:rPr>
              <w:t>聘用人员出勤率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256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FCB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750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E2B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74F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E3F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30B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1B2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88E19">
            <w:pPr>
              <w:jc w:val="center"/>
            </w:pPr>
          </w:p>
        </w:tc>
      </w:tr>
      <w:tr w14:paraId="7F43B3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EAA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949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1FE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ABAF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C89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E98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139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284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11C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22F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B46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C93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74FCF">
            <w:pPr>
              <w:jc w:val="center"/>
            </w:pPr>
          </w:p>
        </w:tc>
      </w:tr>
      <w:tr w14:paraId="3CB8E9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75B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260D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890F9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1BD1C">
            <w:pPr>
              <w:jc w:val="center"/>
            </w:pPr>
            <w:r>
              <w:rPr>
                <w:rFonts w:ascii="宋体" w:hAnsi="宋体" w:eastAsia="宋体"/>
                <w:sz w:val="16"/>
              </w:rPr>
              <w:t>工资发放及时率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D1D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CB6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979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1B2A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EA7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FC9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8C6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66ED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28344">
            <w:pPr>
              <w:jc w:val="center"/>
            </w:pPr>
          </w:p>
        </w:tc>
      </w:tr>
      <w:tr w14:paraId="75D9D1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025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22F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493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4B74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AE807">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04F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77B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5FCA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FD6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CFA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6C6C6">
            <w:pPr>
              <w:jc w:val="center"/>
            </w:pPr>
            <w:r>
              <w:rPr>
                <w:rFonts w:ascii="宋体" w:hAnsi="宋体" w:eastAsia="宋体"/>
                <w:sz w:val="16"/>
              </w:rPr>
              <w:t>=2024年11月11日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484B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7E36E">
            <w:pPr>
              <w:jc w:val="center"/>
            </w:pPr>
          </w:p>
        </w:tc>
      </w:tr>
      <w:tr w14:paraId="672831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F94B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2D5E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9BC6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58A8D">
            <w:pPr>
              <w:jc w:val="center"/>
            </w:pPr>
            <w:r>
              <w:rPr>
                <w:rFonts w:ascii="宋体" w:hAnsi="宋体" w:eastAsia="宋体"/>
                <w:sz w:val="16"/>
              </w:rPr>
              <w:t>聘用人员月人均工资金额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C892E">
            <w:pPr>
              <w:jc w:val="center"/>
            </w:pPr>
            <w:r>
              <w:rPr>
                <w:rFonts w:ascii="宋体" w:hAnsi="宋体" w:eastAsia="宋体"/>
                <w:sz w:val="16"/>
              </w:rPr>
              <w:t>&lt;=0.12万元/人/月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E929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04F0D">
            <w:pPr>
              <w:jc w:val="center"/>
            </w:pPr>
            <w:r>
              <w:rPr>
                <w:rFonts w:ascii="宋体" w:hAnsi="宋体" w:eastAsia="宋体"/>
                <w:sz w:val="16"/>
              </w:rPr>
              <w:t>0.12万元/人/月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51FC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558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BEF0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774CE">
            <w:pPr>
              <w:jc w:val="center"/>
            </w:pPr>
            <w:r>
              <w:rPr>
                <w:rFonts w:ascii="宋体" w:hAnsi="宋体" w:eastAsia="宋体"/>
                <w:sz w:val="16"/>
              </w:rPr>
              <w:t>=0.12万元/人/月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7308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7E226">
            <w:pPr>
              <w:jc w:val="center"/>
            </w:pPr>
          </w:p>
        </w:tc>
      </w:tr>
      <w:tr w14:paraId="5A19EC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567F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E46A2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81AE8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D1AF6">
            <w:pPr>
              <w:jc w:val="center"/>
            </w:pPr>
            <w:r>
              <w:rPr>
                <w:rFonts w:ascii="宋体" w:hAnsi="宋体" w:eastAsia="宋体"/>
                <w:sz w:val="16"/>
              </w:rPr>
              <w:t>保障乡级聘用人员工资收入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8E49A">
            <w:pPr>
              <w:jc w:val="center"/>
            </w:pPr>
            <w:r>
              <w:rPr>
                <w:rFonts w:ascii="宋体" w:hAnsi="宋体" w:eastAsia="宋体"/>
                <w:sz w:val="16"/>
              </w:rPr>
              <w:t>持续保障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1CA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3C4E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1EB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2F0E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507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64EE4">
            <w:pPr>
              <w:jc w:val="center"/>
            </w:pPr>
            <w:r>
              <w:rPr>
                <w:rFonts w:ascii="宋体" w:hAnsi="宋体" w:eastAsia="宋体"/>
                <w:sz w:val="16"/>
              </w:rPr>
              <w:t>持续保障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500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1A20C">
            <w:pPr>
              <w:jc w:val="center"/>
            </w:pPr>
          </w:p>
        </w:tc>
      </w:tr>
      <w:tr w14:paraId="41BCAE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680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01E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4CD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7DE04">
            <w:pPr>
              <w:jc w:val="center"/>
            </w:pPr>
            <w:r>
              <w:rPr>
                <w:rFonts w:ascii="宋体" w:hAnsi="宋体" w:eastAsia="宋体"/>
                <w:sz w:val="16"/>
              </w:rPr>
              <w:t>提高社会综合治理覆盖率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118A0">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24A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6344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1A7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111F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462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86E66">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355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64941">
            <w:pPr>
              <w:jc w:val="center"/>
            </w:pPr>
          </w:p>
        </w:tc>
      </w:tr>
      <w:tr w14:paraId="0064AE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74C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B0AA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8321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ECE84">
            <w:pPr>
              <w:jc w:val="center"/>
            </w:pPr>
            <w:r>
              <w:rPr>
                <w:rFonts w:ascii="宋体" w:hAnsi="宋体" w:eastAsia="宋体"/>
                <w:sz w:val="16"/>
              </w:rPr>
              <w:t>聘用保安满意度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77C8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C6F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0F00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A9C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B6AC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D31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9FD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416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69108">
            <w:pPr>
              <w:jc w:val="center"/>
            </w:pPr>
            <w:r>
              <w:rPr>
                <w:rFonts w:ascii="宋体" w:hAnsi="宋体" w:eastAsia="宋体"/>
                <w:sz w:val="16"/>
              </w:rPr>
              <w:t>该项目指标聘用保安满意度≥95%，因项目实际问卷调查满意度为100%，故指标偏差5.26%；改进措施：根据项目实施情况，合理设置预期指标值，使完成值和预期指标值一致。</w:t>
            </w:r>
          </w:p>
        </w:tc>
      </w:tr>
      <w:tr w14:paraId="6471377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505D1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67A9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4C0C5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EFCE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A06AC29"/>
        </w:tc>
      </w:tr>
    </w:tbl>
    <w:p w14:paraId="34B526FE">
      <w:r>
        <w:br w:type="page"/>
      </w:r>
    </w:p>
    <w:tbl>
      <w:tblPr>
        <w:tblStyle w:val="9"/>
        <w:tblW w:w="0" w:type="auto"/>
        <w:tblInd w:w="0" w:type="dxa"/>
        <w:tblLayout w:type="autofit"/>
        <w:tblCellMar>
          <w:top w:w="0" w:type="dxa"/>
          <w:left w:w="108" w:type="dxa"/>
          <w:bottom w:w="0" w:type="dxa"/>
          <w:right w:w="108" w:type="dxa"/>
        </w:tblCellMar>
      </w:tblPr>
      <w:tblGrid>
        <w:gridCol w:w="609"/>
        <w:gridCol w:w="570"/>
        <w:gridCol w:w="570"/>
        <w:gridCol w:w="609"/>
        <w:gridCol w:w="1096"/>
        <w:gridCol w:w="570"/>
        <w:gridCol w:w="570"/>
        <w:gridCol w:w="590"/>
        <w:gridCol w:w="570"/>
        <w:gridCol w:w="590"/>
        <w:gridCol w:w="936"/>
        <w:gridCol w:w="612"/>
        <w:gridCol w:w="535"/>
        <w:gridCol w:w="633"/>
      </w:tblGrid>
      <w:tr w14:paraId="3DF9A737">
        <w:tblPrEx>
          <w:tblCellMar>
            <w:top w:w="0" w:type="dxa"/>
            <w:left w:w="108" w:type="dxa"/>
            <w:bottom w:w="0" w:type="dxa"/>
            <w:right w:w="108" w:type="dxa"/>
          </w:tblCellMar>
        </w:tblPrEx>
        <w:tc>
          <w:tcPr>
            <w:tcW w:w="8848" w:type="dxa"/>
            <w:gridSpan w:val="14"/>
            <w:vAlign w:val="center"/>
          </w:tcPr>
          <w:p w14:paraId="4DD4B5B5">
            <w:pPr>
              <w:jc w:val="center"/>
            </w:pPr>
            <w:r>
              <w:rPr>
                <w:rFonts w:ascii="宋体" w:hAnsi="宋体" w:eastAsia="宋体"/>
                <w:sz w:val="24"/>
              </w:rPr>
              <w:t>项目支出绩效自评表</w:t>
            </w:r>
          </w:p>
        </w:tc>
      </w:tr>
      <w:tr w14:paraId="6DBA23E8">
        <w:tblPrEx>
          <w:tblCellMar>
            <w:top w:w="0" w:type="dxa"/>
            <w:left w:w="108" w:type="dxa"/>
            <w:bottom w:w="0" w:type="dxa"/>
            <w:right w:w="108" w:type="dxa"/>
          </w:tblCellMar>
        </w:tblPrEx>
        <w:tc>
          <w:tcPr>
            <w:tcW w:w="8848" w:type="dxa"/>
            <w:gridSpan w:val="14"/>
            <w:vAlign w:val="center"/>
          </w:tcPr>
          <w:p w14:paraId="3E4C22EB">
            <w:pPr>
              <w:jc w:val="center"/>
            </w:pPr>
            <w:r>
              <w:rPr>
                <w:rFonts w:ascii="宋体" w:hAnsi="宋体" w:eastAsia="宋体"/>
                <w:sz w:val="24"/>
              </w:rPr>
              <w:t>(2024年度)</w:t>
            </w:r>
          </w:p>
        </w:tc>
      </w:tr>
      <w:tr w14:paraId="56B336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84D7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359A590">
            <w:pPr>
              <w:jc w:val="center"/>
            </w:pPr>
            <w:r>
              <w:rPr>
                <w:rFonts w:ascii="宋体" w:hAnsi="宋体" w:eastAsia="宋体"/>
                <w:sz w:val="16"/>
              </w:rPr>
              <w:t>疏勒县塔孜洪乡林果提质增效采购项目</w:t>
            </w:r>
          </w:p>
        </w:tc>
      </w:tr>
      <w:tr w14:paraId="31FEC2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4C9A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A4E732">
            <w:pPr>
              <w:jc w:val="center"/>
            </w:pPr>
            <w:r>
              <w:rPr>
                <w:rFonts w:ascii="宋体" w:hAnsi="宋体" w:eastAsia="宋体"/>
                <w:sz w:val="16"/>
              </w:rPr>
              <w:t>疏勒县塔孜洪乡人民政府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5413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27AB5C">
            <w:pPr>
              <w:jc w:val="center"/>
            </w:pPr>
            <w:r>
              <w:rPr>
                <w:rFonts w:ascii="宋体" w:hAnsi="宋体" w:eastAsia="宋体"/>
                <w:sz w:val="16"/>
              </w:rPr>
              <w:t>疏勒县塔孜洪乡人民政府</w:t>
            </w:r>
          </w:p>
        </w:tc>
      </w:tr>
      <w:tr w14:paraId="445A8C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D3454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A453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BA3B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E6F5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6C7B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C94A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C931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6C200">
            <w:pPr>
              <w:jc w:val="center"/>
            </w:pPr>
            <w:r>
              <w:rPr>
                <w:rFonts w:ascii="宋体" w:hAnsi="宋体" w:eastAsia="宋体"/>
                <w:sz w:val="16"/>
              </w:rPr>
              <w:t>得分</w:t>
            </w:r>
          </w:p>
        </w:tc>
      </w:tr>
      <w:tr w14:paraId="004739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D4D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670B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E7AA9">
            <w:pPr>
              <w:jc w:val="center"/>
            </w:pPr>
            <w:r>
              <w:rPr>
                <w:rFonts w:ascii="宋体" w:hAnsi="宋体" w:eastAsia="宋体"/>
                <w:sz w:val="16"/>
              </w:rPr>
              <w:t>116.20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4B6C0">
            <w:pPr>
              <w:jc w:val="center"/>
            </w:pPr>
            <w:r>
              <w:rPr>
                <w:rFonts w:ascii="宋体" w:hAnsi="宋体" w:eastAsia="宋体"/>
                <w:sz w:val="16"/>
              </w:rPr>
              <w:t>138.52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6618C">
            <w:pPr>
              <w:jc w:val="center"/>
            </w:pPr>
            <w:r>
              <w:rPr>
                <w:rFonts w:ascii="宋体" w:hAnsi="宋体" w:eastAsia="宋体"/>
                <w:sz w:val="16"/>
              </w:rPr>
              <w:t>69.26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E7D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9EE1F">
            <w:pPr>
              <w:jc w:val="center"/>
            </w:pPr>
            <w:r>
              <w:rPr>
                <w:rFonts w:ascii="宋体" w:hAnsi="宋体" w:eastAsia="宋体"/>
                <w:sz w:val="16"/>
              </w:rPr>
              <w:t>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A89CB">
            <w:pPr>
              <w:jc w:val="center"/>
            </w:pPr>
            <w:r>
              <w:rPr>
                <w:rFonts w:ascii="宋体" w:hAnsi="宋体" w:eastAsia="宋体"/>
                <w:sz w:val="16"/>
              </w:rPr>
              <w:t>0.00分</w:t>
            </w:r>
          </w:p>
        </w:tc>
      </w:tr>
      <w:tr w14:paraId="2A746D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8DB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D377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53350">
            <w:pPr>
              <w:jc w:val="center"/>
            </w:pPr>
            <w:r>
              <w:rPr>
                <w:rFonts w:ascii="宋体" w:hAnsi="宋体" w:eastAsia="宋体"/>
                <w:sz w:val="16"/>
              </w:rPr>
              <w:t>116.20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9D6ED">
            <w:pPr>
              <w:jc w:val="center"/>
            </w:pPr>
            <w:r>
              <w:rPr>
                <w:rFonts w:ascii="宋体" w:hAnsi="宋体" w:eastAsia="宋体"/>
                <w:sz w:val="16"/>
              </w:rPr>
              <w:t>138.52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333BE">
            <w:pPr>
              <w:jc w:val="center"/>
            </w:pPr>
            <w:r>
              <w:rPr>
                <w:rFonts w:ascii="宋体" w:hAnsi="宋体" w:eastAsia="宋体"/>
                <w:sz w:val="16"/>
              </w:rPr>
              <w:t>69.26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559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65F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EF697">
            <w:pPr>
              <w:jc w:val="center"/>
            </w:pPr>
            <w:r>
              <w:rPr>
                <w:rFonts w:ascii="宋体" w:hAnsi="宋体" w:eastAsia="宋体"/>
                <w:sz w:val="16"/>
              </w:rPr>
              <w:t>—</w:t>
            </w:r>
          </w:p>
        </w:tc>
      </w:tr>
      <w:tr w14:paraId="061B88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FC61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A950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D53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4E6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86B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7F1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898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D6DFB">
            <w:pPr>
              <w:jc w:val="center"/>
            </w:pPr>
            <w:r>
              <w:rPr>
                <w:rFonts w:ascii="宋体" w:hAnsi="宋体" w:eastAsia="宋体"/>
                <w:sz w:val="16"/>
              </w:rPr>
              <w:t>—</w:t>
            </w:r>
          </w:p>
        </w:tc>
      </w:tr>
      <w:tr w14:paraId="391D6A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13121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EF329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0D594D">
            <w:pPr>
              <w:jc w:val="center"/>
            </w:pPr>
            <w:r>
              <w:rPr>
                <w:rFonts w:ascii="宋体" w:hAnsi="宋体" w:eastAsia="宋体"/>
                <w:sz w:val="16"/>
              </w:rPr>
              <w:t>实际完成情况</w:t>
            </w:r>
          </w:p>
        </w:tc>
      </w:tr>
      <w:tr w14:paraId="0EF1D3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CFE9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3AF05A">
            <w:pPr>
              <w:jc w:val="both"/>
            </w:pPr>
            <w:r>
              <w:rPr>
                <w:rFonts w:ascii="宋体" w:hAnsi="宋体" w:eastAsia="宋体"/>
                <w:sz w:val="16"/>
              </w:rPr>
              <w:t>项目总投资138.52万元，计划用于林果提质增效1200亩，采购修剪工具500套，采购农药0.5吨，涉及行政村22个，采购专用复合肥78吨，果园打理相关技术培训6次，项目实施后，有效改善村民居住环境，提高生活品质，改善林果树木品质，提高林果树木产出收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D51037">
            <w:pPr>
              <w:jc w:val="both"/>
            </w:pPr>
            <w:r>
              <w:rPr>
                <w:rFonts w:ascii="宋体" w:hAnsi="宋体" w:eastAsia="宋体"/>
                <w:sz w:val="16"/>
              </w:rPr>
              <w:t>项目实际投资总额为69.25868万元，用于林果提质增效1200亩，采购修剪工具500套，采购农药0.5吨，涉及行政村22个，采购专用复合肥78吨，果园打理相关技术培训6次，项目实施后，有效改善村民居住环境，提高生活品质，改善林果树木品质，提高林果树木产出收益，受益村民满意度100%。</w:t>
            </w:r>
          </w:p>
        </w:tc>
      </w:tr>
      <w:tr w14:paraId="0A29AE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F8D9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E061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DA1D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5813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6A70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BB8A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C28D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0BAC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53EF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C866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B831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07BA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6D2C8">
            <w:pPr>
              <w:jc w:val="center"/>
            </w:pPr>
            <w:r>
              <w:rPr>
                <w:rFonts w:ascii="宋体" w:hAnsi="宋体" w:eastAsia="宋体"/>
                <w:sz w:val="16"/>
              </w:rPr>
              <w:t>偏差原因分析及改进措施</w:t>
            </w:r>
          </w:p>
        </w:tc>
      </w:tr>
      <w:tr w14:paraId="115C41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65011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1F239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C8F12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D12DD">
            <w:pPr>
              <w:jc w:val="center"/>
            </w:pPr>
            <w:r>
              <w:rPr>
                <w:rFonts w:ascii="宋体" w:hAnsi="宋体" w:eastAsia="宋体"/>
                <w:sz w:val="16"/>
              </w:rPr>
              <w:t>林果提质增效面积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B8594">
            <w:pPr>
              <w:jc w:val="center"/>
            </w:pPr>
            <w:r>
              <w:rPr>
                <w:rFonts w:ascii="宋体" w:hAnsi="宋体" w:eastAsia="宋体"/>
                <w:sz w:val="16"/>
              </w:rPr>
              <w:t>=1200亩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32E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BF3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67D8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2F8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AA8DA">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A9475">
            <w:pPr>
              <w:jc w:val="center"/>
            </w:pPr>
            <w:r>
              <w:rPr>
                <w:rFonts w:ascii="宋体" w:hAnsi="宋体" w:eastAsia="宋体"/>
                <w:sz w:val="16"/>
              </w:rPr>
              <w:t>=1200亩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9756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F2622">
            <w:pPr>
              <w:jc w:val="center"/>
            </w:pPr>
          </w:p>
        </w:tc>
      </w:tr>
      <w:tr w14:paraId="17F341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764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F70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9FE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DC363">
            <w:pPr>
              <w:jc w:val="center"/>
            </w:pPr>
            <w:r>
              <w:rPr>
                <w:rFonts w:ascii="宋体" w:hAnsi="宋体" w:eastAsia="宋体"/>
                <w:sz w:val="16"/>
              </w:rPr>
              <w:t>采购修剪工具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472FF">
            <w:pPr>
              <w:jc w:val="center"/>
            </w:pPr>
            <w:r>
              <w:rPr>
                <w:rFonts w:ascii="宋体" w:hAnsi="宋体" w:eastAsia="宋体"/>
                <w:sz w:val="16"/>
              </w:rPr>
              <w:t>=500套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451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DDD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7691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9C4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CEC4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8171C">
            <w:pPr>
              <w:jc w:val="center"/>
            </w:pPr>
            <w:r>
              <w:rPr>
                <w:rFonts w:ascii="宋体" w:hAnsi="宋体" w:eastAsia="宋体"/>
                <w:sz w:val="16"/>
              </w:rPr>
              <w:t>=500套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9C8E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411BA">
            <w:pPr>
              <w:jc w:val="center"/>
            </w:pPr>
          </w:p>
        </w:tc>
      </w:tr>
      <w:tr w14:paraId="44E95C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EF2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BFC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6FA0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D2414">
            <w:pPr>
              <w:jc w:val="center"/>
            </w:pPr>
            <w:r>
              <w:rPr>
                <w:rFonts w:ascii="宋体" w:hAnsi="宋体" w:eastAsia="宋体"/>
                <w:sz w:val="16"/>
              </w:rPr>
              <w:t>采购农药数量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7E4F0">
            <w:pPr>
              <w:jc w:val="center"/>
            </w:pPr>
            <w:r>
              <w:rPr>
                <w:rFonts w:ascii="宋体" w:hAnsi="宋体" w:eastAsia="宋体"/>
                <w:sz w:val="16"/>
              </w:rPr>
              <w:t>=0.5吨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3D4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27B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04B7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A97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1315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5FF22">
            <w:pPr>
              <w:jc w:val="center"/>
            </w:pPr>
            <w:r>
              <w:rPr>
                <w:rFonts w:ascii="宋体" w:hAnsi="宋体" w:eastAsia="宋体"/>
                <w:sz w:val="16"/>
              </w:rPr>
              <w:t>=0.5吨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E667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19535">
            <w:pPr>
              <w:jc w:val="center"/>
            </w:pPr>
          </w:p>
        </w:tc>
      </w:tr>
      <w:tr w14:paraId="1F682A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8C7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DF6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A73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6EF42">
            <w:pPr>
              <w:jc w:val="center"/>
            </w:pPr>
            <w:r>
              <w:rPr>
                <w:rFonts w:ascii="宋体" w:hAnsi="宋体" w:eastAsia="宋体"/>
                <w:sz w:val="16"/>
              </w:rPr>
              <w:t>项目涉及村个数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EBA46">
            <w:pPr>
              <w:jc w:val="center"/>
            </w:pPr>
            <w:r>
              <w:rPr>
                <w:rFonts w:ascii="宋体" w:hAnsi="宋体" w:eastAsia="宋体"/>
                <w:sz w:val="16"/>
              </w:rPr>
              <w:t>=22个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C3B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18C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0A00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BDB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0E2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D7042">
            <w:pPr>
              <w:jc w:val="center"/>
            </w:pPr>
            <w:r>
              <w:rPr>
                <w:rFonts w:ascii="宋体" w:hAnsi="宋体" w:eastAsia="宋体"/>
                <w:sz w:val="16"/>
              </w:rPr>
              <w:t>=22个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818F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C3B8A">
            <w:pPr>
              <w:jc w:val="center"/>
            </w:pPr>
          </w:p>
        </w:tc>
      </w:tr>
      <w:tr w14:paraId="446C59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117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567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09D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7A8A7">
            <w:pPr>
              <w:jc w:val="center"/>
            </w:pPr>
            <w:r>
              <w:rPr>
                <w:rFonts w:ascii="宋体" w:hAnsi="宋体" w:eastAsia="宋体"/>
                <w:sz w:val="16"/>
              </w:rPr>
              <w:t>采购合同专用复合肥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DF60F">
            <w:pPr>
              <w:jc w:val="center"/>
            </w:pPr>
            <w:r>
              <w:rPr>
                <w:rFonts w:ascii="宋体" w:hAnsi="宋体" w:eastAsia="宋体"/>
                <w:sz w:val="16"/>
              </w:rPr>
              <w:t>=78吨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528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0EC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FAA11">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5B9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39A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BB410">
            <w:pPr>
              <w:jc w:val="center"/>
            </w:pPr>
            <w:r>
              <w:rPr>
                <w:rFonts w:ascii="宋体" w:hAnsi="宋体" w:eastAsia="宋体"/>
                <w:sz w:val="16"/>
              </w:rPr>
              <w:t>=78吨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463D8">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4C2F1">
            <w:pPr>
              <w:jc w:val="center"/>
            </w:pPr>
          </w:p>
        </w:tc>
      </w:tr>
      <w:tr w14:paraId="73F875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E6D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292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32D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4B289">
            <w:pPr>
              <w:jc w:val="center"/>
            </w:pPr>
            <w:r>
              <w:rPr>
                <w:rFonts w:ascii="宋体" w:hAnsi="宋体" w:eastAsia="宋体"/>
                <w:sz w:val="16"/>
              </w:rPr>
              <w:t>果园打理相关技术培训次数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49345">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C68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50A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002F9">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584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325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12C8B">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8AE76">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FED9E">
            <w:pPr>
              <w:jc w:val="center"/>
            </w:pPr>
          </w:p>
        </w:tc>
      </w:tr>
      <w:tr w14:paraId="39A40A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177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C87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8BCA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37C35">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D80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643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14F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29A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F0A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2B0C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BBC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E5C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91DCF">
            <w:pPr>
              <w:jc w:val="center"/>
            </w:pPr>
          </w:p>
        </w:tc>
      </w:tr>
      <w:tr w14:paraId="5393C4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F2A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818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D79E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A72C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B0367">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00B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1B0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11D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A42F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FE94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DA706">
            <w:pPr>
              <w:jc w:val="center"/>
            </w:pPr>
            <w:r>
              <w:rPr>
                <w:rFonts w:ascii="宋体" w:hAnsi="宋体" w:eastAsia="宋体"/>
                <w:sz w:val="16"/>
              </w:rPr>
              <w:t>2024年9月29日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250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37C29">
            <w:pPr>
              <w:jc w:val="center"/>
            </w:pPr>
          </w:p>
        </w:tc>
      </w:tr>
      <w:tr w14:paraId="245C13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9134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15BF6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3074B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8083A">
            <w:pPr>
              <w:jc w:val="center"/>
            </w:pPr>
            <w:r>
              <w:rPr>
                <w:rFonts w:ascii="宋体" w:hAnsi="宋体" w:eastAsia="宋体"/>
                <w:sz w:val="16"/>
              </w:rPr>
              <w:t>采购果园所需农业肥料修剪工具费用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94E73">
            <w:pPr>
              <w:jc w:val="center"/>
            </w:pPr>
            <w:r>
              <w:rPr>
                <w:rFonts w:ascii="宋体" w:hAnsi="宋体" w:eastAsia="宋体"/>
                <w:sz w:val="16"/>
              </w:rPr>
              <w:t>&lt;=16.09668万元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36CB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431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9320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55B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8956A">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06408">
            <w:pPr>
              <w:jc w:val="center"/>
            </w:pPr>
            <w:r>
              <w:rPr>
                <w:rFonts w:ascii="宋体" w:hAnsi="宋体" w:eastAsia="宋体"/>
                <w:sz w:val="16"/>
              </w:rPr>
              <w:t>=16.09668万元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9E09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ED325">
            <w:pPr>
              <w:jc w:val="center"/>
            </w:pPr>
          </w:p>
        </w:tc>
      </w:tr>
      <w:tr w14:paraId="5D8921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BD2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9309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89B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8D6C1">
            <w:pPr>
              <w:jc w:val="center"/>
            </w:pPr>
            <w:r>
              <w:rPr>
                <w:rFonts w:ascii="宋体" w:hAnsi="宋体" w:eastAsia="宋体"/>
                <w:sz w:val="16"/>
              </w:rPr>
              <w:t>林果提质增效费用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D85D4">
            <w:pPr>
              <w:jc w:val="center"/>
            </w:pPr>
            <w:r>
              <w:rPr>
                <w:rFonts w:ascii="宋体" w:hAnsi="宋体" w:eastAsia="宋体"/>
                <w:sz w:val="16"/>
              </w:rPr>
              <w:t>&lt;=121.26132万元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038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122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0A9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E70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B584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CB27A">
            <w:pPr>
              <w:jc w:val="center"/>
            </w:pPr>
            <w:r>
              <w:rPr>
                <w:rFonts w:ascii="宋体" w:hAnsi="宋体" w:eastAsia="宋体"/>
                <w:sz w:val="16"/>
              </w:rPr>
              <w:t>=52万元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77A2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8373D">
            <w:pPr>
              <w:jc w:val="center"/>
            </w:pPr>
            <w:r>
              <w:rPr>
                <w:rFonts w:ascii="宋体" w:hAnsi="宋体" w:eastAsia="宋体"/>
                <w:sz w:val="16"/>
              </w:rPr>
              <w:t>原因分析：该项目指标林果提质增效费用</w:t>
            </w:r>
            <w:bookmarkStart w:id="0" w:name="_GoBack"/>
            <w:r>
              <w:rPr>
                <w:rFonts w:ascii="宋体" w:hAnsi="宋体" w:eastAsia="宋体"/>
                <w:sz w:val="16"/>
              </w:rPr>
              <w:t>&lt;</w:t>
            </w:r>
            <w:bookmarkEnd w:id="0"/>
            <w:r>
              <w:rPr>
                <w:rFonts w:ascii="宋体" w:hAnsi="宋体" w:eastAsia="宋体"/>
                <w:sz w:val="16"/>
              </w:rPr>
              <w:t>=87.24万元，因项目资金支付额为52万元，支付率为59.6%,项目资金执行率较低，故指标偏差为负40.40%；改进措施：根据项目实施情况，加快资金拨付进度，将2024年度未拨付的资金，结转至2025年完成项目实施和资金拨付，提高林果提质增效费用支付率。</w:t>
            </w:r>
          </w:p>
        </w:tc>
      </w:tr>
      <w:tr w14:paraId="0BFFCF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D4B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2C4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3FE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9C3FD">
            <w:pPr>
              <w:jc w:val="center"/>
            </w:pPr>
            <w:r>
              <w:rPr>
                <w:rFonts w:ascii="宋体" w:hAnsi="宋体" w:eastAsia="宋体"/>
                <w:sz w:val="16"/>
              </w:rPr>
              <w:t>果园技术培训费用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3A9E8">
            <w:pPr>
              <w:jc w:val="center"/>
            </w:pPr>
            <w:r>
              <w:rPr>
                <w:rFonts w:ascii="宋体" w:hAnsi="宋体" w:eastAsia="宋体"/>
                <w:sz w:val="16"/>
              </w:rPr>
              <w:t>&lt;=1.162万元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C6E1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D92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11C7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1CE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4445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81F16">
            <w:pPr>
              <w:jc w:val="center"/>
            </w:pPr>
            <w:r>
              <w:rPr>
                <w:rFonts w:ascii="宋体" w:hAnsi="宋体" w:eastAsia="宋体"/>
                <w:sz w:val="16"/>
              </w:rPr>
              <w:t>=1.162万元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81DE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228FE">
            <w:pPr>
              <w:jc w:val="center"/>
            </w:pPr>
          </w:p>
        </w:tc>
      </w:tr>
      <w:tr w14:paraId="688A93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DE78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B3A0F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805C9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2FACC">
            <w:pPr>
              <w:jc w:val="center"/>
            </w:pPr>
            <w:r>
              <w:rPr>
                <w:rFonts w:ascii="宋体" w:hAnsi="宋体" w:eastAsia="宋体"/>
                <w:sz w:val="16"/>
              </w:rPr>
              <w:t>改善村民居住环境，提高生活品质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880AF">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AC6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637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592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B08C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39D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D4407">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C41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EC5C0">
            <w:pPr>
              <w:jc w:val="center"/>
            </w:pPr>
          </w:p>
        </w:tc>
      </w:tr>
      <w:tr w14:paraId="6CF1EC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531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0055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E5B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28CA5">
            <w:pPr>
              <w:jc w:val="center"/>
            </w:pPr>
            <w:r>
              <w:rPr>
                <w:rFonts w:ascii="宋体" w:hAnsi="宋体" w:eastAsia="宋体"/>
                <w:sz w:val="16"/>
              </w:rPr>
              <w:t>改善林果树木品质，提高林果树木产出收益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0C728">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071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7E5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EA0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13EC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C02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4217F">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CA9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01D8B">
            <w:pPr>
              <w:jc w:val="center"/>
            </w:pPr>
          </w:p>
        </w:tc>
      </w:tr>
      <w:tr w14:paraId="095DE6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FE5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6CD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47D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E3FDB">
            <w:pPr>
              <w:jc w:val="center"/>
            </w:pPr>
            <w:r>
              <w:rPr>
                <w:rFonts w:ascii="宋体" w:hAnsi="宋体" w:eastAsia="宋体"/>
                <w:sz w:val="16"/>
              </w:rPr>
              <w:t>受益村民满意度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D3AD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0B2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9FB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519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A88B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ABB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0F9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875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D9516">
            <w:pPr>
              <w:jc w:val="center"/>
            </w:pPr>
            <w:r>
              <w:rPr>
                <w:rFonts w:ascii="宋体" w:hAnsi="宋体" w:eastAsia="宋体"/>
                <w:sz w:val="16"/>
              </w:rPr>
              <w:t>原因分析：该项目指标受益村民满意度≥95%，因项目实际问卷调查满意度为100%，故指标偏差5.26%；改进措施：根据项目实施情况，合理设置预期指标值，使完成值和预期指标值一致。</w:t>
            </w:r>
          </w:p>
        </w:tc>
      </w:tr>
      <w:tr w14:paraId="2553F6A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653A2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8E42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A5C9A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8E50E">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080723E"/>
        </w:tc>
      </w:tr>
    </w:tbl>
    <w:p w14:paraId="0FE9D745">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5"/>
        <w:gridCol w:w="626"/>
        <w:gridCol w:w="856"/>
        <w:gridCol w:w="615"/>
        <w:gridCol w:w="615"/>
        <w:gridCol w:w="620"/>
        <w:gridCol w:w="615"/>
        <w:gridCol w:w="620"/>
        <w:gridCol w:w="776"/>
        <w:gridCol w:w="632"/>
        <w:gridCol w:w="599"/>
        <w:gridCol w:w="632"/>
      </w:tblGrid>
      <w:tr w14:paraId="3DDE72F8">
        <w:tblPrEx>
          <w:tblCellMar>
            <w:top w:w="0" w:type="dxa"/>
            <w:left w:w="108" w:type="dxa"/>
            <w:bottom w:w="0" w:type="dxa"/>
            <w:right w:w="108" w:type="dxa"/>
          </w:tblCellMar>
        </w:tblPrEx>
        <w:tc>
          <w:tcPr>
            <w:tcW w:w="8848" w:type="dxa"/>
            <w:gridSpan w:val="14"/>
            <w:vAlign w:val="center"/>
          </w:tcPr>
          <w:p w14:paraId="4F237662">
            <w:pPr>
              <w:jc w:val="center"/>
            </w:pPr>
            <w:r>
              <w:rPr>
                <w:rFonts w:ascii="宋体" w:hAnsi="宋体" w:eastAsia="宋体"/>
                <w:sz w:val="24"/>
              </w:rPr>
              <w:t>项目支出绩效自评表</w:t>
            </w:r>
          </w:p>
        </w:tc>
      </w:tr>
      <w:tr w14:paraId="336E3E7F">
        <w:tblPrEx>
          <w:tblCellMar>
            <w:top w:w="0" w:type="dxa"/>
            <w:left w:w="108" w:type="dxa"/>
            <w:bottom w:w="0" w:type="dxa"/>
            <w:right w:w="108" w:type="dxa"/>
          </w:tblCellMar>
        </w:tblPrEx>
        <w:tc>
          <w:tcPr>
            <w:tcW w:w="8848" w:type="dxa"/>
            <w:gridSpan w:val="14"/>
            <w:vAlign w:val="center"/>
          </w:tcPr>
          <w:p w14:paraId="0EE86931">
            <w:pPr>
              <w:jc w:val="center"/>
            </w:pPr>
            <w:r>
              <w:rPr>
                <w:rFonts w:ascii="宋体" w:hAnsi="宋体" w:eastAsia="宋体"/>
                <w:sz w:val="24"/>
              </w:rPr>
              <w:t>(2024年度)</w:t>
            </w:r>
          </w:p>
        </w:tc>
      </w:tr>
      <w:tr w14:paraId="1246C5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5DEF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2786313">
            <w:pPr>
              <w:jc w:val="center"/>
            </w:pPr>
            <w:r>
              <w:rPr>
                <w:rFonts w:ascii="宋体" w:hAnsi="宋体" w:eastAsia="宋体"/>
                <w:sz w:val="16"/>
              </w:rPr>
              <w:t>疏勒县塔孜洪乡核桃嫁接改优项目</w:t>
            </w:r>
          </w:p>
        </w:tc>
      </w:tr>
      <w:tr w14:paraId="0157DB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D0DE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9CE34E">
            <w:pPr>
              <w:jc w:val="center"/>
            </w:pPr>
            <w:r>
              <w:rPr>
                <w:rFonts w:ascii="宋体" w:hAnsi="宋体" w:eastAsia="宋体"/>
                <w:sz w:val="16"/>
              </w:rPr>
              <w:t>疏勒县塔孜洪乡人民政府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2988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F66164">
            <w:pPr>
              <w:jc w:val="center"/>
            </w:pPr>
            <w:r>
              <w:rPr>
                <w:rFonts w:ascii="宋体" w:hAnsi="宋体" w:eastAsia="宋体"/>
                <w:sz w:val="16"/>
              </w:rPr>
              <w:t>疏勒县塔孜洪乡人民政府</w:t>
            </w:r>
          </w:p>
        </w:tc>
      </w:tr>
      <w:tr w14:paraId="6E9434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4448C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4B57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6523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05D8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8F35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7F4B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9CF2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AA4F0">
            <w:pPr>
              <w:jc w:val="center"/>
            </w:pPr>
            <w:r>
              <w:rPr>
                <w:rFonts w:ascii="宋体" w:hAnsi="宋体" w:eastAsia="宋体"/>
                <w:sz w:val="16"/>
              </w:rPr>
              <w:t>得分</w:t>
            </w:r>
          </w:p>
        </w:tc>
      </w:tr>
      <w:tr w14:paraId="347FCC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3D4B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5676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C3DEF">
            <w:pPr>
              <w:jc w:val="center"/>
            </w:pPr>
            <w:r>
              <w:rPr>
                <w:rFonts w:ascii="宋体" w:hAnsi="宋体" w:eastAsia="宋体"/>
                <w:sz w:val="16"/>
              </w:rPr>
              <w:t>176.85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08771">
            <w:pPr>
              <w:jc w:val="center"/>
            </w:pPr>
            <w:r>
              <w:rPr>
                <w:rFonts w:ascii="宋体" w:hAnsi="宋体" w:eastAsia="宋体"/>
                <w:sz w:val="16"/>
              </w:rPr>
              <w:t>176.85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667ED">
            <w:pPr>
              <w:jc w:val="center"/>
            </w:pPr>
            <w:r>
              <w:rPr>
                <w:rFonts w:ascii="宋体" w:hAnsi="宋体" w:eastAsia="宋体"/>
                <w:sz w:val="16"/>
              </w:rPr>
              <w:t>176.85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D69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70C9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CFE1A">
            <w:pPr>
              <w:jc w:val="center"/>
            </w:pPr>
            <w:r>
              <w:rPr>
                <w:rFonts w:ascii="宋体" w:hAnsi="宋体" w:eastAsia="宋体"/>
                <w:sz w:val="16"/>
              </w:rPr>
              <w:t>10.00分</w:t>
            </w:r>
          </w:p>
        </w:tc>
      </w:tr>
      <w:tr w14:paraId="635A34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3CB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C79B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DE9E4">
            <w:pPr>
              <w:jc w:val="center"/>
            </w:pPr>
            <w:r>
              <w:rPr>
                <w:rFonts w:ascii="宋体" w:hAnsi="宋体" w:eastAsia="宋体"/>
                <w:sz w:val="16"/>
              </w:rPr>
              <w:t>176.85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21842">
            <w:pPr>
              <w:jc w:val="center"/>
            </w:pPr>
            <w:r>
              <w:rPr>
                <w:rFonts w:ascii="宋体" w:hAnsi="宋体" w:eastAsia="宋体"/>
                <w:sz w:val="16"/>
              </w:rPr>
              <w:t>176.85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17F14">
            <w:pPr>
              <w:jc w:val="center"/>
            </w:pPr>
            <w:r>
              <w:rPr>
                <w:rFonts w:ascii="宋体" w:hAnsi="宋体" w:eastAsia="宋体"/>
                <w:sz w:val="16"/>
              </w:rPr>
              <w:t>176.85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88E5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7B5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9F464">
            <w:pPr>
              <w:jc w:val="center"/>
            </w:pPr>
            <w:r>
              <w:rPr>
                <w:rFonts w:ascii="宋体" w:hAnsi="宋体" w:eastAsia="宋体"/>
                <w:sz w:val="16"/>
              </w:rPr>
              <w:t>—</w:t>
            </w:r>
          </w:p>
        </w:tc>
      </w:tr>
      <w:tr w14:paraId="3A48AB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90C2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C864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3EA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4E0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0D7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E23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EE3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238FA">
            <w:pPr>
              <w:jc w:val="center"/>
            </w:pPr>
            <w:r>
              <w:rPr>
                <w:rFonts w:ascii="宋体" w:hAnsi="宋体" w:eastAsia="宋体"/>
                <w:sz w:val="16"/>
              </w:rPr>
              <w:t>—</w:t>
            </w:r>
          </w:p>
        </w:tc>
      </w:tr>
      <w:tr w14:paraId="186385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0BFCA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2AD3F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ED352F">
            <w:pPr>
              <w:jc w:val="center"/>
            </w:pPr>
            <w:r>
              <w:rPr>
                <w:rFonts w:ascii="宋体" w:hAnsi="宋体" w:eastAsia="宋体"/>
                <w:sz w:val="16"/>
              </w:rPr>
              <w:t>实际完成情况</w:t>
            </w:r>
          </w:p>
        </w:tc>
      </w:tr>
      <w:tr w14:paraId="7D4890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B4B4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E447BE">
            <w:pPr>
              <w:jc w:val="both"/>
            </w:pPr>
            <w:r>
              <w:rPr>
                <w:rFonts w:ascii="宋体" w:hAnsi="宋体" w:eastAsia="宋体"/>
                <w:sz w:val="16"/>
              </w:rPr>
              <w:t>项目计划投资176.8533万元，为了稳定全乡林果，针对我乡林果业发展地缘优势打造一批“高标准果园”，对一些产量低、收益小、老树不挂果的核桃树进行嫁接，计划嫁接改优12008亩，</w:t>
            </w:r>
            <w:r>
              <w:rPr>
                <w:rFonts w:hint="eastAsia" w:ascii="宋体" w:hAnsi="宋体"/>
                <w:sz w:val="16"/>
                <w:lang w:eastAsia="zh-CN"/>
              </w:rPr>
              <w:t>主栽</w:t>
            </w:r>
            <w:r>
              <w:rPr>
                <w:rFonts w:ascii="宋体" w:hAnsi="宋体" w:eastAsia="宋体"/>
                <w:sz w:val="16"/>
              </w:rPr>
              <w:t>品种为温-185授粉品种为新新2号，按照6:1的模式改造，核桃嫁接数量720000株，通过项目的实施目的就是让核桃树真正变成农民增收的“摇钱树”。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8A57C9">
            <w:pPr>
              <w:jc w:val="both"/>
            </w:pPr>
            <w:r>
              <w:rPr>
                <w:rFonts w:hint="eastAsia" w:ascii="宋体" w:hAnsi="宋体"/>
                <w:sz w:val="16"/>
                <w:lang w:eastAsia="zh-CN"/>
              </w:rPr>
              <w:t>截至2024</w:t>
            </w:r>
            <w:r>
              <w:rPr>
                <w:rFonts w:ascii="宋体" w:hAnsi="宋体" w:eastAsia="宋体"/>
                <w:sz w:val="16"/>
              </w:rPr>
              <w:t>年12月31日，项目实际投资总额为176.8533万元，主要用于嫁接核桃720000株，嫁接改优面积12008亩，核桃改优涉及22个行政村。项目实施后有效改善核桃品质，提高核桃产量，改善村民居住环境，提高生活品质，受益村民满意度100%。</w:t>
            </w:r>
          </w:p>
        </w:tc>
      </w:tr>
      <w:tr w14:paraId="006EC4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8F72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6CCE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12B4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0B88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0AA6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BFFC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1E0F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AD87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EF07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9E38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AD7A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FE8F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B72F4">
            <w:pPr>
              <w:jc w:val="center"/>
            </w:pPr>
            <w:r>
              <w:rPr>
                <w:rFonts w:ascii="宋体" w:hAnsi="宋体" w:eastAsia="宋体"/>
                <w:sz w:val="16"/>
              </w:rPr>
              <w:t>偏差原因分析及改进措施</w:t>
            </w:r>
          </w:p>
        </w:tc>
      </w:tr>
      <w:tr w14:paraId="63F0BC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8160B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9BAE1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DBE32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5AA2E">
            <w:pPr>
              <w:jc w:val="center"/>
            </w:pPr>
            <w:r>
              <w:rPr>
                <w:rFonts w:ascii="宋体" w:hAnsi="宋体" w:eastAsia="宋体"/>
                <w:sz w:val="16"/>
              </w:rPr>
              <w:t>核桃嫁接数量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9C240">
            <w:pPr>
              <w:jc w:val="center"/>
            </w:pPr>
            <w:r>
              <w:rPr>
                <w:rFonts w:ascii="宋体" w:hAnsi="宋体" w:eastAsia="宋体"/>
                <w:sz w:val="16"/>
              </w:rPr>
              <w:t>=720000株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5E6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736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69B7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A7F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750E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56AD0">
            <w:pPr>
              <w:jc w:val="center"/>
            </w:pPr>
            <w:r>
              <w:rPr>
                <w:rFonts w:ascii="宋体" w:hAnsi="宋体" w:eastAsia="宋体"/>
                <w:sz w:val="16"/>
              </w:rPr>
              <w:t>=720000株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CF45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DFFF1">
            <w:pPr>
              <w:jc w:val="center"/>
            </w:pPr>
          </w:p>
        </w:tc>
      </w:tr>
      <w:tr w14:paraId="3523F2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E09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F3E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4596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95DE4">
            <w:pPr>
              <w:jc w:val="center"/>
            </w:pPr>
            <w:r>
              <w:rPr>
                <w:rFonts w:ascii="宋体" w:hAnsi="宋体" w:eastAsia="宋体"/>
                <w:sz w:val="16"/>
              </w:rPr>
              <w:t>嫁接改优面积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5CAC6">
            <w:pPr>
              <w:jc w:val="center"/>
            </w:pPr>
            <w:r>
              <w:rPr>
                <w:rFonts w:ascii="宋体" w:hAnsi="宋体" w:eastAsia="宋体"/>
                <w:sz w:val="16"/>
              </w:rPr>
              <w:t>=12008亩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402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3E8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B29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275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081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E4402">
            <w:pPr>
              <w:jc w:val="center"/>
            </w:pPr>
            <w:r>
              <w:rPr>
                <w:rFonts w:ascii="宋体" w:hAnsi="宋体" w:eastAsia="宋体"/>
                <w:sz w:val="16"/>
              </w:rPr>
              <w:t>=12008亩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164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5CB87">
            <w:pPr>
              <w:jc w:val="center"/>
            </w:pPr>
          </w:p>
        </w:tc>
      </w:tr>
      <w:tr w14:paraId="529644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A27D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01B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A15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B32C8">
            <w:pPr>
              <w:jc w:val="center"/>
            </w:pPr>
            <w:r>
              <w:rPr>
                <w:rFonts w:ascii="宋体" w:hAnsi="宋体" w:eastAsia="宋体"/>
                <w:sz w:val="16"/>
              </w:rPr>
              <w:t>核桃改优涉及村个数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125BA">
            <w:pPr>
              <w:jc w:val="center"/>
            </w:pPr>
            <w:r>
              <w:rPr>
                <w:rFonts w:ascii="宋体" w:hAnsi="宋体" w:eastAsia="宋体"/>
                <w:sz w:val="16"/>
              </w:rPr>
              <w:t>=22个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10D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A13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1FCA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24D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1BA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A99E3">
            <w:pPr>
              <w:jc w:val="center"/>
            </w:pPr>
            <w:r>
              <w:rPr>
                <w:rFonts w:ascii="宋体" w:hAnsi="宋体" w:eastAsia="宋体"/>
                <w:sz w:val="16"/>
              </w:rPr>
              <w:t>=22个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6AE2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DFDAE">
            <w:pPr>
              <w:jc w:val="center"/>
            </w:pPr>
          </w:p>
        </w:tc>
      </w:tr>
      <w:tr w14:paraId="6D0B82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8436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603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3019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B0ABC">
            <w:pPr>
              <w:jc w:val="center"/>
            </w:pPr>
            <w:r>
              <w:rPr>
                <w:rFonts w:ascii="宋体" w:hAnsi="宋体" w:eastAsia="宋体"/>
                <w:sz w:val="16"/>
              </w:rPr>
              <w:t>项目资金发放合规率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ACF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CB7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7CF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F6B1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902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05C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507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F985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E4B8B">
            <w:pPr>
              <w:jc w:val="center"/>
            </w:pPr>
          </w:p>
        </w:tc>
      </w:tr>
      <w:tr w14:paraId="4874A9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1A7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4F04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B8503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2D5C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46F87">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439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DA4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16C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4C52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229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EEBB0">
            <w:pPr>
              <w:jc w:val="center"/>
            </w:pPr>
            <w:r>
              <w:rPr>
                <w:rFonts w:ascii="宋体" w:hAnsi="宋体" w:eastAsia="宋体"/>
                <w:sz w:val="16"/>
              </w:rPr>
              <w:t>=2024年9月29日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56C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A0BEC">
            <w:pPr>
              <w:jc w:val="center"/>
            </w:pPr>
          </w:p>
        </w:tc>
      </w:tr>
      <w:tr w14:paraId="49E822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F4D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61B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51F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2BFE4">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BB0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4FD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F2B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746D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FCF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F40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45E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7474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817E7">
            <w:pPr>
              <w:jc w:val="center"/>
            </w:pPr>
          </w:p>
        </w:tc>
      </w:tr>
      <w:tr w14:paraId="2BCE1C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A7A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2E20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C0FB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D5505">
            <w:pPr>
              <w:jc w:val="center"/>
            </w:pPr>
            <w:r>
              <w:rPr>
                <w:rFonts w:ascii="宋体" w:hAnsi="宋体" w:eastAsia="宋体"/>
                <w:sz w:val="16"/>
              </w:rPr>
              <w:t>嫁接改优单位成本费用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47895">
            <w:pPr>
              <w:jc w:val="center"/>
            </w:pPr>
            <w:r>
              <w:rPr>
                <w:rFonts w:ascii="宋体" w:hAnsi="宋体" w:eastAsia="宋体"/>
                <w:sz w:val="16"/>
              </w:rPr>
              <w:t>&lt;=2.4562元/株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E509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21A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3A66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5EC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75882">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92FA3">
            <w:pPr>
              <w:jc w:val="center"/>
            </w:pPr>
            <w:r>
              <w:rPr>
                <w:rFonts w:ascii="宋体" w:hAnsi="宋体" w:eastAsia="宋体"/>
                <w:sz w:val="16"/>
              </w:rPr>
              <w:t>=2.4562元/株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7006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95EB3">
            <w:pPr>
              <w:jc w:val="center"/>
            </w:pPr>
          </w:p>
        </w:tc>
      </w:tr>
      <w:tr w14:paraId="123A94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5048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036CC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0B33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10C9F">
            <w:pPr>
              <w:jc w:val="center"/>
            </w:pPr>
            <w:r>
              <w:rPr>
                <w:rFonts w:ascii="宋体" w:hAnsi="宋体" w:eastAsia="宋体"/>
                <w:sz w:val="16"/>
              </w:rPr>
              <w:t>改善核桃品质，提高核桃产量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85842">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BE2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6E1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023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AA52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1E1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DD1CA">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302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8FB56">
            <w:pPr>
              <w:jc w:val="center"/>
            </w:pPr>
          </w:p>
        </w:tc>
      </w:tr>
      <w:tr w14:paraId="569339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C50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4D0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E6A6D">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CB6C7">
            <w:pPr>
              <w:jc w:val="center"/>
            </w:pPr>
            <w:r>
              <w:rPr>
                <w:rFonts w:ascii="宋体" w:hAnsi="宋体" w:eastAsia="宋体"/>
                <w:sz w:val="16"/>
              </w:rPr>
              <w:t>改善村民居住环境，提高生活品质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BB3FC">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560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DCC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8AD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0308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6CF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9CB8B">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F35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CF08A">
            <w:pPr>
              <w:jc w:val="center"/>
            </w:pPr>
          </w:p>
        </w:tc>
      </w:tr>
      <w:tr w14:paraId="71FE3C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2A9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38BD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4CA0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FACAA">
            <w:pPr>
              <w:jc w:val="center"/>
            </w:pPr>
            <w:r>
              <w:rPr>
                <w:rFonts w:ascii="宋体" w:hAnsi="宋体" w:eastAsia="宋体"/>
                <w:sz w:val="16"/>
              </w:rPr>
              <w:t>受益村民满意度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F37E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5B5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214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946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94BA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149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2A6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9F6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EDFBD">
            <w:pPr>
              <w:jc w:val="center"/>
            </w:pPr>
            <w:r>
              <w:rPr>
                <w:rFonts w:ascii="宋体" w:hAnsi="宋体" w:eastAsia="宋体"/>
                <w:sz w:val="16"/>
              </w:rPr>
              <w:t>原因分析：该项目指标受益村民满意度≥95%，因项目实际问卷调查满意度为100%，故指标偏差5.26%；改进措施：根据项目实施情况，合理设置预期指标值，使完成值和预期指标值一致。</w:t>
            </w:r>
          </w:p>
        </w:tc>
      </w:tr>
      <w:tr w14:paraId="1516086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D81AE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464A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3A664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DFD0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85092FB"/>
        </w:tc>
      </w:tr>
    </w:tbl>
    <w:p w14:paraId="476E3DED">
      <w:r>
        <w:br w:type="page"/>
      </w:r>
    </w:p>
    <w:p w14:paraId="26132737">
      <w:pPr>
        <w:spacing w:line="640" w:lineRule="exact"/>
        <w:ind w:firstLine="640"/>
        <w:jc w:val="both"/>
        <w:outlineLvl w:val="2"/>
      </w:pPr>
      <w:r>
        <w:rPr>
          <w:rFonts w:ascii="黑体" w:hAnsi="黑体" w:eastAsia="黑体"/>
          <w:sz w:val="32"/>
        </w:rPr>
        <w:t>十二、其他需说明的事项</w:t>
      </w:r>
    </w:p>
    <w:p w14:paraId="17843070">
      <w:pPr>
        <w:spacing w:line="580" w:lineRule="exact"/>
        <w:ind w:firstLine="640"/>
        <w:jc w:val="both"/>
      </w:pPr>
      <w:r>
        <w:rPr>
          <w:rFonts w:ascii="仿宋_GB2312" w:hAnsi="仿宋_GB2312" w:eastAsia="仿宋_GB2312"/>
          <w:b w:val="0"/>
          <w:sz w:val="32"/>
        </w:rPr>
        <w:t>本单位无其他需说明的事项。</w:t>
      </w:r>
    </w:p>
    <w:p w14:paraId="53E91A60">
      <w:r>
        <w:br w:type="page"/>
      </w:r>
    </w:p>
    <w:p w14:paraId="63522D93">
      <w:pPr>
        <w:spacing w:line="240" w:lineRule="auto"/>
        <w:jc w:val="center"/>
        <w:outlineLvl w:val="1"/>
      </w:pPr>
      <w:r>
        <w:rPr>
          <w:rFonts w:ascii="黑体" w:hAnsi="黑体" w:eastAsia="黑体"/>
          <w:sz w:val="32"/>
        </w:rPr>
        <w:t>第三部分 专业名词解释</w:t>
      </w:r>
    </w:p>
    <w:p w14:paraId="0769DF6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7592C3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8FF80A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1C43F9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DC0B9F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A8A77B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184C92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E6DA71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E9F3B3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220192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595409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F51C70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68D434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C44B7A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E53A02C">
      <w:r>
        <w:br w:type="page"/>
      </w:r>
    </w:p>
    <w:p w14:paraId="6ADCFF0F">
      <w:pPr>
        <w:spacing w:line="240" w:lineRule="auto"/>
        <w:jc w:val="center"/>
        <w:outlineLvl w:val="1"/>
      </w:pPr>
      <w:r>
        <w:rPr>
          <w:rFonts w:ascii="黑体" w:hAnsi="黑体" w:eastAsia="黑体"/>
          <w:sz w:val="32"/>
        </w:rPr>
        <w:t>第四部分 部门决算报表（见附表）</w:t>
      </w:r>
    </w:p>
    <w:p w14:paraId="4D83E400">
      <w:pPr>
        <w:spacing w:line="240" w:lineRule="auto"/>
        <w:ind w:firstLine="640"/>
        <w:jc w:val="both"/>
      </w:pPr>
      <w:r>
        <w:rPr>
          <w:rFonts w:ascii="仿宋_GB2312" w:hAnsi="仿宋_GB2312" w:eastAsia="仿宋_GB2312"/>
          <w:b w:val="0"/>
          <w:sz w:val="32"/>
        </w:rPr>
        <w:t>一、《收入支出决算总表》</w:t>
      </w:r>
    </w:p>
    <w:p w14:paraId="525BB231">
      <w:pPr>
        <w:spacing w:line="240" w:lineRule="auto"/>
        <w:ind w:firstLine="640"/>
        <w:jc w:val="both"/>
      </w:pPr>
      <w:r>
        <w:rPr>
          <w:rFonts w:ascii="仿宋_GB2312" w:hAnsi="仿宋_GB2312" w:eastAsia="仿宋_GB2312"/>
          <w:b w:val="0"/>
          <w:sz w:val="32"/>
        </w:rPr>
        <w:t>二、《收入决算表》</w:t>
      </w:r>
    </w:p>
    <w:p w14:paraId="30857EBF">
      <w:pPr>
        <w:spacing w:line="240" w:lineRule="auto"/>
        <w:ind w:firstLine="640"/>
        <w:jc w:val="both"/>
      </w:pPr>
      <w:r>
        <w:rPr>
          <w:rFonts w:ascii="仿宋_GB2312" w:hAnsi="仿宋_GB2312" w:eastAsia="仿宋_GB2312"/>
          <w:b w:val="0"/>
          <w:sz w:val="32"/>
        </w:rPr>
        <w:t>三、《支出决算表》</w:t>
      </w:r>
    </w:p>
    <w:p w14:paraId="385AFC5F">
      <w:pPr>
        <w:spacing w:line="240" w:lineRule="auto"/>
        <w:ind w:firstLine="640"/>
        <w:jc w:val="both"/>
      </w:pPr>
      <w:r>
        <w:rPr>
          <w:rFonts w:ascii="仿宋_GB2312" w:hAnsi="仿宋_GB2312" w:eastAsia="仿宋_GB2312"/>
          <w:b w:val="0"/>
          <w:sz w:val="32"/>
        </w:rPr>
        <w:t>四、《财政拨款收入支出决算总表》</w:t>
      </w:r>
    </w:p>
    <w:p w14:paraId="33C85D25">
      <w:pPr>
        <w:spacing w:line="240" w:lineRule="auto"/>
        <w:ind w:firstLine="640"/>
        <w:jc w:val="both"/>
      </w:pPr>
      <w:r>
        <w:rPr>
          <w:rFonts w:ascii="仿宋_GB2312" w:hAnsi="仿宋_GB2312" w:eastAsia="仿宋_GB2312"/>
          <w:b w:val="0"/>
          <w:sz w:val="32"/>
        </w:rPr>
        <w:t>五、《一般公共预算财政拨款支出决算表》</w:t>
      </w:r>
    </w:p>
    <w:p w14:paraId="237A4661">
      <w:pPr>
        <w:spacing w:line="240" w:lineRule="auto"/>
        <w:ind w:firstLine="640"/>
        <w:jc w:val="both"/>
      </w:pPr>
      <w:r>
        <w:rPr>
          <w:rFonts w:ascii="仿宋_GB2312" w:hAnsi="仿宋_GB2312" w:eastAsia="仿宋_GB2312"/>
          <w:b w:val="0"/>
          <w:sz w:val="32"/>
        </w:rPr>
        <w:t>六、《一般公共预算财政拨款基本支出决算表》</w:t>
      </w:r>
    </w:p>
    <w:p w14:paraId="6C6890D1">
      <w:pPr>
        <w:spacing w:line="240" w:lineRule="auto"/>
        <w:ind w:firstLine="640"/>
        <w:jc w:val="both"/>
      </w:pPr>
      <w:r>
        <w:rPr>
          <w:rFonts w:ascii="仿宋_GB2312" w:hAnsi="仿宋_GB2312" w:eastAsia="仿宋_GB2312"/>
          <w:b w:val="0"/>
          <w:sz w:val="32"/>
        </w:rPr>
        <w:t>七、《政府性基金预算财政拨款收入支出决算表》</w:t>
      </w:r>
    </w:p>
    <w:p w14:paraId="2678DCF4">
      <w:pPr>
        <w:spacing w:line="240" w:lineRule="auto"/>
        <w:ind w:firstLine="640"/>
        <w:jc w:val="both"/>
      </w:pPr>
      <w:r>
        <w:rPr>
          <w:rFonts w:ascii="仿宋_GB2312" w:hAnsi="仿宋_GB2312" w:eastAsia="仿宋_GB2312"/>
          <w:b w:val="0"/>
          <w:sz w:val="32"/>
        </w:rPr>
        <w:t>八、《国有资本经营预算财政拨款收入支出决算表》</w:t>
      </w:r>
    </w:p>
    <w:p w14:paraId="753B8E97">
      <w:pPr>
        <w:spacing w:line="240" w:lineRule="auto"/>
        <w:ind w:firstLine="640"/>
        <w:jc w:val="both"/>
      </w:pPr>
      <w:r>
        <w:rPr>
          <w:rFonts w:ascii="仿宋_GB2312" w:hAnsi="仿宋_GB2312" w:eastAsia="仿宋_GB2312"/>
          <w:b w:val="0"/>
          <w:sz w:val="32"/>
        </w:rPr>
        <w:t>九、《财政拨款“三公”经费支出决算表》</w:t>
      </w:r>
    </w:p>
    <w:p w14:paraId="26B90449">
      <w:pPr>
        <w:spacing w:line="240" w:lineRule="auto"/>
        <w:ind w:firstLine="640"/>
        <w:jc w:val="both"/>
      </w:pPr>
    </w:p>
    <w:p w14:paraId="7E1C1D28">
      <w:pPr>
        <w:spacing w:line="240" w:lineRule="auto"/>
        <w:ind w:firstLine="640"/>
        <w:jc w:val="both"/>
      </w:pPr>
    </w:p>
    <w:p w14:paraId="02A07645">
      <w:pPr>
        <w:spacing w:line="240" w:lineRule="auto"/>
        <w:ind w:firstLine="640"/>
        <w:jc w:val="both"/>
      </w:pPr>
    </w:p>
    <w:p w14:paraId="73A04AC3">
      <w:pPr>
        <w:spacing w:line="240" w:lineRule="auto"/>
        <w:ind w:firstLine="640"/>
        <w:jc w:val="both"/>
      </w:pPr>
    </w:p>
    <w:p w14:paraId="51FE0F6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F8A427D-A1ED-4A15-BC4F-D08799F1B6E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AA4C31CD-C38F-4B19-B09A-A1A5E3FC7734}"/>
  </w:font>
  <w:font w:name="仿宋_GB2312">
    <w:panose1 w:val="02010609030101010101"/>
    <w:charset w:val="86"/>
    <w:family w:val="modern"/>
    <w:pitch w:val="default"/>
    <w:sig w:usb0="00000001" w:usb1="080E0000" w:usb2="00000000" w:usb3="00000000" w:csb0="00040000" w:csb1="00000000"/>
    <w:embedRegular r:id="rId3" w:fontKey="{E62499AC-4CD3-4923-AEF0-D0311B07424C}"/>
  </w:font>
  <w:font w:name="楷体_GB2312">
    <w:panose1 w:val="02010609030101010101"/>
    <w:charset w:val="86"/>
    <w:family w:val="auto"/>
    <w:pitch w:val="default"/>
    <w:sig w:usb0="00000001" w:usb1="080E0000" w:usb2="00000000" w:usb3="00000000" w:csb0="00040000" w:csb1="00000000"/>
    <w:embedRegular r:id="rId4" w:fontKey="{69B5DD90-2451-4A78-A7EA-62D93CFC8F6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75171BA"/>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93876E5"/>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EEF7C5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55</Pages>
  <Words>7761</Words>
  <Characters>9098</Characters>
  <Lines>0</Lines>
  <Paragraphs>0</Paragraphs>
  <TotalTime>23</TotalTime>
  <ScaleCrop>false</ScaleCrop>
  <LinksUpToDate>false</LinksUpToDate>
  <CharactersWithSpaces>9106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2025-09-26T08:31:16Z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