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疏勒县巴合齐乡人民政府2024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58584D">
      <w:r>
        <w:br w:type="page"/>
      </w:r>
    </w:p>
    <w:p w14:paraId="70520879">
      <w:pPr>
        <w:spacing w:line="640" w:lineRule="exact"/>
        <w:jc w:val="center"/>
        <w:outlineLvl w:val="1"/>
      </w:pPr>
      <w:r>
        <w:rPr>
          <w:rFonts w:ascii="黑体" w:hAnsi="黑体" w:eastAsia="黑体"/>
          <w:sz w:val="32"/>
        </w:rPr>
        <w:t>第一部分 单位概况</w:t>
      </w:r>
    </w:p>
    <w:p w14:paraId="3B64432B">
      <w:pPr>
        <w:spacing w:line="640" w:lineRule="exact"/>
        <w:ind w:firstLine="640"/>
        <w:jc w:val="both"/>
        <w:outlineLvl w:val="2"/>
      </w:pPr>
      <w:r>
        <w:rPr>
          <w:rFonts w:ascii="黑体" w:hAnsi="黑体" w:eastAsia="黑体"/>
          <w:sz w:val="32"/>
        </w:rPr>
        <w:t>一、主要职能</w:t>
      </w:r>
    </w:p>
    <w:p w14:paraId="61168456">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贯彻执行党的路线、方针、政策和国家的法律法规，落实上级党委、政府决策部署和县委、县政府相关工作安排，执行本级人民代表大会决议,在履行职责过程中坚持和加强党的集中统一领导。</w:t>
      </w:r>
    </w:p>
    <w:p w14:paraId="7C1E3C8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根据自治区党委、地委相关决策部署和县委相关工作安排，讨论和决定本行政区域内经济建设、政治建设、文化建设、社会建设、生态文明建设和党的建设以及乡村振兴中的重大问题。</w:t>
      </w:r>
    </w:p>
    <w:p w14:paraId="007C79D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负责做好人大、政协等事务工作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14:paraId="12C1189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负责社会稳定、综合治理、扫黑除恶等工作。落实社会矛盾纠纷排查调处机制，实施社会综合治理，依法严厉打击黑恶势力、宗族恶势力、</w:t>
      </w:r>
      <w:r>
        <w:rPr>
          <w:rFonts w:hint="eastAsia" w:ascii="仿宋_GB2312" w:hAnsi="仿宋_GB2312" w:eastAsia="仿宋_GB2312"/>
          <w:sz w:val="32"/>
          <w:lang w:val="en-US" w:eastAsia="zh-CN"/>
        </w:rPr>
        <w:t>ZJ</w:t>
      </w:r>
      <w:r>
        <w:rPr>
          <w:rFonts w:ascii="仿宋_GB2312" w:hAnsi="仿宋_GB2312" w:eastAsia="仿宋_GB2312"/>
          <w:sz w:val="32"/>
        </w:rPr>
        <w:t>极端势力、“村霸”，严防其侵蚀基层干部和基层政权。</w:t>
      </w:r>
    </w:p>
    <w:p w14:paraId="0394BE4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根据相关规定，负责组织实施与群众生活密切相关的各项公共服务，负责做好民政、社会保障、教育体育、科技文化、卫生健康、劳动就业、</w:t>
      </w:r>
      <w:r>
        <w:rPr>
          <w:rFonts w:hint="eastAsia" w:ascii="仿宋_GB2312" w:hAnsi="仿宋_GB2312" w:eastAsia="仿宋_GB2312"/>
          <w:sz w:val="32"/>
          <w:lang w:val="en-US" w:eastAsia="zh-CN"/>
        </w:rPr>
        <w:t>JHSY</w:t>
      </w:r>
      <w:r>
        <w:rPr>
          <w:rFonts w:ascii="仿宋_GB2312" w:hAnsi="仿宋_GB2312" w:eastAsia="仿宋_GB2312"/>
          <w:sz w:val="32"/>
        </w:rPr>
        <w:t>、拥军优属、助残、统计等方面工作。以“最多跑一次”改革为引导，强化基层便民服务。</w:t>
      </w:r>
    </w:p>
    <w:p w14:paraId="0F28704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w:t>
      </w:r>
      <w:r>
        <w:rPr>
          <w:rFonts w:hint="eastAsia" w:ascii="仿宋_GB2312" w:hAnsi="仿宋_GB2312" w:eastAsia="仿宋_GB2312"/>
          <w:sz w:val="32"/>
          <w:lang w:val="en-US" w:eastAsia="zh-CN"/>
        </w:rPr>
        <w:t>ZJ</w:t>
      </w:r>
      <w:r>
        <w:rPr>
          <w:rFonts w:ascii="仿宋_GB2312" w:hAnsi="仿宋_GB2312" w:eastAsia="仿宋_GB2312"/>
          <w:sz w:val="32"/>
        </w:rPr>
        <w:t>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14:paraId="2F2A6764">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负责巩固拓展脱贫攻坚成果、产业规划发展、美丽乡村建设、生态环境、人居环境整治等工作。</w:t>
      </w:r>
    </w:p>
    <w:p w14:paraId="406CEABF">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eastAsia="zh-CN"/>
        </w:rPr>
        <w:t>防疫</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14:paraId="2C367312">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7A934BF4">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负责综合协调辖区内镇容镇貌、环境卫生、小区物业、公共设施管理等工作。</w:t>
      </w:r>
    </w:p>
    <w:p w14:paraId="7CFF6D39">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负责村(社区)管理和指导工作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14:paraId="0EC5CFED">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根据自治区党委、政府赋予乡镇行政权力事项清单，与县相关执法队伍和部门协调配合行使行政许可、行政确认、行政处罚等相关权力。</w:t>
      </w:r>
    </w:p>
    <w:p w14:paraId="2E63556E">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负责本辖区社会领域、生态环境领域、党的建设领域等重大风险的防范、排查、化解，保密机要、意识形态、信访等工作。</w:t>
      </w:r>
    </w:p>
    <w:p w14:paraId="1695C54C">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完成县委、县政府交办的其他工作。</w:t>
      </w:r>
    </w:p>
    <w:p w14:paraId="6DA0188B">
      <w:pPr>
        <w:spacing w:line="640" w:lineRule="exact"/>
        <w:ind w:firstLine="640"/>
        <w:jc w:val="both"/>
        <w:outlineLvl w:val="2"/>
      </w:pPr>
      <w:r>
        <w:rPr>
          <w:rFonts w:ascii="黑体" w:hAnsi="黑体" w:eastAsia="黑体"/>
          <w:sz w:val="32"/>
        </w:rPr>
        <w:t>二、机构设置及人员情况</w:t>
      </w:r>
    </w:p>
    <w:p w14:paraId="13BCAEAA">
      <w:pPr>
        <w:spacing w:line="580" w:lineRule="exact"/>
        <w:ind w:firstLine="640"/>
        <w:jc w:val="both"/>
      </w:pPr>
      <w:r>
        <w:rPr>
          <w:rFonts w:ascii="仿宋_GB2312" w:hAnsi="仿宋_GB2312" w:eastAsia="仿宋_GB2312"/>
          <w:sz w:val="32"/>
        </w:rPr>
        <w:t>疏勒县巴合齐乡人民政府2024年度，实有人数133人，其中：在职人员114人，减少3人；离休人员0人，增加0人；退休人员19人,增加1人。</w:t>
      </w:r>
    </w:p>
    <w:p w14:paraId="786F7D1C">
      <w:pPr>
        <w:spacing w:line="580" w:lineRule="exact"/>
        <w:ind w:firstLine="640"/>
        <w:jc w:val="both"/>
      </w:pPr>
      <w:r>
        <w:rPr>
          <w:rFonts w:ascii="仿宋_GB2312" w:hAnsi="仿宋_GB2312" w:eastAsia="仿宋_GB2312"/>
          <w:sz w:val="32"/>
        </w:rPr>
        <w:t>疏勒县巴合齐乡人民政府无下属预算单位，下设10个科室，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2208C148">
      <w:r>
        <w:br w:type="page"/>
      </w:r>
    </w:p>
    <w:p w14:paraId="268A537B">
      <w:pPr>
        <w:spacing w:line="240" w:lineRule="auto"/>
        <w:jc w:val="center"/>
        <w:outlineLvl w:val="1"/>
      </w:pPr>
      <w:r>
        <w:rPr>
          <w:rFonts w:ascii="黑体" w:hAnsi="黑体" w:eastAsia="黑体"/>
          <w:sz w:val="32"/>
        </w:rPr>
        <w:t>第二部分 部门决算情况说明</w:t>
      </w:r>
    </w:p>
    <w:p w14:paraId="2BFDEE37">
      <w:pPr>
        <w:spacing w:line="640" w:lineRule="exact"/>
        <w:ind w:firstLine="640"/>
        <w:jc w:val="both"/>
        <w:outlineLvl w:val="2"/>
      </w:pPr>
      <w:r>
        <w:rPr>
          <w:rFonts w:ascii="黑体" w:hAnsi="黑体" w:eastAsia="黑体"/>
          <w:sz w:val="32"/>
        </w:rPr>
        <w:t>一、收入支出决算总体情况说明</w:t>
      </w:r>
    </w:p>
    <w:p w14:paraId="1BB49D99">
      <w:pPr>
        <w:spacing w:line="580" w:lineRule="exact"/>
        <w:ind w:firstLine="640"/>
        <w:jc w:val="both"/>
      </w:pPr>
      <w:r>
        <w:rPr>
          <w:rFonts w:ascii="仿宋_GB2312" w:hAnsi="仿宋_GB2312" w:eastAsia="仿宋_GB2312"/>
          <w:b/>
          <w:sz w:val="32"/>
        </w:rPr>
        <w:t>2024年度收入总计3,473.79万元，</w:t>
      </w:r>
      <w:r>
        <w:rPr>
          <w:rFonts w:ascii="仿宋_GB2312" w:hAnsi="仿宋_GB2312" w:eastAsia="仿宋_GB2312"/>
          <w:b w:val="0"/>
          <w:sz w:val="32"/>
        </w:rPr>
        <w:t>其中：本年收入合计3,433.00万元，使用非财政拨款结余（含专用结余）0.00万元，年初结转和结余40.79万元。</w:t>
      </w:r>
    </w:p>
    <w:p w14:paraId="6562EB7F">
      <w:pPr>
        <w:spacing w:line="580" w:lineRule="exact"/>
        <w:ind w:firstLine="640"/>
        <w:jc w:val="both"/>
      </w:pPr>
      <w:r>
        <w:rPr>
          <w:rFonts w:ascii="仿宋_GB2312" w:hAnsi="仿宋_GB2312" w:eastAsia="仿宋_GB2312"/>
          <w:b/>
          <w:sz w:val="32"/>
        </w:rPr>
        <w:t>2024年度支出总计3,473.79万元，</w:t>
      </w:r>
      <w:r>
        <w:rPr>
          <w:rFonts w:ascii="仿宋_GB2312" w:hAnsi="仿宋_GB2312" w:eastAsia="仿宋_GB2312"/>
          <w:b w:val="0"/>
          <w:sz w:val="32"/>
        </w:rPr>
        <w:t>其中：本年支出合计3,467.95万元，结余分配0.00万元，年末结转和结余5.84万元。</w:t>
      </w:r>
    </w:p>
    <w:p w14:paraId="45D2D9B6">
      <w:pPr>
        <w:spacing w:line="580" w:lineRule="exact"/>
        <w:ind w:firstLine="640"/>
        <w:jc w:val="both"/>
      </w:pPr>
      <w:r>
        <w:rPr>
          <w:rFonts w:ascii="仿宋_GB2312" w:hAnsi="仿宋_GB2312" w:eastAsia="仿宋_GB2312"/>
          <w:b w:val="0"/>
          <w:sz w:val="32"/>
        </w:rPr>
        <w:t>收入支出总体与上年相比，减少1,450.52万元，下降29.46%，主要原因是：本年减少疏勒县2023年农村基础设施提升项目、疏勒县2023年垃圾处理站建设项目、疏勒县2023年牲畜养殖（羊）项目等，导致经费较上年减少。</w:t>
      </w:r>
    </w:p>
    <w:p w14:paraId="750FAF3E">
      <w:pPr>
        <w:spacing w:line="640" w:lineRule="exact"/>
        <w:ind w:firstLine="640"/>
        <w:jc w:val="both"/>
        <w:outlineLvl w:val="2"/>
      </w:pPr>
      <w:r>
        <w:rPr>
          <w:rFonts w:ascii="黑体" w:hAnsi="黑体" w:eastAsia="黑体"/>
          <w:sz w:val="32"/>
        </w:rPr>
        <w:t>二、收入决算情况说明</w:t>
      </w:r>
    </w:p>
    <w:p w14:paraId="3748C384">
      <w:pPr>
        <w:spacing w:line="580" w:lineRule="exact"/>
        <w:ind w:firstLine="640"/>
        <w:jc w:val="both"/>
      </w:pPr>
      <w:r>
        <w:rPr>
          <w:rFonts w:ascii="仿宋_GB2312" w:hAnsi="仿宋_GB2312" w:eastAsia="仿宋_GB2312"/>
          <w:b/>
          <w:sz w:val="32"/>
        </w:rPr>
        <w:t>本年收入3,433.00万元，</w:t>
      </w:r>
      <w:r>
        <w:rPr>
          <w:rFonts w:ascii="仿宋_GB2312" w:hAnsi="仿宋_GB2312" w:eastAsia="仿宋_GB2312"/>
          <w:b w:val="0"/>
          <w:sz w:val="32"/>
        </w:rPr>
        <w:t>其中：财政拨款收入2,941.82万元，占85.69%；上级补助收入0.00万元，占0.00%；事业收入0.00万元，占0.00%；经营收入0.00万元，占0.00%；附属单位上缴收入0.00万元，占0.00%；其他收入491.18万元，占14.31%。</w:t>
      </w:r>
    </w:p>
    <w:p w14:paraId="0A54680A">
      <w:pPr>
        <w:spacing w:line="640" w:lineRule="exact"/>
        <w:ind w:firstLine="640"/>
        <w:jc w:val="both"/>
        <w:outlineLvl w:val="2"/>
      </w:pPr>
      <w:r>
        <w:rPr>
          <w:rFonts w:ascii="黑体" w:hAnsi="黑体" w:eastAsia="黑体"/>
          <w:sz w:val="32"/>
        </w:rPr>
        <w:t>三、支出决算情况说明</w:t>
      </w:r>
    </w:p>
    <w:p w14:paraId="0FC70675">
      <w:pPr>
        <w:spacing w:line="580" w:lineRule="exact"/>
        <w:ind w:firstLine="640"/>
        <w:jc w:val="both"/>
      </w:pPr>
      <w:r>
        <w:rPr>
          <w:rFonts w:ascii="仿宋_GB2312" w:hAnsi="仿宋_GB2312" w:eastAsia="仿宋_GB2312"/>
          <w:b/>
          <w:sz w:val="32"/>
        </w:rPr>
        <w:t>本年支出3,467.95万元，</w:t>
      </w:r>
      <w:r>
        <w:rPr>
          <w:rFonts w:ascii="仿宋_GB2312" w:hAnsi="仿宋_GB2312" w:eastAsia="仿宋_GB2312"/>
          <w:b w:val="0"/>
          <w:sz w:val="32"/>
        </w:rPr>
        <w:t>其中：基本支出2,010.09万元，占57.96%；项目支出1,457.86万元，占42.04%；上缴上级支出0.00万元，占0.00%；经营支出0.00万元，占0.00%；对附属单位补助支出0.00万元，占0.00%。</w:t>
      </w:r>
    </w:p>
    <w:p w14:paraId="49D0ECD4">
      <w:pPr>
        <w:spacing w:line="640" w:lineRule="exact"/>
        <w:ind w:firstLine="640"/>
        <w:jc w:val="both"/>
        <w:outlineLvl w:val="2"/>
      </w:pPr>
      <w:r>
        <w:rPr>
          <w:rFonts w:ascii="黑体" w:hAnsi="黑体" w:eastAsia="黑体"/>
          <w:sz w:val="32"/>
        </w:rPr>
        <w:t>四、财政拨款收入支出决算总体情况说明</w:t>
      </w:r>
    </w:p>
    <w:p w14:paraId="416E23DF">
      <w:pPr>
        <w:spacing w:line="580" w:lineRule="exact"/>
        <w:ind w:firstLine="640"/>
        <w:jc w:val="both"/>
      </w:pPr>
      <w:r>
        <w:rPr>
          <w:rFonts w:ascii="仿宋_GB2312" w:hAnsi="仿宋_GB2312" w:eastAsia="仿宋_GB2312"/>
          <w:b/>
          <w:sz w:val="32"/>
        </w:rPr>
        <w:t>2024年度财政拨款收入总计2,941.82万元，</w:t>
      </w:r>
      <w:r>
        <w:rPr>
          <w:rFonts w:ascii="仿宋_GB2312" w:hAnsi="仿宋_GB2312" w:eastAsia="仿宋_GB2312"/>
          <w:b w:val="0"/>
          <w:sz w:val="32"/>
        </w:rPr>
        <w:t>其中：年初财政拨款结转和结余0.00万元，本年财政拨款收入2,941.82万元。</w:t>
      </w:r>
      <w:r>
        <w:rPr>
          <w:rFonts w:ascii="仿宋_GB2312" w:hAnsi="仿宋_GB2312" w:eastAsia="仿宋_GB2312"/>
          <w:b/>
          <w:sz w:val="32"/>
        </w:rPr>
        <w:t>财政拨款支出总计2,941.82万元，</w:t>
      </w:r>
      <w:r>
        <w:rPr>
          <w:rFonts w:ascii="仿宋_GB2312" w:hAnsi="仿宋_GB2312" w:eastAsia="仿宋_GB2312"/>
          <w:b w:val="0"/>
          <w:sz w:val="32"/>
        </w:rPr>
        <w:t>其中：年末财政拨款结转和结余0.00万元，本年财政拨款支出2,941.82万元。</w:t>
      </w:r>
    </w:p>
    <w:p w14:paraId="146C42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减少1,282.70万元，下降30.36%，主要原因是：本年减少疏勒县2023年农村基础设施提升项目、疏勒县2023年垃圾处理站建设项目、疏勒县2023年牲畜养殖（羊）项目等，导致经费较上年减少。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年初预算数4,021.70万元，决算数2,941.82万元，预决算差异率-26.85%，主要原因是：年中调减历年征迁补偿款项目、示范村建设项目、特色小镇建设项目等项目资金，导致预决算存在差异。</w:t>
      </w:r>
    </w:p>
    <w:p w14:paraId="1865ED41">
      <w:pPr>
        <w:spacing w:line="640" w:lineRule="exact"/>
        <w:ind w:firstLine="640"/>
        <w:jc w:val="both"/>
        <w:outlineLvl w:val="2"/>
      </w:pPr>
      <w:r>
        <w:rPr>
          <w:rFonts w:ascii="黑体" w:hAnsi="黑体" w:eastAsia="黑体"/>
          <w:sz w:val="32"/>
        </w:rPr>
        <w:t>五、一般公共预算财政拨款支出决算情况说明</w:t>
      </w:r>
    </w:p>
    <w:p w14:paraId="406A0A24">
      <w:pPr>
        <w:spacing w:line="640" w:lineRule="exact"/>
        <w:ind w:firstLine="640"/>
        <w:jc w:val="both"/>
        <w:outlineLvl w:val="3"/>
      </w:pPr>
      <w:r>
        <w:rPr>
          <w:rFonts w:ascii="楷体_GB2312" w:hAnsi="楷体_GB2312" w:eastAsia="楷体_GB2312"/>
          <w:b/>
          <w:sz w:val="32"/>
        </w:rPr>
        <w:t>（一）一般公共预算财政拨款支出决算总体情况</w:t>
      </w:r>
    </w:p>
    <w:p w14:paraId="7034A444">
      <w:pPr>
        <w:spacing w:line="580" w:lineRule="exact"/>
        <w:ind w:firstLine="640"/>
        <w:jc w:val="both"/>
      </w:pPr>
      <w:r>
        <w:rPr>
          <w:rFonts w:ascii="仿宋_GB2312" w:hAnsi="仿宋_GB2312" w:eastAsia="仿宋_GB2312"/>
          <w:b/>
          <w:sz w:val="32"/>
        </w:rPr>
        <w:t>2024年度一般公共预算财政拨款支出2,870.00万元，</w:t>
      </w:r>
      <w:r>
        <w:rPr>
          <w:rFonts w:ascii="仿宋_GB2312" w:hAnsi="仿宋_GB2312" w:eastAsia="仿宋_GB2312"/>
          <w:b w:val="0"/>
          <w:sz w:val="32"/>
        </w:rPr>
        <w:t>占本年支出合计的82.76%。</w:t>
      </w:r>
      <w:r>
        <w:rPr>
          <w:rFonts w:ascii="仿宋_GB2312" w:hAnsi="仿宋_GB2312" w:eastAsia="仿宋_GB2312"/>
          <w:b/>
          <w:sz w:val="32"/>
        </w:rPr>
        <w:t>与上年相比，</w:t>
      </w:r>
      <w:r>
        <w:rPr>
          <w:rFonts w:ascii="仿宋_GB2312" w:hAnsi="仿宋_GB2312" w:eastAsia="仿宋_GB2312"/>
          <w:b w:val="0"/>
          <w:sz w:val="32"/>
        </w:rPr>
        <w:t>减少1,290.45万元，下降31.02%，主要原因是：本年减少疏勒县2023年农村基础设施提升项目、疏勒县2023年垃圾处理站建设项目、疏勒县2023年牲畜养殖（羊）项目等，导致经费较上年减少。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2,116.44万元，决算数2,870.00万元，预决算差异率35.61%，主要原因是：年中追加人员工资、社保、公积金基数调增部分资金。年中追加2024年中央财政以工代赈防渗渠建设项目、2023年巴合齐乡美丽乡村建设项目、2024年乡镇工作运转资金项目等，导致预决算存在差异。</w:t>
      </w:r>
    </w:p>
    <w:p w14:paraId="2D28C75B">
      <w:pPr>
        <w:spacing w:line="640" w:lineRule="exact"/>
        <w:ind w:firstLine="640"/>
        <w:jc w:val="both"/>
        <w:outlineLvl w:val="3"/>
      </w:pPr>
      <w:r>
        <w:rPr>
          <w:rFonts w:ascii="楷体_GB2312" w:hAnsi="楷体_GB2312" w:eastAsia="楷体_GB2312"/>
          <w:b/>
          <w:sz w:val="32"/>
        </w:rPr>
        <w:t>（二）一般公共预算财政拨款支出决算结构情况</w:t>
      </w:r>
    </w:p>
    <w:p w14:paraId="5B808970">
      <w:pPr>
        <w:spacing w:line="580" w:lineRule="exact"/>
        <w:ind w:firstLine="640"/>
        <w:jc w:val="both"/>
      </w:pPr>
      <w:r>
        <w:rPr>
          <w:rFonts w:ascii="仿宋_GB2312" w:hAnsi="仿宋_GB2312" w:eastAsia="仿宋_GB2312"/>
          <w:b w:val="0"/>
          <w:sz w:val="32"/>
        </w:rPr>
        <w:t>1.一般公共服务支出(类)1,155.76万元,占40.27%。</w:t>
      </w:r>
    </w:p>
    <w:p w14:paraId="7610913F">
      <w:pPr>
        <w:spacing w:line="580" w:lineRule="exact"/>
        <w:ind w:firstLine="640"/>
        <w:jc w:val="both"/>
      </w:pPr>
      <w:r>
        <w:rPr>
          <w:rFonts w:ascii="仿宋_GB2312" w:hAnsi="仿宋_GB2312" w:eastAsia="仿宋_GB2312"/>
          <w:b w:val="0"/>
          <w:sz w:val="32"/>
        </w:rPr>
        <w:t>2.文化旅游体育与传媒支出(类)8.52万元,占0.30%。</w:t>
      </w:r>
    </w:p>
    <w:p w14:paraId="0437037A">
      <w:pPr>
        <w:spacing w:line="580" w:lineRule="exact"/>
        <w:ind w:firstLine="640"/>
        <w:jc w:val="both"/>
      </w:pPr>
      <w:r>
        <w:rPr>
          <w:rFonts w:ascii="仿宋_GB2312" w:hAnsi="仿宋_GB2312" w:eastAsia="仿宋_GB2312"/>
          <w:b w:val="0"/>
          <w:sz w:val="32"/>
        </w:rPr>
        <w:t>3.社会保障和就业支出(类)280.87万元,占9.79%。</w:t>
      </w:r>
    </w:p>
    <w:p w14:paraId="4D45E3D7">
      <w:pPr>
        <w:spacing w:line="580" w:lineRule="exact"/>
        <w:ind w:firstLine="640"/>
        <w:jc w:val="both"/>
      </w:pPr>
      <w:r>
        <w:rPr>
          <w:rFonts w:ascii="仿宋_GB2312" w:hAnsi="仿宋_GB2312" w:eastAsia="仿宋_GB2312"/>
          <w:b w:val="0"/>
          <w:sz w:val="32"/>
        </w:rPr>
        <w:t>4.卫生健康支出(类)98.86万元,占3.44%。</w:t>
      </w:r>
    </w:p>
    <w:p w14:paraId="4DE9CA45">
      <w:pPr>
        <w:spacing w:line="580" w:lineRule="exact"/>
        <w:ind w:firstLine="640"/>
        <w:jc w:val="both"/>
      </w:pPr>
      <w:r>
        <w:rPr>
          <w:rFonts w:ascii="仿宋_GB2312" w:hAnsi="仿宋_GB2312" w:eastAsia="仿宋_GB2312"/>
          <w:b w:val="0"/>
          <w:sz w:val="32"/>
        </w:rPr>
        <w:t>5.节能环保支出(类)113.92万元,占3.97%。</w:t>
      </w:r>
    </w:p>
    <w:p w14:paraId="3B74B0F5">
      <w:pPr>
        <w:spacing w:line="580" w:lineRule="exact"/>
        <w:ind w:firstLine="640"/>
        <w:jc w:val="both"/>
      </w:pPr>
      <w:r>
        <w:rPr>
          <w:rFonts w:ascii="仿宋_GB2312" w:hAnsi="仿宋_GB2312" w:eastAsia="仿宋_GB2312"/>
          <w:b w:val="0"/>
          <w:sz w:val="32"/>
        </w:rPr>
        <w:t>6.农林水支出(类)1,057.00万元,占36.83%。</w:t>
      </w:r>
    </w:p>
    <w:p w14:paraId="59C62BA7">
      <w:pPr>
        <w:spacing w:line="580" w:lineRule="exact"/>
        <w:ind w:firstLine="640"/>
        <w:jc w:val="both"/>
      </w:pPr>
      <w:r>
        <w:rPr>
          <w:rFonts w:ascii="仿宋_GB2312" w:hAnsi="仿宋_GB2312" w:eastAsia="仿宋_GB2312"/>
          <w:b w:val="0"/>
          <w:sz w:val="32"/>
        </w:rPr>
        <w:t>7.住房保障支出(类)155.08万元,占5.40%。</w:t>
      </w:r>
    </w:p>
    <w:p w14:paraId="3C6C517C">
      <w:pPr>
        <w:spacing w:line="640" w:lineRule="exact"/>
        <w:ind w:firstLine="640"/>
        <w:jc w:val="both"/>
        <w:outlineLvl w:val="3"/>
      </w:pPr>
      <w:r>
        <w:rPr>
          <w:rFonts w:ascii="楷体_GB2312" w:hAnsi="楷体_GB2312" w:eastAsia="楷体_GB2312"/>
          <w:b/>
          <w:sz w:val="32"/>
        </w:rPr>
        <w:t>（三）一般公共预算财政拨款支出决算具体情况</w:t>
      </w:r>
    </w:p>
    <w:p w14:paraId="12A528D1">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1,089.86万元，比上年决算减少514.36万元，下降32.06%,主要原因是：本年功能科目调整，事业人员工资经费上年度在行政运行列支，本年单独列支，导致经费较上年减少。</w:t>
      </w:r>
    </w:p>
    <w:p w14:paraId="272E8B13">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52.90万元，比上年决算增加8.12万元，增长18.13%,主要原因是：本年度增加疏勒县印花税项目资金。</w:t>
      </w:r>
    </w:p>
    <w:p w14:paraId="7BA24679">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本年增加疏勒县纪检监察工作经费和装备设施项目，2024年中央政法纪检监察转移支付资金项目支出。</w:t>
      </w:r>
    </w:p>
    <w:p w14:paraId="3058BA76">
      <w:pPr>
        <w:spacing w:line="580" w:lineRule="exact"/>
        <w:ind w:firstLine="640"/>
        <w:jc w:val="both"/>
      </w:pPr>
      <w:r>
        <w:rPr>
          <w:rFonts w:ascii="仿宋_GB2312" w:hAnsi="仿宋_GB2312" w:eastAsia="仿宋_GB2312"/>
          <w:b w:val="0"/>
          <w:sz w:val="32"/>
        </w:rPr>
        <w:t>4.一般公共服务支出(类)组织事务(款)其他组织事务支出(项):支出决算数为10.00万元，比上年决算减少56.89万元，下降85.05%,主要原因是：本年村级组织运转工作项目资金较上年减少，减少基层组织建设民生项目和乡镇、街道综合治理及</w:t>
      </w:r>
      <w:r>
        <w:rPr>
          <w:rFonts w:hint="eastAsia" w:ascii="仿宋_GB2312" w:hAnsi="仿宋_GB2312" w:eastAsia="仿宋_GB2312"/>
          <w:b w:val="0"/>
          <w:sz w:val="32"/>
          <w:lang w:val="en-US" w:eastAsia="zh-CN"/>
        </w:rPr>
        <w:t>ZJ</w:t>
      </w:r>
      <w:r>
        <w:rPr>
          <w:rFonts w:ascii="仿宋_GB2312" w:hAnsi="仿宋_GB2312" w:eastAsia="仿宋_GB2312"/>
          <w:b w:val="0"/>
          <w:sz w:val="32"/>
        </w:rPr>
        <w:t>工作经费项目等，相应支出减少。</w:t>
      </w:r>
    </w:p>
    <w:p w14:paraId="2483F908">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25.56万元，下降100.00%,主要原因是：本年功能科目调整，2024年乡级聘用人员工资项目上年度在本科目列支，本年调整至其他农业农村支出科目列支，相应支出减少。</w:t>
      </w:r>
    </w:p>
    <w:p w14:paraId="201E032F">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3.48万元，比上年决算减少1.49万元，下降29.98%,主要原因是：本年疏勒县巴合齐乡2024年中央下达公共图书馆、美术馆、文化馆（站）免费开放补助资金较上年减少。</w:t>
      </w:r>
    </w:p>
    <w:p w14:paraId="7C59BEFE">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5.04万元，比上年决算增加5.04万元，增长100.00%,主要原因是：本年度增加疏勒县2024年第一批中央补助地方公共文化服务体系建设补助资金。</w:t>
      </w:r>
    </w:p>
    <w:p w14:paraId="7D274362">
      <w:pPr>
        <w:spacing w:line="580" w:lineRule="exact"/>
        <w:ind w:firstLine="640"/>
        <w:jc w:val="both"/>
      </w:pPr>
      <w:r>
        <w:rPr>
          <w:rFonts w:ascii="仿宋_GB2312" w:hAnsi="仿宋_GB2312" w:eastAsia="仿宋_GB2312"/>
          <w:b w:val="0"/>
          <w:sz w:val="32"/>
        </w:rPr>
        <w:t>8.社会保障和就业支出(类)民政管理事务(款)其他民政管理事务支出(项):支出决算数为15.05万元，比上年决算增加10.05万元，增长201.00%,主要原因是：本年增加疏勒县2024年困难群众救助补助项目（县级配套）资金，本年功能科目调整，农村幸福大院运行补助项目上年度在其他社会保障和就业支出科目列支，本年调整至</w:t>
      </w:r>
      <w:r>
        <w:rPr>
          <w:rFonts w:hint="eastAsia" w:ascii="仿宋_GB2312" w:hAnsi="仿宋_GB2312" w:eastAsia="仿宋_GB2312"/>
          <w:b w:val="0"/>
          <w:sz w:val="32"/>
          <w:lang w:eastAsia="zh-CN"/>
        </w:rPr>
        <w:t>支出</w:t>
      </w:r>
      <w:r>
        <w:rPr>
          <w:rFonts w:ascii="仿宋_GB2312" w:hAnsi="仿宋_GB2312" w:eastAsia="仿宋_GB2312"/>
          <w:b w:val="0"/>
          <w:sz w:val="32"/>
        </w:rPr>
        <w:t>科目，相应支出增加。</w:t>
      </w:r>
    </w:p>
    <w:p w14:paraId="7788E0B3">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9.社会保障和就业支出(类)行政事业单位养老支出(款)行政单位离退休(项):支出决算数为23.45万元，比上年决算增加4.19万元，增长21.75%,主要原因是：本年增加退休人员基础绩效奖，退休费支出增加。</w:t>
      </w:r>
    </w:p>
    <w:p w14:paraId="35DB5E00">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192.65万元，比上年决算增加22.35万元，增长13.12%,主要原因是：本年在职人员工资基数调增，养老缴费基数上涨，相应支出增加。</w:t>
      </w:r>
    </w:p>
    <w:p w14:paraId="32BF8D5C">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8.72万元，比上年决算减少11.20万元，下降56.22%,主要原因是：本年新增退休人员较上年减少，职业年金缴费支出较上年减少。</w:t>
      </w:r>
    </w:p>
    <w:p w14:paraId="5F9F4BC5">
      <w:pPr>
        <w:spacing w:line="580" w:lineRule="exact"/>
        <w:ind w:firstLine="640"/>
        <w:jc w:val="both"/>
      </w:pPr>
      <w:r>
        <w:rPr>
          <w:rFonts w:ascii="仿宋_GB2312" w:hAnsi="仿宋_GB2312" w:eastAsia="仿宋_GB2312"/>
          <w:b w:val="0"/>
          <w:sz w:val="32"/>
        </w:rPr>
        <w:t>12.社会保障和就业支出(类)就业补助(款)其他就业补助支出(项):支出决算数为4.20万元，比上年决算增加4.20万元，增长100.00%,主要原因是：本年增加疏勒县2023年自治区就业补助项目资金。</w:t>
      </w:r>
    </w:p>
    <w:p w14:paraId="66932FA1">
      <w:pPr>
        <w:spacing w:line="580" w:lineRule="exact"/>
        <w:ind w:firstLine="640"/>
        <w:jc w:val="both"/>
      </w:pPr>
      <w:r>
        <w:rPr>
          <w:rFonts w:ascii="仿宋_GB2312" w:hAnsi="仿宋_GB2312" w:eastAsia="仿宋_GB2312"/>
          <w:b w:val="0"/>
          <w:sz w:val="32"/>
        </w:rPr>
        <w:t>13.社会保障和就业支出(类)社会福利(款)殡葬(项):支出决算数为36.80万元，比上年决算增加36.80万元，增长100.00%,主要原因是：本年增加疏勒县2024年巴合齐乡和巴仁乡搬迁坟地项目资金。</w:t>
      </w:r>
    </w:p>
    <w:p w14:paraId="020F8CB0">
      <w:pPr>
        <w:spacing w:line="580" w:lineRule="exact"/>
        <w:ind w:firstLine="640"/>
        <w:jc w:val="both"/>
      </w:pPr>
      <w:r>
        <w:rPr>
          <w:rFonts w:ascii="仿宋_GB2312" w:hAnsi="仿宋_GB2312" w:eastAsia="仿宋_GB2312"/>
          <w:b w:val="0"/>
          <w:sz w:val="32"/>
        </w:rPr>
        <w:t>14.社会保障和就业支出(类)其他社会保障和就业支出(款)其他社会保障和就业支出(项):支出决算数为0.00万元，比上年决算减少4.00万元，下降100.00%,主要原因是：本年功能科目调整，农村幸福大院运行补助项目上年度在本科目列支，本年调整至其他民政事务管理支出科目，相应支出减少。</w:t>
      </w:r>
    </w:p>
    <w:p w14:paraId="49E47E2B">
      <w:pPr>
        <w:spacing w:line="580" w:lineRule="exact"/>
        <w:ind w:firstLine="640"/>
        <w:jc w:val="both"/>
      </w:pPr>
      <w:r>
        <w:rPr>
          <w:rFonts w:ascii="仿宋_GB2312" w:hAnsi="仿宋_GB2312" w:eastAsia="仿宋_GB2312"/>
          <w:b w:val="0"/>
          <w:sz w:val="32"/>
        </w:rPr>
        <w:t>15.卫生健康支出(类)行政事业单位医疗(款)行政单位医疗(项):支出决算数为81.88万元，比上年决算增加8.57万元，增长11.69%,主要原因是：本年在职人员工资基数调增，医疗缴费基数上涨，行政单位医疗支出较上年增加。</w:t>
      </w:r>
    </w:p>
    <w:p w14:paraId="722C55F7">
      <w:pPr>
        <w:spacing w:line="580" w:lineRule="exact"/>
        <w:ind w:firstLine="640"/>
        <w:jc w:val="both"/>
      </w:pPr>
      <w:r>
        <w:rPr>
          <w:rFonts w:ascii="仿宋_GB2312" w:hAnsi="仿宋_GB2312" w:eastAsia="仿宋_GB2312"/>
          <w:b w:val="0"/>
          <w:sz w:val="32"/>
        </w:rPr>
        <w:t>16.卫生健康支出(类)行政事业单位医疗(款)公务员医疗补助(项):支出决算数为16.98万元，比上年决算增加1.53万元，增长9.90%,主要原因是：本年在职人员工资基数调增，医疗缴费基数上涨，相应支出增加。</w:t>
      </w:r>
    </w:p>
    <w:p w14:paraId="4E8EA9CA">
      <w:pPr>
        <w:spacing w:line="580" w:lineRule="exact"/>
        <w:ind w:firstLine="640"/>
        <w:jc w:val="both"/>
      </w:pPr>
      <w:r>
        <w:rPr>
          <w:rFonts w:ascii="仿宋_GB2312" w:hAnsi="仿宋_GB2312" w:eastAsia="仿宋_GB2312"/>
          <w:b w:val="0"/>
          <w:sz w:val="32"/>
        </w:rPr>
        <w:t>17.节能环保支出(类)能源节约利用(款)能源节约利用(项):支出决算数为113.92万元，比上年决算减少104.38万元，下降47.81%,主要原因是：本年度新疆煤改电二期项目工程资金较上年减少。</w:t>
      </w:r>
    </w:p>
    <w:p w14:paraId="475A2821">
      <w:pPr>
        <w:spacing w:line="580" w:lineRule="exact"/>
        <w:ind w:firstLine="640"/>
        <w:jc w:val="both"/>
      </w:pPr>
      <w:r>
        <w:rPr>
          <w:rFonts w:ascii="仿宋_GB2312" w:hAnsi="仿宋_GB2312" w:eastAsia="仿宋_GB2312"/>
          <w:b w:val="0"/>
          <w:sz w:val="32"/>
        </w:rPr>
        <w:t>18.农林水支出(类)农业农村(款)事业运行(项):支出决算数为441.47万元，比上年决算增加441.47万元，增长100.00%,主要原因是：本年功能科目调整，事业人员经费上年在行政运行科目列支，本年单独列支，相应支出增加。</w:t>
      </w:r>
    </w:p>
    <w:p w14:paraId="4A43F481">
      <w:pPr>
        <w:spacing w:line="580" w:lineRule="exact"/>
        <w:ind w:firstLine="640"/>
        <w:jc w:val="both"/>
      </w:pPr>
      <w:r>
        <w:rPr>
          <w:rFonts w:ascii="仿宋_GB2312" w:hAnsi="仿宋_GB2312" w:eastAsia="仿宋_GB2312"/>
          <w:b w:val="0"/>
          <w:sz w:val="32"/>
        </w:rPr>
        <w:t>19.农林水支出(类)农业农村(款)其他农业农村支出(项):支出决算数为15.48万元，比上年决算减少45.52万元，下降74.62%,主要原因是：本年度减少疏勒县巴合齐乡罕库木（4）村新建村级组织活动场所建设项目资金。</w:t>
      </w:r>
    </w:p>
    <w:p w14:paraId="4ED25146">
      <w:pPr>
        <w:spacing w:line="580" w:lineRule="exact"/>
        <w:ind w:firstLine="640"/>
        <w:jc w:val="both"/>
      </w:pPr>
      <w:r>
        <w:rPr>
          <w:rFonts w:ascii="仿宋_GB2312" w:hAnsi="仿宋_GB2312" w:eastAsia="仿宋_GB2312"/>
          <w:b w:val="0"/>
          <w:sz w:val="32"/>
        </w:rPr>
        <w:t>20.农林水支出(类)巩固脱贫攻坚成果衔接乡村振兴(款)生产发展(项):支出决算数为357.53万元，比上年决算减少1,327.95万元，下降78.79%,主要原因是：本年减少疏勒县2023年农村基础设施提升项目、疏勒县2023年垃圾处理站建设项目、疏勒县2023年牲畜养殖（羊）项目等，相应支出减少。</w:t>
      </w:r>
    </w:p>
    <w:p w14:paraId="56B10E19">
      <w:pPr>
        <w:spacing w:line="580" w:lineRule="exact"/>
        <w:ind w:firstLine="640"/>
        <w:jc w:val="both"/>
      </w:pPr>
      <w:r>
        <w:rPr>
          <w:rFonts w:ascii="仿宋_GB2312" w:hAnsi="仿宋_GB2312" w:eastAsia="仿宋_GB2312"/>
          <w:b w:val="0"/>
          <w:sz w:val="32"/>
        </w:rPr>
        <w:t>21.农林水支出(类)农村综合改革(款)对村级公益事业建设的补助(项):支出决算数为242.51万元，比上年决算增加242.51万元，增长100.00%,主要原因是：本年度新增疏勒县2023年巴合齐乡美丽乡村建设项目。</w:t>
      </w:r>
    </w:p>
    <w:p w14:paraId="2124E4FC">
      <w:pPr>
        <w:spacing w:line="580" w:lineRule="exact"/>
        <w:ind w:firstLine="640"/>
        <w:jc w:val="both"/>
      </w:pPr>
      <w:r>
        <w:rPr>
          <w:rFonts w:ascii="仿宋_GB2312" w:hAnsi="仿宋_GB2312" w:eastAsia="仿宋_GB2312"/>
          <w:b w:val="0"/>
          <w:sz w:val="32"/>
        </w:rPr>
        <w:t>22.住房保障支出(类)住房改革支出(款)住房公积金(项):支出决算数为155.08万元，比上年决算增加14.56万元，增长10.36%,主要原因是：本年在职人员工资基数调增，公积金缴费基数上涨，相应支出增加。</w:t>
      </w:r>
    </w:p>
    <w:p w14:paraId="52D09BFC">
      <w:pPr>
        <w:spacing w:line="640" w:lineRule="exact"/>
        <w:ind w:firstLine="640"/>
        <w:jc w:val="both"/>
        <w:outlineLvl w:val="2"/>
      </w:pPr>
      <w:r>
        <w:rPr>
          <w:rFonts w:ascii="黑体" w:hAnsi="黑体" w:eastAsia="黑体"/>
          <w:sz w:val="32"/>
        </w:rPr>
        <w:t>六、一般公共预算财政拨款基本支出决算情况说明</w:t>
      </w:r>
    </w:p>
    <w:p w14:paraId="075D1F9D">
      <w:pPr>
        <w:spacing w:line="580" w:lineRule="exact"/>
        <w:ind w:firstLine="640"/>
        <w:jc w:val="both"/>
      </w:pPr>
      <w:r>
        <w:rPr>
          <w:rFonts w:ascii="仿宋_GB2312" w:hAnsi="仿宋_GB2312" w:eastAsia="仿宋_GB2312"/>
          <w:b w:val="0"/>
          <w:sz w:val="32"/>
        </w:rPr>
        <w:t>2024年度一般公共预算财政拨款基本支出2,010.09万元，其中：</w:t>
      </w:r>
      <w:r>
        <w:rPr>
          <w:rFonts w:ascii="仿宋_GB2312" w:hAnsi="仿宋_GB2312" w:eastAsia="仿宋_GB2312"/>
          <w:b/>
          <w:sz w:val="32"/>
        </w:rPr>
        <w:t>人员经费1,964.84万元，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1C398506">
      <w:pPr>
        <w:spacing w:line="580" w:lineRule="exact"/>
        <w:ind w:firstLine="640"/>
        <w:jc w:val="both"/>
      </w:pPr>
      <w:r>
        <w:rPr>
          <w:rFonts w:ascii="仿宋_GB2312" w:hAnsi="仿宋_GB2312" w:eastAsia="仿宋_GB2312"/>
          <w:b/>
          <w:sz w:val="32"/>
        </w:rPr>
        <w:t>公用经费45.25万元，</w:t>
      </w:r>
      <w:r>
        <w:rPr>
          <w:rFonts w:ascii="仿宋_GB2312" w:hAnsi="仿宋_GB2312" w:eastAsia="仿宋_GB2312"/>
          <w:b w:val="0"/>
          <w:sz w:val="32"/>
        </w:rPr>
        <w:t>包括：办公费、水费、电费、劳务费、委托业务费、公务用车运行维护费、其他交通费用、其他商品和服务支出。</w:t>
      </w:r>
    </w:p>
    <w:p w14:paraId="1AE3901F">
      <w:pPr>
        <w:spacing w:line="640" w:lineRule="exact"/>
        <w:ind w:firstLine="640"/>
        <w:jc w:val="both"/>
        <w:outlineLvl w:val="2"/>
      </w:pPr>
      <w:r>
        <w:rPr>
          <w:rFonts w:ascii="黑体" w:hAnsi="黑体" w:eastAsia="黑体"/>
          <w:sz w:val="32"/>
        </w:rPr>
        <w:t>七、政府性基金预算财政拨款收入支出决算情况说明</w:t>
      </w:r>
    </w:p>
    <w:p w14:paraId="32B4B827">
      <w:pPr>
        <w:spacing w:line="580" w:lineRule="exact"/>
        <w:ind w:firstLine="640"/>
        <w:jc w:val="both"/>
      </w:pPr>
      <w:r>
        <w:rPr>
          <w:rFonts w:ascii="仿宋_GB2312" w:hAnsi="仿宋_GB2312" w:eastAsia="仿宋_GB2312"/>
          <w:b/>
          <w:sz w:val="32"/>
        </w:rPr>
        <w:t>2024年度政府性基金预算财政拨款收入总计71.81万元，</w:t>
      </w:r>
      <w:r>
        <w:rPr>
          <w:rFonts w:ascii="仿宋_GB2312" w:hAnsi="仿宋_GB2312" w:eastAsia="仿宋_GB2312"/>
          <w:b w:val="0"/>
          <w:sz w:val="32"/>
        </w:rPr>
        <w:t>其中：年初结转和结余0.00万元，本年收入71.81万元。</w:t>
      </w:r>
      <w:r>
        <w:rPr>
          <w:rFonts w:ascii="仿宋_GB2312" w:hAnsi="仿宋_GB2312" w:eastAsia="仿宋_GB2312"/>
          <w:b/>
          <w:sz w:val="32"/>
        </w:rPr>
        <w:t>政府性基金预算财政拨款支出总计71.81万元，</w:t>
      </w:r>
      <w:r>
        <w:rPr>
          <w:rFonts w:ascii="仿宋_GB2312" w:hAnsi="仿宋_GB2312" w:eastAsia="仿宋_GB2312"/>
          <w:b w:val="0"/>
          <w:sz w:val="32"/>
        </w:rPr>
        <w:t>其中：年末结转和结余0.00万元，本年支出71.81万元。</w:t>
      </w:r>
    </w:p>
    <w:p w14:paraId="69FC6A6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增加7.74万元，增长12.08%，主要原因是：本年度新增疏勒县特色小镇建设（二期）项目资金，导致经费较上年增加。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年初预算数1,905.25万元，决算数71.81万元，预决算差异率-96.23%，主要原因是：年中调减历年征迁补偿款项目、示范村建设项目、特色小镇建设项目等项目资金，导致预决算存在差异。</w:t>
      </w:r>
    </w:p>
    <w:p w14:paraId="14E83535">
      <w:pPr>
        <w:spacing w:line="580" w:lineRule="exact"/>
        <w:ind w:firstLine="640"/>
        <w:jc w:val="both"/>
      </w:pPr>
      <w:r>
        <w:rPr>
          <w:rFonts w:ascii="仿宋_GB2312" w:hAnsi="仿宋_GB2312" w:eastAsia="仿宋_GB2312"/>
          <w:b w:val="0"/>
          <w:sz w:val="32"/>
        </w:rPr>
        <w:t>政府性基金预算财政拨款支出71.81万元。</w:t>
      </w:r>
    </w:p>
    <w:p w14:paraId="77F5B040">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71.81万元，比上年决算增加7.74万元，增长12.08%,主要原因是：本年度新增疏勒县特色小镇建设（二期）项目资金，导致经费较上年增加。</w:t>
      </w:r>
    </w:p>
    <w:p w14:paraId="2E1CA65C">
      <w:pPr>
        <w:spacing w:line="640" w:lineRule="exact"/>
        <w:ind w:firstLine="640"/>
        <w:jc w:val="both"/>
        <w:outlineLvl w:val="2"/>
      </w:pPr>
      <w:r>
        <w:rPr>
          <w:rFonts w:ascii="黑体" w:hAnsi="黑体" w:eastAsia="黑体"/>
          <w:sz w:val="32"/>
        </w:rPr>
        <w:t>八、国有资本经营预算财政拨款收入支出决算情况说明</w:t>
      </w:r>
    </w:p>
    <w:p w14:paraId="69DBDC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B12F6B">
      <w:pPr>
        <w:spacing w:line="640" w:lineRule="exact"/>
        <w:ind w:firstLine="640"/>
        <w:jc w:val="both"/>
        <w:outlineLvl w:val="2"/>
      </w:pPr>
      <w:r>
        <w:rPr>
          <w:rFonts w:ascii="黑体" w:hAnsi="黑体" w:eastAsia="黑体"/>
          <w:sz w:val="32"/>
        </w:rPr>
        <w:t>九、财政拨款“三公”经费支出决算情况说明</w:t>
      </w:r>
    </w:p>
    <w:p w14:paraId="3D870DC6">
      <w:pPr>
        <w:spacing w:line="580" w:lineRule="exact"/>
        <w:ind w:firstLine="640"/>
        <w:jc w:val="both"/>
      </w:pPr>
      <w:r>
        <w:rPr>
          <w:rFonts w:ascii="仿宋_GB2312" w:hAnsi="仿宋_GB2312" w:eastAsia="仿宋_GB2312"/>
          <w:b/>
          <w:sz w:val="32"/>
        </w:rPr>
        <w:t>2024年度财政拨款“三公”经费支出1.13万元，</w:t>
      </w:r>
      <w:r>
        <w:rPr>
          <w:rFonts w:ascii="仿宋_GB2312" w:hAnsi="仿宋_GB2312" w:eastAsia="仿宋_GB2312"/>
          <w:b w:val="0"/>
          <w:sz w:val="32"/>
        </w:rPr>
        <w:t>比上年减少0.42万元，下降27.10%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1.13万元，占100.00%，比上年减少0.42万元，下降27.10%，主要原因是：严格落实中央八项规定精神，厉行节约，减少公务用车运行维护费。公务接待费支出0.00万元，占0.00%，比上年增加0.00万元，增长0.00%，主要原因是：2023年与2024年均未安排公务接待费支出。</w:t>
      </w:r>
    </w:p>
    <w:p w14:paraId="50273745">
      <w:pPr>
        <w:spacing w:line="580" w:lineRule="exact"/>
        <w:ind w:firstLine="640"/>
        <w:jc w:val="both"/>
      </w:pPr>
      <w:r>
        <w:rPr>
          <w:rFonts w:ascii="仿宋_GB2312" w:hAnsi="仿宋_GB2312" w:eastAsia="仿宋_GB2312"/>
          <w:b/>
          <w:sz w:val="32"/>
        </w:rPr>
        <w:t>具体情况如下：</w:t>
      </w:r>
    </w:p>
    <w:p w14:paraId="36E3D06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14AA27">
      <w:pPr>
        <w:spacing w:line="580" w:lineRule="exact"/>
        <w:ind w:firstLine="640"/>
        <w:jc w:val="both"/>
      </w:pPr>
      <w:r>
        <w:rPr>
          <w:rFonts w:ascii="仿宋_GB2312" w:hAnsi="仿宋_GB2312" w:eastAsia="仿宋_GB2312"/>
          <w:b w:val="0"/>
          <w:sz w:val="32"/>
        </w:rPr>
        <w:t>公务用车购置及运行维护费1.13万元，其中：公务用车购置费0.00万元，公务用车运行维护费1.13万元。公务用车运行维护费开支内容包括本年度车辆燃油费、保险费、维修费。公务用车购置数0辆，公务用车保有量2辆。国有资产占用情况中固定资产车辆7辆，与公务用车保有量差异原因是：差异车辆为一般业务用车，预算未安排公务用车运行维护费。</w:t>
      </w:r>
    </w:p>
    <w:p w14:paraId="3995510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1B98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1.13万元，决算数1.13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1.13万元，决算数1.13万元，预决算差异率0.00%，主要原因是：严格按照预算执行，预决算无差异。公务接待费全年预算数0.00万元，决算数0.00万元，预决算差异率0.00%，主要原因是：本单位无公务接待费。</w:t>
      </w:r>
    </w:p>
    <w:p w14:paraId="6511F812">
      <w:pPr>
        <w:spacing w:line="640" w:lineRule="exact"/>
        <w:ind w:firstLine="640"/>
        <w:jc w:val="both"/>
        <w:outlineLvl w:val="2"/>
      </w:pPr>
      <w:r>
        <w:rPr>
          <w:rFonts w:ascii="黑体" w:hAnsi="黑体" w:eastAsia="黑体"/>
          <w:sz w:val="32"/>
        </w:rPr>
        <w:t>十、其他重要事项的情况说明</w:t>
      </w:r>
    </w:p>
    <w:p w14:paraId="6180A2E0">
      <w:pPr>
        <w:spacing w:line="640" w:lineRule="exact"/>
        <w:ind w:firstLine="640"/>
        <w:jc w:val="both"/>
        <w:outlineLvl w:val="3"/>
      </w:pPr>
      <w:r>
        <w:rPr>
          <w:rFonts w:ascii="楷体_GB2312" w:hAnsi="楷体_GB2312" w:eastAsia="楷体_GB2312"/>
          <w:b/>
          <w:sz w:val="32"/>
        </w:rPr>
        <w:t>（一）机关运行经费及公用经费支出情况</w:t>
      </w:r>
    </w:p>
    <w:p w14:paraId="1EA5EA5E">
      <w:pPr>
        <w:spacing w:line="580" w:lineRule="exact"/>
        <w:ind w:firstLine="640"/>
        <w:jc w:val="both"/>
      </w:pPr>
      <w:r>
        <w:rPr>
          <w:rFonts w:ascii="仿宋_GB2312" w:hAnsi="仿宋_GB2312" w:eastAsia="仿宋_GB2312"/>
          <w:b w:val="0"/>
          <w:sz w:val="32"/>
        </w:rPr>
        <w:t>2024年度疏勒县巴合齐乡人民政府（行政单位和参照公务员法管理事业单位）机关运行经费支出45.25万元，比上年减少4.16万元，下降8.42%，主要原因是：严格控制公用经费，合理节约办公用品，减少不必要开支。</w:t>
      </w:r>
    </w:p>
    <w:p w14:paraId="24912E5E">
      <w:pPr>
        <w:spacing w:line="640" w:lineRule="exact"/>
        <w:ind w:firstLine="640"/>
        <w:jc w:val="both"/>
        <w:outlineLvl w:val="3"/>
      </w:pPr>
      <w:r>
        <w:rPr>
          <w:rFonts w:ascii="楷体_GB2312" w:hAnsi="楷体_GB2312" w:eastAsia="楷体_GB2312"/>
          <w:b/>
          <w:sz w:val="32"/>
        </w:rPr>
        <w:t>（二）政府采购情况</w:t>
      </w:r>
    </w:p>
    <w:p w14:paraId="0E882C1E">
      <w:pPr>
        <w:spacing w:line="580" w:lineRule="exact"/>
        <w:ind w:firstLine="640"/>
        <w:jc w:val="both"/>
      </w:pPr>
      <w:r>
        <w:rPr>
          <w:rFonts w:ascii="仿宋_GB2312" w:hAnsi="仿宋_GB2312" w:eastAsia="仿宋_GB2312"/>
          <w:b w:val="0"/>
          <w:sz w:val="32"/>
        </w:rPr>
        <w:t>2024年度政府采购支出总额800.46万元，其中：政府采购货物支出105.35万元、政府采购工程支出648.56万元、政府采购服务支出46.55万元。</w:t>
      </w:r>
    </w:p>
    <w:p w14:paraId="6907A9BE">
      <w:pPr>
        <w:spacing w:line="580" w:lineRule="exact"/>
        <w:ind w:firstLine="640"/>
        <w:jc w:val="both"/>
      </w:pPr>
      <w:r>
        <w:rPr>
          <w:rFonts w:ascii="仿宋_GB2312" w:hAnsi="仿宋_GB2312" w:eastAsia="仿宋_GB2312"/>
          <w:b w:val="0"/>
          <w:sz w:val="32"/>
        </w:rPr>
        <w:t>授予中小企业合同金额797.37万元，占政府采购支出总额的99.61%，其中：授予小微企业合同金额501.65万元，占政府采购支出总额的62.67%。</w:t>
      </w:r>
    </w:p>
    <w:p w14:paraId="6A817BF4">
      <w:pPr>
        <w:spacing w:line="640" w:lineRule="exact"/>
        <w:ind w:firstLine="640"/>
        <w:jc w:val="both"/>
        <w:outlineLvl w:val="3"/>
      </w:pPr>
      <w:r>
        <w:rPr>
          <w:rFonts w:ascii="楷体_GB2312" w:hAnsi="楷体_GB2312" w:eastAsia="楷体_GB2312"/>
          <w:b/>
          <w:sz w:val="32"/>
        </w:rPr>
        <w:t>（三）国有资产占用情况说明</w:t>
      </w:r>
    </w:p>
    <w:p w14:paraId="1E9B406C">
      <w:pPr>
        <w:spacing w:line="580" w:lineRule="exact"/>
        <w:ind w:firstLine="640"/>
        <w:jc w:val="both"/>
      </w:pPr>
      <w:r>
        <w:rPr>
          <w:rFonts w:ascii="仿宋_GB2312" w:hAnsi="仿宋_GB2312" w:eastAsia="仿宋_GB2312"/>
          <w:b w:val="0"/>
          <w:sz w:val="32"/>
        </w:rPr>
        <w:t>截至2024年12月31日，房屋15,145.64平方米，价值2,545.53万元。车辆7辆，价值57.87万元，其中：副部（省）级及以上领导用车0辆、主要负责人用车0辆、机要通信用车0辆、应急保障用车0辆、执法执勤用车0辆、特种专业技术用车0辆、离退休干部服务用车0辆、其他用车7辆，其他用车主要是：一般公务用车和单位业务用车。单价100万元（含）以上设备（不含车辆）1台（套）。</w:t>
      </w:r>
    </w:p>
    <w:p w14:paraId="3A1FEBDF">
      <w:pPr>
        <w:spacing w:line="640" w:lineRule="exact"/>
        <w:ind w:firstLine="640"/>
        <w:jc w:val="both"/>
        <w:outlineLvl w:val="2"/>
      </w:pPr>
      <w:r>
        <w:rPr>
          <w:rFonts w:ascii="黑体" w:hAnsi="黑体" w:eastAsia="黑体"/>
          <w:sz w:val="32"/>
        </w:rPr>
        <w:t>十一、预算绩效的情况说明</w:t>
      </w:r>
    </w:p>
    <w:p w14:paraId="446536C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根据预算绩效管理要求，本单位2024年度预算绩效管理形成整体支出绩效自评表1个，全年预算总额3,473.79万元，实际执行总额3,467.96万元；预算绩效评价项目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1,018.73</w:t>
      </w:r>
      <w:r>
        <w:rPr>
          <w:rFonts w:ascii="仿宋_GB2312" w:hAnsi="仿宋_GB2312" w:eastAsia="仿宋_GB2312"/>
          <w:b w:val="0"/>
          <w:sz w:val="32"/>
        </w:rPr>
        <w:t>万元，全年执行数</w:t>
      </w:r>
      <w:r>
        <w:rPr>
          <w:rFonts w:hint="eastAsia" w:ascii="仿宋_GB2312" w:hAnsi="仿宋_GB2312" w:eastAsia="仿宋_GB2312"/>
          <w:b w:val="0"/>
          <w:sz w:val="32"/>
        </w:rPr>
        <w:t>1,018.73</w:t>
      </w:r>
      <w:r>
        <w:rPr>
          <w:rFonts w:ascii="仿宋_GB2312" w:hAnsi="仿宋_GB2312" w:eastAsia="仿宋_GB2312"/>
          <w:b w:val="0"/>
          <w:sz w:val="32"/>
        </w:rPr>
        <w:t>万元。预算绩效管理取得的成效：一是财政资金使用效率提高。预算绩效管理强调财政资金的有效使用，通过绩效目标的设定、绩效评估的开展，促使</w:t>
      </w:r>
      <w:r>
        <w:rPr>
          <w:rFonts w:hint="eastAsia" w:ascii="仿宋_GB2312" w:hAnsi="仿宋_GB2312" w:eastAsia="仿宋_GB2312"/>
          <w:b w:val="0"/>
          <w:sz w:val="32"/>
          <w:lang w:eastAsia="zh-CN"/>
        </w:rPr>
        <w:t>本单位</w:t>
      </w:r>
      <w:r>
        <w:rPr>
          <w:rFonts w:ascii="仿宋_GB2312" w:hAnsi="仿宋_GB2312" w:eastAsia="仿宋_GB2312"/>
          <w:b w:val="0"/>
          <w:sz w:val="32"/>
        </w:rPr>
        <w:t>优化资源配置，提高</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效率。二是预算与部门计划更加匹配。预算绩效管理要求在预算编制时明确绩效目标，使预算与部门计划更加匹配。这有效保障了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更好地规划资金使用，避免资金的浪费和滥用，使预算真正符合</w:t>
      </w:r>
      <w:r>
        <w:rPr>
          <w:rFonts w:hint="eastAsia" w:ascii="仿宋_GB2312" w:hAnsi="仿宋_GB2312" w:eastAsia="仿宋_GB2312"/>
          <w:b w:val="0"/>
          <w:sz w:val="32"/>
          <w:lang w:eastAsia="zh-CN"/>
        </w:rPr>
        <w:t>本单位</w:t>
      </w:r>
      <w:r>
        <w:rPr>
          <w:rFonts w:ascii="仿宋_GB2312" w:hAnsi="仿宋_GB2312" w:eastAsia="仿宋_GB2312"/>
          <w:b w:val="0"/>
          <w:sz w:val="32"/>
        </w:rPr>
        <w:t>发展的需要。三是项目管理水平提升。预算绩效管理强调绩效目标的设定、绩效计划的制定、绩效评估的开展，这有助于</w:t>
      </w:r>
      <w:r>
        <w:rPr>
          <w:rFonts w:hint="eastAsia" w:ascii="仿宋_GB2312" w:hAnsi="仿宋_GB2312" w:eastAsia="仿宋_GB2312"/>
          <w:b w:val="0"/>
          <w:sz w:val="32"/>
          <w:lang w:eastAsia="zh-CN"/>
        </w:rPr>
        <w:t>本单位</w:t>
      </w:r>
      <w:r>
        <w:rPr>
          <w:rFonts w:ascii="仿宋_GB2312" w:hAnsi="仿宋_GB2312" w:eastAsia="仿宋_GB2312"/>
          <w:b w:val="0"/>
          <w:sz w:val="32"/>
        </w:rPr>
        <w:t>加强项目管理，提高项目管理水平。促使</w:t>
      </w:r>
      <w:r>
        <w:rPr>
          <w:rFonts w:hint="eastAsia" w:ascii="仿宋_GB2312" w:hAnsi="仿宋_GB2312" w:eastAsia="仿宋_GB2312"/>
          <w:b w:val="0"/>
          <w:sz w:val="32"/>
          <w:lang w:eastAsia="zh-CN"/>
        </w:rPr>
        <w:t>本单位</w:t>
      </w:r>
      <w:r>
        <w:rPr>
          <w:rFonts w:ascii="仿宋_GB2312" w:hAnsi="仿宋_GB2312" w:eastAsia="仿宋_GB2312"/>
          <w:b w:val="0"/>
          <w:sz w:val="32"/>
        </w:rPr>
        <w:t>能够更好地规划项目进度，控制成本，保证项目质量。发现的问题及原因：一是预算编制工作不够精细，绩效指标不够明确，单位各科室的预算管理意识不强；二是未能全面深入认识理解绩效管理工作的意义，预算、绩效管理工作需要进一步加强；三是财务审核需更加严格，单位财务管理制度不全面，需健全单位财务管理制度体系。各类</w:t>
      </w:r>
      <w:r>
        <w:rPr>
          <w:rFonts w:hint="eastAsia" w:ascii="仿宋_GB2312" w:hAnsi="仿宋_GB2312" w:eastAsia="仿宋_GB2312"/>
          <w:b w:val="0"/>
          <w:sz w:val="32"/>
          <w:lang w:eastAsia="zh-CN"/>
        </w:rPr>
        <w:t>账户</w:t>
      </w:r>
      <w:r>
        <w:rPr>
          <w:rFonts w:ascii="仿宋_GB2312" w:hAnsi="仿宋_GB2312" w:eastAsia="仿宋_GB2312"/>
          <w:b w:val="0"/>
          <w:sz w:val="32"/>
        </w:rPr>
        <w:t>支付、预算规定不够系统化。下一步改进措施：一是细化预算编制工作，认真做好预算的编制。进一步加强单位机构各科室的预算管理意识，严格按照预算编制的相关制度和要求进行预算编制；二是加强财务管理，严格财务审核。加强单位财务管理，健全单位财务管理制度体系，规范单位财务行为。在费用报账支付时，按照预算规定的费用项目和用途进行资金使用审核、列报支付、财务核算，杜绝超支现象的发生。具体附整体支出绩效自评表，项目支出绩效自评表和评价报告。</w:t>
      </w:r>
    </w:p>
    <w:p w14:paraId="547CBE1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D7E116">
        <w:tblPrEx>
          <w:tblCellMar>
            <w:top w:w="0" w:type="dxa"/>
            <w:left w:w="108" w:type="dxa"/>
            <w:bottom w:w="0" w:type="dxa"/>
            <w:right w:w="108" w:type="dxa"/>
          </w:tblCellMar>
        </w:tblPrEx>
        <w:tc>
          <w:tcPr>
            <w:tcW w:w="8847" w:type="dxa"/>
            <w:gridSpan w:val="9"/>
            <w:vAlign w:val="center"/>
          </w:tcPr>
          <w:p w14:paraId="2C2CB0E5">
            <w:pPr>
              <w:jc w:val="center"/>
            </w:pPr>
            <w:r>
              <w:rPr>
                <w:rFonts w:ascii="宋体" w:hAnsi="宋体" w:eastAsia="宋体"/>
                <w:sz w:val="24"/>
              </w:rPr>
              <w:t>单位整体支出绩效自评表</w:t>
            </w:r>
          </w:p>
        </w:tc>
      </w:tr>
      <w:tr w14:paraId="6DD3D7BE">
        <w:tblPrEx>
          <w:tblCellMar>
            <w:top w:w="0" w:type="dxa"/>
            <w:left w:w="108" w:type="dxa"/>
            <w:bottom w:w="0" w:type="dxa"/>
            <w:right w:w="108" w:type="dxa"/>
          </w:tblCellMar>
        </w:tblPrEx>
        <w:tc>
          <w:tcPr>
            <w:tcW w:w="8847" w:type="dxa"/>
            <w:gridSpan w:val="9"/>
            <w:vAlign w:val="center"/>
          </w:tcPr>
          <w:p w14:paraId="20A65BA6">
            <w:pPr>
              <w:jc w:val="center"/>
            </w:pPr>
            <w:r>
              <w:rPr>
                <w:rFonts w:ascii="宋体" w:hAnsi="宋体" w:eastAsia="宋体"/>
                <w:sz w:val="24"/>
              </w:rPr>
              <w:t>（2024年度）</w:t>
            </w:r>
          </w:p>
        </w:tc>
      </w:tr>
      <w:tr w14:paraId="0B86F7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864F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12E74B">
            <w:pPr>
              <w:jc w:val="center"/>
            </w:pPr>
            <w:r>
              <w:rPr>
                <w:rFonts w:ascii="宋体" w:hAnsi="宋体" w:eastAsia="宋体"/>
                <w:sz w:val="16"/>
              </w:rPr>
              <w:t>疏勒县巴合齐乡人民政府</w:t>
            </w:r>
          </w:p>
        </w:tc>
      </w:tr>
      <w:tr w14:paraId="1865B8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35C1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C6E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74DE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2F63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15CB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426C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B68E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58094">
            <w:pPr>
              <w:jc w:val="center"/>
            </w:pPr>
            <w:r>
              <w:rPr>
                <w:rFonts w:ascii="宋体" w:hAnsi="宋体" w:eastAsia="宋体"/>
                <w:sz w:val="16"/>
              </w:rPr>
              <w:t>得分</w:t>
            </w:r>
          </w:p>
        </w:tc>
      </w:tr>
      <w:tr w14:paraId="302F24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E60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8A2B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8FD7">
            <w:pPr>
              <w:jc w:val="center"/>
            </w:pPr>
            <w:r>
              <w:rPr>
                <w:rFonts w:ascii="宋体" w:hAnsi="宋体" w:eastAsia="宋体"/>
                <w:sz w:val="16"/>
              </w:rPr>
              <w:t>4,021.70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9BAAF">
            <w:pPr>
              <w:jc w:val="center"/>
            </w:pPr>
            <w:r>
              <w:rPr>
                <w:rFonts w:ascii="宋体" w:hAnsi="宋体" w:eastAsia="宋体"/>
                <w:sz w:val="16"/>
              </w:rPr>
              <w:t>3,473.79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16B57">
            <w:pPr>
              <w:jc w:val="center"/>
            </w:pPr>
            <w:r>
              <w:rPr>
                <w:rFonts w:ascii="宋体" w:hAnsi="宋体" w:eastAsia="宋体"/>
                <w:sz w:val="16"/>
              </w:rPr>
              <w:t>3,467.96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FD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B09BB">
            <w:pPr>
              <w:jc w:val="center"/>
            </w:pPr>
            <w:r>
              <w:rPr>
                <w:rFonts w:ascii="宋体" w:hAnsi="宋体" w:eastAsia="宋体"/>
                <w:sz w:val="16"/>
              </w:rPr>
              <w:t>99.83%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0D693">
            <w:pPr>
              <w:jc w:val="center"/>
            </w:pPr>
            <w:r>
              <w:rPr>
                <w:rFonts w:ascii="宋体" w:hAnsi="宋体" w:eastAsia="宋体"/>
                <w:sz w:val="16"/>
              </w:rPr>
              <w:t>9.98</w:t>
            </w:r>
          </w:p>
        </w:tc>
      </w:tr>
      <w:tr w14:paraId="7FF600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C13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C608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3FD99">
            <w:pPr>
              <w:jc w:val="center"/>
            </w:pPr>
            <w:r>
              <w:rPr>
                <w:rFonts w:ascii="宋体" w:hAnsi="宋体" w:eastAsia="宋体"/>
                <w:sz w:val="16"/>
              </w:rPr>
              <w:t>445.36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866D0">
            <w:pPr>
              <w:jc w:val="center"/>
            </w:pPr>
            <w:r>
              <w:rPr>
                <w:rFonts w:ascii="宋体" w:hAnsi="宋体" w:eastAsia="宋体"/>
                <w:sz w:val="16"/>
              </w:rPr>
              <w:t>864.11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7040D">
            <w:pPr>
              <w:jc w:val="center"/>
            </w:pPr>
            <w:r>
              <w:rPr>
                <w:rFonts w:ascii="宋体" w:hAnsi="宋体" w:eastAsia="宋体"/>
                <w:sz w:val="16"/>
              </w:rPr>
              <w:t>864.11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4E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0AD3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AF17">
            <w:pPr>
              <w:jc w:val="center"/>
            </w:pPr>
            <w:r>
              <w:rPr>
                <w:rFonts w:ascii="宋体" w:hAnsi="宋体" w:eastAsia="宋体"/>
                <w:sz w:val="16"/>
              </w:rPr>
              <w:t>—</w:t>
            </w:r>
          </w:p>
        </w:tc>
      </w:tr>
      <w:tr w14:paraId="660B0F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216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D84E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07427">
            <w:pPr>
              <w:jc w:val="center"/>
            </w:pPr>
            <w:r>
              <w:rPr>
                <w:rFonts w:ascii="宋体" w:hAnsi="宋体" w:eastAsia="宋体"/>
                <w:sz w:val="16"/>
              </w:rPr>
              <w:t>3,576.34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642B5">
            <w:pPr>
              <w:jc w:val="center"/>
            </w:pPr>
            <w:r>
              <w:rPr>
                <w:rFonts w:ascii="宋体" w:hAnsi="宋体" w:eastAsia="宋体"/>
                <w:sz w:val="16"/>
              </w:rPr>
              <w:t>2,077.71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70545">
            <w:pPr>
              <w:jc w:val="center"/>
            </w:pPr>
            <w:r>
              <w:rPr>
                <w:rFonts w:ascii="宋体" w:hAnsi="宋体" w:eastAsia="宋体"/>
                <w:sz w:val="16"/>
              </w:rPr>
              <w:t>2,077.71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86F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65C3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6783">
            <w:pPr>
              <w:jc w:val="center"/>
            </w:pPr>
            <w:r>
              <w:rPr>
                <w:rFonts w:ascii="宋体" w:hAnsi="宋体" w:eastAsia="宋体"/>
                <w:sz w:val="16"/>
              </w:rPr>
              <w:t>—</w:t>
            </w:r>
          </w:p>
        </w:tc>
      </w:tr>
      <w:tr w14:paraId="30DF55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DA3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5098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8E3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D47DF">
            <w:pPr>
              <w:jc w:val="center"/>
            </w:pPr>
            <w:r>
              <w:rPr>
                <w:rFonts w:ascii="宋体" w:hAnsi="宋体" w:eastAsia="宋体"/>
                <w:sz w:val="16"/>
              </w:rPr>
              <w:t>531.97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F8180">
            <w:pPr>
              <w:jc w:val="center"/>
            </w:pPr>
            <w:r>
              <w:rPr>
                <w:rFonts w:ascii="宋体" w:hAnsi="宋体" w:eastAsia="宋体"/>
                <w:sz w:val="16"/>
              </w:rPr>
              <w:t>526.14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BC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EA17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FE07">
            <w:pPr>
              <w:jc w:val="center"/>
            </w:pPr>
            <w:r>
              <w:rPr>
                <w:rFonts w:ascii="宋体" w:hAnsi="宋体" w:eastAsia="宋体"/>
                <w:sz w:val="16"/>
              </w:rPr>
              <w:t>—</w:t>
            </w:r>
          </w:p>
        </w:tc>
      </w:tr>
      <w:tr w14:paraId="675846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1204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0B5A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6FA324">
            <w:pPr>
              <w:jc w:val="center"/>
            </w:pPr>
            <w:r>
              <w:rPr>
                <w:rFonts w:ascii="宋体" w:hAnsi="宋体" w:eastAsia="宋体"/>
                <w:sz w:val="16"/>
              </w:rPr>
              <w:t>实际完成情况</w:t>
            </w:r>
          </w:p>
        </w:tc>
      </w:tr>
      <w:tr w14:paraId="63FD06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1213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EB186A">
            <w:pPr>
              <w:jc w:val="both"/>
            </w:pPr>
            <w:r>
              <w:rPr>
                <w:rFonts w:ascii="宋体" w:hAnsi="宋体" w:eastAsia="宋体"/>
                <w:sz w:val="16"/>
              </w:rPr>
              <w:t>2024年将在乡党委、</w:t>
            </w:r>
            <w:r>
              <w:rPr>
                <w:rFonts w:hint="eastAsia" w:ascii="宋体" w:hAnsi="宋体"/>
                <w:sz w:val="16"/>
                <w:lang w:eastAsia="zh-CN"/>
              </w:rPr>
              <w:t>政府</w:t>
            </w:r>
            <w:r>
              <w:rPr>
                <w:rFonts w:ascii="宋体" w:hAnsi="宋体" w:eastAsia="宋体"/>
                <w:sz w:val="16"/>
              </w:rPr>
              <w:t>坚强的领导下，乡政府一班人团结带领全乡人民坚定信心，迎难而上，主动作为，持续推动新时代党的治疆方略落地落实落细，社会大局稳定向好，经济稳中求进，各项工作朝着实现社会主义现代化新征程迈出了坚实步伐。千方百计稳经济、保增长，高质量发展取得新成效。完整准确全面贯彻新发展理念，立足“两个统筹”，着力推动</w:t>
            </w:r>
            <w:r>
              <w:rPr>
                <w:rFonts w:hint="eastAsia" w:ascii="宋体" w:hAnsi="宋体"/>
                <w:sz w:val="16"/>
                <w:lang w:eastAsia="zh-CN"/>
              </w:rPr>
              <w:t>一二三产业</w:t>
            </w:r>
            <w:r>
              <w:rPr>
                <w:rFonts w:ascii="宋体" w:hAnsi="宋体" w:eastAsia="宋体"/>
                <w:sz w:val="16"/>
              </w:rPr>
              <w:t>融合发展，经济发展更可持续、质量更高。凝心聚力、敢于担当，完成好重任、履行好使命、经受住考验，奋力推进巴合齐社会稳定和长治久安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6586F">
            <w:pPr>
              <w:jc w:val="both"/>
            </w:pPr>
            <w:r>
              <w:rPr>
                <w:rFonts w:ascii="宋体" w:hAnsi="宋体" w:eastAsia="宋体"/>
                <w:sz w:val="16"/>
              </w:rPr>
              <w:t>2024年将在乡党委、</w:t>
            </w:r>
            <w:r>
              <w:rPr>
                <w:rFonts w:hint="eastAsia" w:ascii="宋体" w:hAnsi="宋体"/>
                <w:sz w:val="16"/>
                <w:lang w:eastAsia="zh-CN"/>
              </w:rPr>
              <w:t>政府</w:t>
            </w:r>
            <w:r>
              <w:rPr>
                <w:rFonts w:ascii="宋体" w:hAnsi="宋体" w:eastAsia="宋体"/>
                <w:sz w:val="16"/>
              </w:rPr>
              <w:t>坚强的领导下，持续推动新时代党的治疆方略落地落实落细，社会大局稳定向好，经济稳中求进，各项工作朝着实现社会主义现代化新征程迈出了坚实步伐。(1)学理论、强素质，政治建设常抓不懈。一是由乡党委每月组织领导班子开展“中心理论组学习”，把政治建设学习摆在首位，领导班子要带头抓好政治建设。二是由党建办统一组织机关干部开展每周一次集中学习，提升乡镇干部整体素质。三是坚持将学习贯彻习近平新时代中国特色社会主义思想、</w:t>
            </w:r>
            <w:r>
              <w:rPr>
                <w:rFonts w:hint="eastAsia" w:ascii="宋体" w:hAnsi="宋体"/>
                <w:sz w:val="16"/>
                <w:lang w:eastAsia="zh-CN"/>
              </w:rPr>
              <w:t>党的</w:t>
            </w:r>
            <w:r>
              <w:rPr>
                <w:rFonts w:ascii="宋体" w:hAnsi="宋体" w:eastAsia="宋体"/>
                <w:sz w:val="16"/>
              </w:rPr>
              <w:t>二十大精神和</w:t>
            </w:r>
            <w:r>
              <w:rPr>
                <w:rFonts w:hint="eastAsia" w:ascii="宋体" w:hAnsi="宋体"/>
                <w:sz w:val="16"/>
                <w:lang w:eastAsia="zh-CN"/>
              </w:rPr>
              <w:t>党的二十届三中全会</w:t>
            </w:r>
            <w:r>
              <w:rPr>
                <w:rFonts w:ascii="宋体" w:hAnsi="宋体" w:eastAsia="宋体"/>
                <w:sz w:val="16"/>
              </w:rPr>
              <w:t>精神作为全乡干部的必修课，严格落实“第一议题”制度，以“三会一课”、固定党日为载体，不断深化广大党员的理论武装，强化思想根基。组织开展集中学习300余次，发放学习资料3300余份，推送学习内容200余条，机关干部专题学习次数12次，乡开展村干部培训学习活动次数48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锚目标、强措施，社会大局持续稳定。坚持问题导向、目标导向、结果导向，持续“防风险、保稳定、护平安”，不断查找风险隐患、薄弱环节，查漏补缺。由乡稳定办牵头，按照上级要求，持续开展重点人员入户走访工作，了解群众困难诉求。积极参与自治区民主法治示范村创建工作，完善乡村法治文化设施建设，打造法治文化长廊、法治宣传栏等实体阵地，开展普法宣传活动40余次。进一步规范调解工作机制，调处矛盾纠纷324起，提供法律援助咨询服务124次，不断增强乡镇法治建设深度、广度，推动乡村治理法治化进程不断向前迈进。确保全乡社会大局持续稳定、长期稳定、全面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查隐患、促整改，安全防线更加稳固。深入排查各领域各环节安全生产隐患，强化日常监督检查力度，开展全覆盖安全生产检查32次，排查整改隐患389条，整改完成率100％。全方位做好道路交通警示和防范工作，安装减速带165处，设立警示标牌126个，加装隔离护栏600米。扎实做好应急管理工作，全面提高应对突发事件的应急能力，全年累计开展应急演练600余次，夯实安全生产基础，坚决遏制了重特大事故的发生，切实维护了人民群众的生命财产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(4)重基础、增活力，经济发展有力有序。完整准确全面贯彻新发展理念，立足“两个统筹”，着力推动</w:t>
            </w:r>
            <w:r>
              <w:rPr>
                <w:rFonts w:hint="eastAsia" w:ascii="宋体" w:hAnsi="宋体"/>
                <w:sz w:val="16"/>
                <w:lang w:eastAsia="zh-CN"/>
              </w:rPr>
              <w:t>一二三产业</w:t>
            </w:r>
            <w:r>
              <w:rPr>
                <w:rFonts w:ascii="宋体" w:hAnsi="宋体" w:eastAsia="宋体"/>
                <w:sz w:val="16"/>
              </w:rPr>
              <w:t>融合发展，经济发展更持续、质量更高。一是持续完善基础设施。极大地拓展群众增收致富渠道，同时项目的实施为农户种植灌溉提供了有力保障，提高了水土资源生产效率。投入 68.575584 万元实施 224 户“煤改电”工程改造任务，群众清洁能源取暖工程持续深入推进。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守底线、固成果，乡村振兴成效明显。2024年乡村振兴项目投资400万元，新建2024年以工代赈防渗渠建设项目，项目建设过程中使用本地农民工50人，发放工资80万元。巴合齐乡党委、政府紧盯帮扶工作，严格落实“四个不摘”，“八个不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调结构，夯基础，农业发展势头强劲。今年以来充分利用土地资源、气候优势，积极调整农业产业结构，大力发展订单辣椒种植，共种植辣椒3856亩，通过“公司+合作社+基地+农户”组织方式，在全乡推广“订单辣椒”种植，逐步形成合作种植、企业提供辣椒苗和产品收购、农户参与的“订单式”产业链，小麦总产量1.4万吨，农作物播种面积9.1万亩，促进了农业增效、农民增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抓宣传，促交融，民族团结欣欣向荣。新增稳固就业人数1000人次，在优化空间结构体系基础上，依托现有生态资源优势，借助我乡陆地蔬菜种植、设施农业等关联产业的发展带动近郊乡村旅游，打造疏勒“产业＋旅游”示范点位。拓宽产业文旅发展带，突出“民俗田园休闲”主题，规范樱桃采摘园、西域二十六坊等旅游基地，广泛吸引县内外、疆内外游客到乡参观旅游人次达3.2万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(8)强保护，优生态，建设生态宜居和美乡村。严格按照上级环保部门要求执行，通过实施援疆项目，在我乡1村、2村、3村、4村、6村等村实施土地平整、渠道清淤、敷设供水管网主干线等，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(9)擘文旅，掘底蕴，繁荣近郊乡村全域旅游。打造本土旅游“名片”，以“福禄小镇建设”为抓手，以村为基点深入挖掘传统文化遗产潜能，充分发挥少数民族文化资源优势。千方百计稳经济、保增长，高质量发展取得新成效。完整准确全面贯彻新发展理念，立足“两个统筹”，着力推动</w:t>
            </w:r>
            <w:r>
              <w:rPr>
                <w:rFonts w:hint="eastAsia" w:ascii="宋体" w:hAnsi="宋体"/>
                <w:sz w:val="16"/>
                <w:lang w:eastAsia="zh-CN"/>
              </w:rPr>
              <w:t>一二三产业</w:t>
            </w:r>
            <w:r>
              <w:rPr>
                <w:rFonts w:ascii="宋体" w:hAnsi="宋体" w:eastAsia="宋体"/>
                <w:sz w:val="16"/>
              </w:rPr>
              <w:t>融合发展，经济发展更可持续、质量更高。凝心聚力、敢于担当，完成好重任、履行好使命、经受住考验，奋力推进巴合齐社会稳定和长治久安</w:t>
            </w:r>
          </w:p>
        </w:tc>
      </w:tr>
      <w:tr w14:paraId="7611B8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0EB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E6F9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2AE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7F13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BD9A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A43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AD6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7445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DD32F">
            <w:pPr>
              <w:jc w:val="center"/>
            </w:pPr>
            <w:r>
              <w:rPr>
                <w:rFonts w:ascii="宋体" w:hAnsi="宋体" w:eastAsia="宋体"/>
                <w:sz w:val="16"/>
              </w:rPr>
              <w:t>得分</w:t>
            </w:r>
          </w:p>
        </w:tc>
      </w:tr>
      <w:tr w14:paraId="6C15BE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CCDF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A5E0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CA99B">
            <w:pPr>
              <w:jc w:val="center"/>
            </w:pPr>
            <w:r>
              <w:rPr>
                <w:rFonts w:ascii="宋体" w:hAnsi="宋体" w:eastAsia="宋体"/>
                <w:sz w:val="16"/>
              </w:rPr>
              <w:t>新增稳固就业人数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FDBF8">
            <w:pPr>
              <w:jc w:val="center"/>
            </w:pPr>
            <w:r>
              <w:rPr>
                <w:rFonts w:ascii="宋体" w:hAnsi="宋体" w:eastAsia="宋体"/>
                <w:sz w:val="16"/>
              </w:rPr>
              <w:t>&gt;=1000人次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ED87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696D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F06F">
            <w:pPr>
              <w:jc w:val="center"/>
            </w:pPr>
            <w:r>
              <w:rPr>
                <w:rFonts w:ascii="宋体" w:hAnsi="宋体" w:eastAsia="宋体"/>
                <w:sz w:val="16"/>
              </w:rPr>
              <w:t>1000人次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E64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A8C70">
            <w:pPr>
              <w:jc w:val="center"/>
            </w:pPr>
            <w:r>
              <w:rPr>
                <w:rFonts w:ascii="宋体" w:hAnsi="宋体" w:eastAsia="宋体"/>
                <w:sz w:val="16"/>
              </w:rPr>
              <w:t>30</w:t>
            </w:r>
          </w:p>
        </w:tc>
      </w:tr>
      <w:tr w14:paraId="173931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827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509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97036">
            <w:pPr>
              <w:jc w:val="center"/>
            </w:pPr>
            <w:r>
              <w:rPr>
                <w:rFonts w:ascii="宋体" w:hAnsi="宋体" w:eastAsia="宋体"/>
                <w:sz w:val="16"/>
              </w:rPr>
              <w:t>小麦总产量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B4220">
            <w:pPr>
              <w:jc w:val="center"/>
            </w:pPr>
            <w:r>
              <w:rPr>
                <w:rFonts w:ascii="宋体" w:hAnsi="宋体" w:eastAsia="宋体"/>
                <w:sz w:val="16"/>
              </w:rPr>
              <w:t>&gt;=1.4万吨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B5001">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218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DC033">
            <w:pPr>
              <w:jc w:val="center"/>
            </w:pPr>
            <w:r>
              <w:rPr>
                <w:rFonts w:ascii="宋体" w:hAnsi="宋体" w:eastAsia="宋体"/>
                <w:sz w:val="16"/>
              </w:rPr>
              <w:t>1.4万吨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461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10205">
            <w:pPr>
              <w:jc w:val="center"/>
            </w:pPr>
            <w:r>
              <w:rPr>
                <w:rFonts w:ascii="宋体" w:hAnsi="宋体" w:eastAsia="宋体"/>
                <w:sz w:val="16"/>
              </w:rPr>
              <w:t>10</w:t>
            </w:r>
          </w:p>
        </w:tc>
      </w:tr>
      <w:tr w14:paraId="0B864C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A55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66D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8FED">
            <w:pPr>
              <w:jc w:val="center"/>
            </w:pPr>
            <w:r>
              <w:rPr>
                <w:rFonts w:ascii="宋体" w:hAnsi="宋体" w:eastAsia="宋体"/>
                <w:sz w:val="16"/>
              </w:rPr>
              <w:t>开展演练次数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C7D61">
            <w:pPr>
              <w:jc w:val="center"/>
            </w:pPr>
            <w:r>
              <w:rPr>
                <w:rFonts w:ascii="宋体" w:hAnsi="宋体" w:eastAsia="宋体"/>
                <w:sz w:val="16"/>
              </w:rPr>
              <w:t>&gt;=600次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D4644">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D9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099B9">
            <w:pPr>
              <w:jc w:val="center"/>
            </w:pPr>
            <w:r>
              <w:rPr>
                <w:rFonts w:ascii="宋体" w:hAnsi="宋体" w:eastAsia="宋体"/>
                <w:sz w:val="16"/>
              </w:rPr>
              <w:t>600次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85F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F55D3">
            <w:pPr>
              <w:jc w:val="center"/>
            </w:pPr>
            <w:r>
              <w:rPr>
                <w:rFonts w:ascii="宋体" w:hAnsi="宋体" w:eastAsia="宋体"/>
                <w:sz w:val="16"/>
              </w:rPr>
              <w:t>10</w:t>
            </w:r>
          </w:p>
        </w:tc>
      </w:tr>
      <w:tr w14:paraId="24178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9F4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559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FC140">
            <w:pPr>
              <w:jc w:val="center"/>
            </w:pPr>
            <w:r>
              <w:rPr>
                <w:rFonts w:ascii="宋体" w:hAnsi="宋体" w:eastAsia="宋体"/>
                <w:sz w:val="16"/>
              </w:rPr>
              <w:t>农作物播种面积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DEE67">
            <w:pPr>
              <w:jc w:val="center"/>
            </w:pPr>
            <w:r>
              <w:rPr>
                <w:rFonts w:ascii="宋体" w:hAnsi="宋体" w:eastAsia="宋体"/>
                <w:sz w:val="16"/>
              </w:rPr>
              <w:t>&gt;=9.1万亩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AB1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F91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B2330">
            <w:pPr>
              <w:jc w:val="center"/>
            </w:pPr>
            <w:r>
              <w:rPr>
                <w:rFonts w:ascii="宋体" w:hAnsi="宋体" w:eastAsia="宋体"/>
                <w:sz w:val="16"/>
              </w:rPr>
              <w:t>9.1万亩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3B4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D2325">
            <w:pPr>
              <w:jc w:val="center"/>
            </w:pPr>
            <w:r>
              <w:rPr>
                <w:rFonts w:ascii="宋体" w:hAnsi="宋体" w:eastAsia="宋体"/>
                <w:sz w:val="16"/>
              </w:rPr>
              <w:t>10</w:t>
            </w:r>
          </w:p>
        </w:tc>
      </w:tr>
      <w:tr w14:paraId="15D90A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516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88C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9ED53">
            <w:pPr>
              <w:jc w:val="center"/>
            </w:pPr>
            <w:r>
              <w:rPr>
                <w:rFonts w:ascii="宋体" w:hAnsi="宋体" w:eastAsia="宋体"/>
                <w:sz w:val="16"/>
              </w:rPr>
              <w:t>机关干部专题学习次数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5B99D">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7833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018E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1D7B4">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643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A68E9">
            <w:pPr>
              <w:jc w:val="center"/>
            </w:pPr>
            <w:r>
              <w:rPr>
                <w:rFonts w:ascii="宋体" w:hAnsi="宋体" w:eastAsia="宋体"/>
                <w:sz w:val="16"/>
              </w:rPr>
              <w:t>15</w:t>
            </w:r>
          </w:p>
        </w:tc>
      </w:tr>
      <w:tr w14:paraId="790430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12D9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E46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05ED">
            <w:pPr>
              <w:jc w:val="center"/>
            </w:pPr>
            <w:r>
              <w:rPr>
                <w:rFonts w:ascii="宋体" w:hAnsi="宋体" w:eastAsia="宋体"/>
                <w:sz w:val="16"/>
              </w:rPr>
              <w:t>乡开展村干部培训学习活动次数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0FF43">
            <w:pPr>
              <w:jc w:val="center"/>
            </w:pPr>
            <w:r>
              <w:rPr>
                <w:rFonts w:ascii="宋体" w:hAnsi="宋体" w:eastAsia="宋体"/>
                <w:sz w:val="16"/>
              </w:rPr>
              <w:t>&gt;=48次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6567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B14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9B5EC">
            <w:pPr>
              <w:jc w:val="center"/>
            </w:pPr>
            <w:r>
              <w:rPr>
                <w:rFonts w:ascii="宋体" w:hAnsi="宋体" w:eastAsia="宋体"/>
                <w:sz w:val="16"/>
              </w:rPr>
              <w: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6D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BEB4">
            <w:pPr>
              <w:jc w:val="center"/>
            </w:pPr>
            <w:r>
              <w:rPr>
                <w:rFonts w:ascii="宋体" w:hAnsi="宋体" w:eastAsia="宋体"/>
                <w:sz w:val="16"/>
              </w:rPr>
              <w:t>15</w:t>
            </w:r>
          </w:p>
        </w:tc>
      </w:tr>
    </w:tbl>
    <w:p w14:paraId="4CD8CA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61564D4">
        <w:tblPrEx>
          <w:tblCellMar>
            <w:top w:w="0" w:type="dxa"/>
            <w:left w:w="108" w:type="dxa"/>
            <w:bottom w:w="0" w:type="dxa"/>
            <w:right w:w="108" w:type="dxa"/>
          </w:tblCellMar>
        </w:tblPrEx>
        <w:tc>
          <w:tcPr>
            <w:tcW w:w="8848" w:type="dxa"/>
            <w:gridSpan w:val="14"/>
            <w:vAlign w:val="center"/>
          </w:tcPr>
          <w:p w14:paraId="50A8F185">
            <w:pPr>
              <w:jc w:val="center"/>
            </w:pPr>
            <w:r>
              <w:rPr>
                <w:rFonts w:ascii="宋体" w:hAnsi="宋体" w:eastAsia="宋体"/>
                <w:sz w:val="24"/>
              </w:rPr>
              <w:t>项目支出绩效自评表</w:t>
            </w:r>
          </w:p>
        </w:tc>
      </w:tr>
      <w:tr w14:paraId="1854E6D6">
        <w:tblPrEx>
          <w:tblCellMar>
            <w:top w:w="0" w:type="dxa"/>
            <w:left w:w="108" w:type="dxa"/>
            <w:bottom w:w="0" w:type="dxa"/>
            <w:right w:w="108" w:type="dxa"/>
          </w:tblCellMar>
        </w:tblPrEx>
        <w:tc>
          <w:tcPr>
            <w:tcW w:w="8848" w:type="dxa"/>
            <w:gridSpan w:val="14"/>
            <w:vAlign w:val="center"/>
          </w:tcPr>
          <w:p w14:paraId="2389F0B9">
            <w:pPr>
              <w:jc w:val="center"/>
            </w:pPr>
            <w:r>
              <w:rPr>
                <w:rFonts w:ascii="宋体" w:hAnsi="宋体" w:eastAsia="宋体"/>
                <w:sz w:val="24"/>
              </w:rPr>
              <w:t>(2024年度)</w:t>
            </w:r>
          </w:p>
        </w:tc>
      </w:tr>
      <w:tr w14:paraId="273692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CB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81E650">
            <w:pPr>
              <w:jc w:val="center"/>
            </w:pPr>
            <w:r>
              <w:rPr>
                <w:rFonts w:ascii="宋体" w:hAnsi="宋体" w:eastAsia="宋体"/>
                <w:sz w:val="16"/>
              </w:rPr>
              <w:t>2024年化债类项目</w:t>
            </w:r>
          </w:p>
        </w:tc>
      </w:tr>
      <w:tr w14:paraId="4FA6AE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F6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4E7D7">
            <w:pPr>
              <w:jc w:val="center"/>
            </w:pPr>
            <w:r>
              <w:rPr>
                <w:rFonts w:ascii="宋体" w:hAnsi="宋体" w:eastAsia="宋体"/>
                <w:sz w:val="16"/>
              </w:rPr>
              <w:t>疏勒县巴合齐乡人民政府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0A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71F4F">
            <w:pPr>
              <w:jc w:val="center"/>
            </w:pPr>
            <w:r>
              <w:rPr>
                <w:rFonts w:ascii="宋体" w:hAnsi="宋体" w:eastAsia="宋体"/>
                <w:sz w:val="16"/>
              </w:rPr>
              <w:t>疏勒县巴合齐乡人民政府</w:t>
            </w:r>
          </w:p>
        </w:tc>
      </w:tr>
      <w:tr w14:paraId="2857D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C99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B9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D3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F26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7B1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7D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62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E890">
            <w:pPr>
              <w:jc w:val="center"/>
            </w:pPr>
            <w:r>
              <w:rPr>
                <w:rFonts w:ascii="宋体" w:hAnsi="宋体" w:eastAsia="宋体"/>
                <w:sz w:val="16"/>
              </w:rPr>
              <w:t>得分</w:t>
            </w:r>
          </w:p>
        </w:tc>
      </w:tr>
      <w:tr w14:paraId="10C40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75B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8C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3BD1">
            <w:pPr>
              <w:jc w:val="center"/>
            </w:pPr>
            <w:r>
              <w:rPr>
                <w:rFonts w:ascii="宋体" w:hAnsi="宋体" w:eastAsia="宋体"/>
                <w:sz w:val="16"/>
              </w:rPr>
              <w:t>98.04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F03AC">
            <w:pPr>
              <w:jc w:val="center"/>
            </w:pPr>
            <w:r>
              <w:rPr>
                <w:rFonts w:ascii="宋体" w:hAnsi="宋体" w:eastAsia="宋体"/>
                <w:sz w:val="16"/>
              </w:rPr>
              <w:t>190.35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E92BC">
            <w:pPr>
              <w:jc w:val="center"/>
            </w:pPr>
            <w:r>
              <w:rPr>
                <w:rFonts w:ascii="宋体" w:hAnsi="宋体" w:eastAsia="宋体"/>
                <w:sz w:val="16"/>
              </w:rPr>
              <w:t>190.35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60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200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9792">
            <w:pPr>
              <w:jc w:val="center"/>
            </w:pPr>
            <w:r>
              <w:rPr>
                <w:rFonts w:ascii="宋体" w:hAnsi="宋体" w:eastAsia="宋体"/>
                <w:sz w:val="16"/>
              </w:rPr>
              <w:t>10.00分</w:t>
            </w:r>
          </w:p>
        </w:tc>
      </w:tr>
      <w:tr w14:paraId="19A90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507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6E9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5EA08">
            <w:pPr>
              <w:jc w:val="center"/>
            </w:pPr>
            <w:r>
              <w:rPr>
                <w:rFonts w:ascii="宋体" w:hAnsi="宋体" w:eastAsia="宋体"/>
                <w:sz w:val="16"/>
              </w:rPr>
              <w:t>98.04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8470D">
            <w:pPr>
              <w:jc w:val="center"/>
            </w:pPr>
            <w:r>
              <w:rPr>
                <w:rFonts w:ascii="宋体" w:hAnsi="宋体" w:eastAsia="宋体"/>
                <w:sz w:val="16"/>
              </w:rPr>
              <w:t>190.35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AD79D">
            <w:pPr>
              <w:jc w:val="center"/>
            </w:pPr>
            <w:r>
              <w:rPr>
                <w:rFonts w:ascii="宋体" w:hAnsi="宋体" w:eastAsia="宋体"/>
                <w:sz w:val="16"/>
              </w:rPr>
              <w:t>190.35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D5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41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B658">
            <w:pPr>
              <w:jc w:val="center"/>
            </w:pPr>
            <w:r>
              <w:rPr>
                <w:rFonts w:ascii="宋体" w:hAnsi="宋体" w:eastAsia="宋体"/>
                <w:sz w:val="16"/>
              </w:rPr>
              <w:t>—</w:t>
            </w:r>
          </w:p>
        </w:tc>
      </w:tr>
      <w:tr w14:paraId="7455A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28F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146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A35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D08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49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C9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DC1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9521">
            <w:pPr>
              <w:jc w:val="center"/>
            </w:pPr>
            <w:r>
              <w:rPr>
                <w:rFonts w:ascii="宋体" w:hAnsi="宋体" w:eastAsia="宋体"/>
                <w:sz w:val="16"/>
              </w:rPr>
              <w:t>—</w:t>
            </w:r>
          </w:p>
        </w:tc>
      </w:tr>
      <w:tr w14:paraId="3046DD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E76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F97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1B3C51">
            <w:pPr>
              <w:jc w:val="center"/>
            </w:pPr>
            <w:r>
              <w:rPr>
                <w:rFonts w:ascii="宋体" w:hAnsi="宋体" w:eastAsia="宋体"/>
                <w:sz w:val="16"/>
              </w:rPr>
              <w:t>实际完成情况</w:t>
            </w:r>
          </w:p>
        </w:tc>
      </w:tr>
      <w:tr w14:paraId="2CD67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C6E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CCE51C">
            <w:pPr>
              <w:jc w:val="both"/>
            </w:pPr>
            <w:r>
              <w:rPr>
                <w:rFonts w:ascii="宋体" w:hAnsi="宋体" w:eastAsia="宋体"/>
                <w:sz w:val="16"/>
              </w:rPr>
              <w:t>项目计划总投资190.35万元，用于化解</w:t>
            </w:r>
            <w:r>
              <w:rPr>
                <w:rFonts w:hint="eastAsia" w:ascii="宋体" w:hAnsi="宋体"/>
                <w:sz w:val="16"/>
                <w:lang w:eastAsia="zh-CN"/>
              </w:rPr>
              <w:t>本单位</w:t>
            </w:r>
            <w:r>
              <w:rPr>
                <w:rFonts w:ascii="宋体" w:hAnsi="宋体" w:eastAsia="宋体"/>
                <w:sz w:val="16"/>
              </w:rPr>
              <w:t>项目债务。通过实施本项目贯彻落实国家债务管理政策，有效缓解政府资金不足的现状，规范政府债务管理，严格控制政府债务风险，不断提升政府公信力。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7AA05E">
            <w:pPr>
              <w:jc w:val="both"/>
            </w:pPr>
            <w:r>
              <w:rPr>
                <w:rFonts w:ascii="宋体" w:hAnsi="宋体" w:eastAsia="宋体"/>
                <w:sz w:val="16"/>
              </w:rPr>
              <w:t>截至自评节点，共计化解</w:t>
            </w:r>
            <w:r>
              <w:rPr>
                <w:rFonts w:hint="eastAsia" w:ascii="宋体" w:hAnsi="宋体"/>
                <w:sz w:val="16"/>
                <w:lang w:eastAsia="zh-CN"/>
              </w:rPr>
              <w:t>本单位</w:t>
            </w:r>
            <w:r>
              <w:rPr>
                <w:rFonts w:ascii="宋体" w:hAnsi="宋体" w:eastAsia="宋体"/>
                <w:sz w:val="16"/>
              </w:rPr>
              <w:t>债务190.35万元。通过实施本项目贯彻落实国家债务管理政策，有效缓解政府资金不足的现状，规范政府债务管理，严格控制政府债务风险，不断提升政府公信力。</w:t>
            </w:r>
          </w:p>
        </w:tc>
      </w:tr>
      <w:tr w14:paraId="69D0F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D1B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88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DE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E3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D0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3A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47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980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E5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8C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91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D2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8BB0">
            <w:pPr>
              <w:jc w:val="center"/>
            </w:pPr>
            <w:r>
              <w:rPr>
                <w:rFonts w:ascii="宋体" w:hAnsi="宋体" w:eastAsia="宋体"/>
                <w:sz w:val="16"/>
              </w:rPr>
              <w:t>偏差原因分析及改进措施</w:t>
            </w:r>
          </w:p>
        </w:tc>
      </w:tr>
      <w:tr w14:paraId="706BC8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97D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5DC6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2D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9FE6">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E87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8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42A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C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B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3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3F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D0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4D7A">
            <w:pPr>
              <w:jc w:val="center"/>
            </w:pPr>
          </w:p>
        </w:tc>
      </w:tr>
      <w:tr w14:paraId="3EFCD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95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500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841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393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7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1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4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F8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4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01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B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6A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343C6">
            <w:pPr>
              <w:jc w:val="center"/>
            </w:pPr>
          </w:p>
        </w:tc>
      </w:tr>
      <w:tr w14:paraId="24C2D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E21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04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6F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B54B">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F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5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1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F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E54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03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2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ED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6CB68">
            <w:pPr>
              <w:jc w:val="center"/>
            </w:pPr>
          </w:p>
        </w:tc>
      </w:tr>
      <w:tr w14:paraId="3EA07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9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A3D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88B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88F0">
            <w:pPr>
              <w:jc w:val="center"/>
            </w:pPr>
            <w:r>
              <w:rPr>
                <w:rFonts w:ascii="宋体" w:hAnsi="宋体" w:eastAsia="宋体"/>
                <w:sz w:val="16"/>
              </w:rPr>
              <w:t>化解债务及时率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EB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3C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3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B4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9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70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5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C1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F6F6">
            <w:pPr>
              <w:jc w:val="center"/>
            </w:pPr>
          </w:p>
        </w:tc>
      </w:tr>
      <w:tr w14:paraId="549B2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AA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8C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79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03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912D">
            <w:pPr>
              <w:jc w:val="center"/>
            </w:pPr>
            <w:r>
              <w:rPr>
                <w:rFonts w:ascii="宋体" w:hAnsi="宋体" w:eastAsia="宋体"/>
                <w:sz w:val="16"/>
              </w:rPr>
              <w:t>=2024年12月5日前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D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DC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12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8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0D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3D7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D1C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D2E11">
            <w:pPr>
              <w:jc w:val="center"/>
            </w:pPr>
          </w:p>
        </w:tc>
      </w:tr>
      <w:tr w14:paraId="71D2A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002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C5A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701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7F05">
            <w:pPr>
              <w:jc w:val="center"/>
            </w:pPr>
            <w:r>
              <w:rPr>
                <w:rFonts w:ascii="宋体" w:hAnsi="宋体" w:eastAsia="宋体"/>
                <w:sz w:val="16"/>
              </w:rPr>
              <w:t>视频监控项目债务支出成本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0F4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8C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6F82">
            <w:pPr>
              <w:jc w:val="center"/>
            </w:pPr>
            <w:r>
              <w:rPr>
                <w:rFonts w:ascii="宋体" w:hAnsi="宋体" w:eastAsia="宋体"/>
                <w:sz w:val="16"/>
              </w:rPr>
              <w:t>98.04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9C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3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121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9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6A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1FE61">
            <w:pPr>
              <w:jc w:val="center"/>
            </w:pPr>
          </w:p>
        </w:tc>
      </w:tr>
      <w:tr w14:paraId="347AD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73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E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A3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37E9">
            <w:pPr>
              <w:jc w:val="center"/>
            </w:pPr>
            <w:r>
              <w:rPr>
                <w:rFonts w:ascii="宋体" w:hAnsi="宋体" w:eastAsia="宋体"/>
                <w:sz w:val="16"/>
              </w:rPr>
              <w:t>示范村、特色小镇建设项目债务支出成本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7185">
            <w:pPr>
              <w:jc w:val="center"/>
            </w:pPr>
            <w:r>
              <w:rPr>
                <w:rFonts w:ascii="宋体" w:hAnsi="宋体" w:eastAsia="宋体"/>
                <w:sz w:val="16"/>
              </w:rPr>
              <w:t>&lt;=72.15万元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88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118B">
            <w:pPr>
              <w:jc w:val="center"/>
            </w:pPr>
            <w:r>
              <w:rPr>
                <w:rFonts w:ascii="宋体" w:hAnsi="宋体" w:eastAsia="宋体"/>
                <w:sz w:val="16"/>
              </w:rPr>
              <w:t>72.15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4B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6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2D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E303">
            <w:pPr>
              <w:jc w:val="center"/>
            </w:pPr>
            <w:r>
              <w:rPr>
                <w:rFonts w:ascii="宋体" w:hAnsi="宋体" w:eastAsia="宋体"/>
                <w:sz w:val="16"/>
              </w:rPr>
              <w:t>=72.15万元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3A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0EFEC">
            <w:pPr>
              <w:jc w:val="center"/>
            </w:pPr>
          </w:p>
        </w:tc>
      </w:tr>
      <w:tr w14:paraId="7476E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7E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70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4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7176">
            <w:pPr>
              <w:jc w:val="center"/>
            </w:pPr>
            <w:r>
              <w:rPr>
                <w:rFonts w:ascii="宋体" w:hAnsi="宋体" w:eastAsia="宋体"/>
                <w:sz w:val="16"/>
              </w:rPr>
              <w:t>项目前期费支出成本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60AE">
            <w:pPr>
              <w:jc w:val="center"/>
            </w:pPr>
            <w:r>
              <w:rPr>
                <w:rFonts w:ascii="宋体" w:hAnsi="宋体" w:eastAsia="宋体"/>
                <w:sz w:val="16"/>
              </w:rPr>
              <w:t>&lt;=20.16万元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2F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A4D5">
            <w:pPr>
              <w:jc w:val="center"/>
            </w:pPr>
            <w:r>
              <w:rPr>
                <w:rFonts w:ascii="宋体" w:hAnsi="宋体" w:eastAsia="宋体"/>
                <w:sz w:val="16"/>
              </w:rPr>
              <w:t>20.16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1D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2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07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4B5D">
            <w:pPr>
              <w:jc w:val="center"/>
            </w:pPr>
            <w:r>
              <w:rPr>
                <w:rFonts w:ascii="宋体" w:hAnsi="宋体" w:eastAsia="宋体"/>
                <w:sz w:val="16"/>
              </w:rPr>
              <w: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9C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566D7">
            <w:pPr>
              <w:jc w:val="center"/>
            </w:pPr>
          </w:p>
        </w:tc>
      </w:tr>
      <w:tr w14:paraId="67F4C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130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854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DDD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29FA">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D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9A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78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5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9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26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E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BB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26CDB">
            <w:pPr>
              <w:jc w:val="center"/>
            </w:pPr>
          </w:p>
        </w:tc>
      </w:tr>
      <w:tr w14:paraId="7B681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AB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B6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B4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2047">
            <w:pPr>
              <w:jc w:val="center"/>
            </w:pPr>
            <w:r>
              <w:rPr>
                <w:rFonts w:ascii="宋体" w:hAnsi="宋体" w:eastAsia="宋体"/>
                <w:sz w:val="16"/>
              </w:rPr>
              <w:t>规范地方债务管理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4D8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0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2A2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D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FF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1F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882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D1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D6EF">
            <w:pPr>
              <w:jc w:val="center"/>
            </w:pPr>
          </w:p>
        </w:tc>
      </w:tr>
      <w:tr w14:paraId="54721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155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BB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83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86E7">
            <w:pPr>
              <w:jc w:val="center"/>
            </w:pPr>
            <w:r>
              <w:rPr>
                <w:rFonts w:ascii="宋体" w:hAnsi="宋体" w:eastAsia="宋体"/>
                <w:sz w:val="16"/>
              </w:rPr>
              <w:t>受益化债企业满意度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8C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6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FC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4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FF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43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E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D2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32B9A">
            <w:pPr>
              <w:jc w:val="center"/>
            </w:pPr>
            <w:r>
              <w:rPr>
                <w:rFonts w:ascii="宋体" w:hAnsi="宋体" w:eastAsia="宋体"/>
                <w:sz w:val="16"/>
              </w:rPr>
              <w:t>受益化债企业满意度100%，故存在5%。</w:t>
            </w:r>
          </w:p>
        </w:tc>
      </w:tr>
      <w:tr w14:paraId="1FC6B5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F92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1D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F42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930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813667"/>
        </w:tc>
      </w:tr>
    </w:tbl>
    <w:p w14:paraId="24ACD7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D7A538">
        <w:tblPrEx>
          <w:tblCellMar>
            <w:top w:w="0" w:type="dxa"/>
            <w:left w:w="108" w:type="dxa"/>
            <w:bottom w:w="0" w:type="dxa"/>
            <w:right w:w="108" w:type="dxa"/>
          </w:tblCellMar>
        </w:tblPrEx>
        <w:tc>
          <w:tcPr>
            <w:tcW w:w="8848" w:type="dxa"/>
            <w:gridSpan w:val="14"/>
            <w:vAlign w:val="center"/>
          </w:tcPr>
          <w:p w14:paraId="21464167">
            <w:pPr>
              <w:jc w:val="center"/>
            </w:pPr>
            <w:r>
              <w:rPr>
                <w:rFonts w:ascii="宋体" w:hAnsi="宋体" w:eastAsia="宋体"/>
                <w:sz w:val="24"/>
              </w:rPr>
              <w:t>项目支出绩效自评表</w:t>
            </w:r>
          </w:p>
        </w:tc>
      </w:tr>
      <w:tr w14:paraId="4965E8DC">
        <w:tblPrEx>
          <w:tblCellMar>
            <w:top w:w="0" w:type="dxa"/>
            <w:left w:w="108" w:type="dxa"/>
            <w:bottom w:w="0" w:type="dxa"/>
            <w:right w:w="108" w:type="dxa"/>
          </w:tblCellMar>
        </w:tblPrEx>
        <w:tc>
          <w:tcPr>
            <w:tcW w:w="8848" w:type="dxa"/>
            <w:gridSpan w:val="14"/>
            <w:vAlign w:val="center"/>
          </w:tcPr>
          <w:p w14:paraId="6FE50413">
            <w:pPr>
              <w:jc w:val="center"/>
            </w:pPr>
            <w:r>
              <w:rPr>
                <w:rFonts w:ascii="宋体" w:hAnsi="宋体" w:eastAsia="宋体"/>
                <w:sz w:val="24"/>
              </w:rPr>
              <w:t>(2024年度)</w:t>
            </w:r>
          </w:p>
        </w:tc>
      </w:tr>
      <w:tr w14:paraId="77B42C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27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3873B3">
            <w:pPr>
              <w:jc w:val="center"/>
            </w:pPr>
            <w:r>
              <w:rPr>
                <w:rFonts w:ascii="宋体" w:hAnsi="宋体" w:eastAsia="宋体"/>
                <w:sz w:val="16"/>
              </w:rPr>
              <w:t>乡镇聘用保安工资项目</w:t>
            </w:r>
          </w:p>
        </w:tc>
      </w:tr>
      <w:tr w14:paraId="7F6374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45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99DB1">
            <w:pPr>
              <w:jc w:val="center"/>
            </w:pPr>
            <w:r>
              <w:rPr>
                <w:rFonts w:ascii="宋体" w:hAnsi="宋体" w:eastAsia="宋体"/>
                <w:sz w:val="16"/>
              </w:rPr>
              <w:t>疏勒县巴合齐乡人民政府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62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37FC18">
            <w:pPr>
              <w:jc w:val="center"/>
            </w:pPr>
            <w:r>
              <w:rPr>
                <w:rFonts w:ascii="宋体" w:hAnsi="宋体" w:eastAsia="宋体"/>
                <w:sz w:val="16"/>
              </w:rPr>
              <w:t>疏勒县巴合齐乡人民政府</w:t>
            </w:r>
          </w:p>
        </w:tc>
      </w:tr>
      <w:tr w14:paraId="335F57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A1D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F28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9E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05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9A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07F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5EB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7E72">
            <w:pPr>
              <w:jc w:val="center"/>
            </w:pPr>
            <w:r>
              <w:rPr>
                <w:rFonts w:ascii="宋体" w:hAnsi="宋体" w:eastAsia="宋体"/>
                <w:sz w:val="16"/>
              </w:rPr>
              <w:t>得分</w:t>
            </w:r>
          </w:p>
        </w:tc>
      </w:tr>
      <w:tr w14:paraId="5BD44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09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19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D343E">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C5AA">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626F7">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3C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0EA8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6988">
            <w:pPr>
              <w:jc w:val="center"/>
            </w:pPr>
            <w:r>
              <w:rPr>
                <w:rFonts w:ascii="宋体" w:hAnsi="宋体" w:eastAsia="宋体"/>
                <w:sz w:val="16"/>
              </w:rPr>
              <w:t>10.00分</w:t>
            </w:r>
          </w:p>
        </w:tc>
      </w:tr>
      <w:tr w14:paraId="26466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08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65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C135">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4BE13">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20C5F">
            <w:pPr>
              <w:jc w:val="center"/>
            </w:pPr>
            <w:r>
              <w:rPr>
                <w:rFonts w:ascii="宋体" w:hAnsi="宋体" w:eastAsia="宋体"/>
                <w:sz w:val="16"/>
              </w:rPr>
              <w:t>15.48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6CE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EC5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DEA2">
            <w:pPr>
              <w:jc w:val="center"/>
            </w:pPr>
            <w:r>
              <w:rPr>
                <w:rFonts w:ascii="宋体" w:hAnsi="宋体" w:eastAsia="宋体"/>
                <w:sz w:val="16"/>
              </w:rPr>
              <w:t>—</w:t>
            </w:r>
          </w:p>
        </w:tc>
      </w:tr>
      <w:tr w14:paraId="3091D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76B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FB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DE5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9DD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D77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05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B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2A29">
            <w:pPr>
              <w:jc w:val="center"/>
            </w:pPr>
            <w:r>
              <w:rPr>
                <w:rFonts w:ascii="宋体" w:hAnsi="宋体" w:eastAsia="宋体"/>
                <w:sz w:val="16"/>
              </w:rPr>
              <w:t>—</w:t>
            </w:r>
          </w:p>
        </w:tc>
      </w:tr>
      <w:tr w14:paraId="4B053A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CCA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100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BE617">
            <w:pPr>
              <w:jc w:val="center"/>
            </w:pPr>
            <w:r>
              <w:rPr>
                <w:rFonts w:ascii="宋体" w:hAnsi="宋体" w:eastAsia="宋体"/>
                <w:sz w:val="16"/>
              </w:rPr>
              <w:t>实际完成情况</w:t>
            </w:r>
          </w:p>
        </w:tc>
      </w:tr>
      <w:tr w14:paraId="18D9A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60F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D3B93">
            <w:pPr>
              <w:jc w:val="both"/>
            </w:pPr>
            <w:r>
              <w:rPr>
                <w:rFonts w:ascii="宋体" w:hAnsi="宋体" w:eastAsia="宋体"/>
                <w:sz w:val="16"/>
              </w:rPr>
              <w:t>项目总投资15.48万元，为保障社会长治久安、促进再就业及乡镇安保治理覆盖率，减轻就业困难户经济负担，巴合齐乡机关聘用保安10名，按照每人每月工资为0.12万元的标准进行发放。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7C16D0">
            <w:pPr>
              <w:jc w:val="both"/>
            </w:pPr>
            <w:r>
              <w:rPr>
                <w:rFonts w:ascii="宋体" w:hAnsi="宋体" w:eastAsia="宋体"/>
                <w:sz w:val="16"/>
              </w:rPr>
              <w:br w:type="textWrapping"/>
            </w:r>
            <w:r>
              <w:rPr>
                <w:rFonts w:ascii="宋体" w:hAnsi="宋体" w:eastAsia="宋体"/>
                <w:sz w:val="16"/>
              </w:rPr>
              <w:t>截至目前，疏勒县巴合齐乡发放乡镇聘用保安工资共计15.48万元，为保障社会长治久安、促进了再就业及乡镇安保治理覆盖率，减轻就业困难户经济负担，巴合齐乡机关聘用保安10名，按照每人每月工资为0.12万元的标准进行发放。</w:t>
            </w:r>
          </w:p>
        </w:tc>
      </w:tr>
      <w:tr w14:paraId="3D271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23F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B5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74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77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BD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E6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2B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8E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DB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A3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62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3C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BE3DA">
            <w:pPr>
              <w:jc w:val="center"/>
            </w:pPr>
            <w:r>
              <w:rPr>
                <w:rFonts w:ascii="宋体" w:hAnsi="宋体" w:eastAsia="宋体"/>
                <w:sz w:val="16"/>
              </w:rPr>
              <w:t>偏差原因分析及改进措施</w:t>
            </w:r>
          </w:p>
        </w:tc>
      </w:tr>
      <w:tr w14:paraId="4B5E5F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AE8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E72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033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59E7">
            <w:pPr>
              <w:jc w:val="center"/>
            </w:pPr>
            <w:r>
              <w:rPr>
                <w:rFonts w:ascii="宋体" w:hAnsi="宋体" w:eastAsia="宋体"/>
                <w:sz w:val="16"/>
              </w:rPr>
              <w:t>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10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B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AE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37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B5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2C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4E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C3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7CDF5">
            <w:pPr>
              <w:jc w:val="center"/>
            </w:pPr>
          </w:p>
        </w:tc>
      </w:tr>
      <w:tr w14:paraId="403EC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F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2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C1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2E40">
            <w:pPr>
              <w:jc w:val="center"/>
            </w:pPr>
            <w:r>
              <w:rPr>
                <w:rFonts w:ascii="宋体" w:hAnsi="宋体" w:eastAsia="宋体"/>
                <w:sz w:val="16"/>
              </w:rPr>
              <w:t>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3528">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7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18F7">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DA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2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C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9849">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BF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BB6F">
            <w:pPr>
              <w:jc w:val="center"/>
            </w:pPr>
          </w:p>
        </w:tc>
      </w:tr>
      <w:tr w14:paraId="07775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86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17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0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008A">
            <w:pPr>
              <w:jc w:val="center"/>
            </w:pPr>
            <w:r>
              <w:rPr>
                <w:rFonts w:ascii="宋体" w:hAnsi="宋体" w:eastAsia="宋体"/>
                <w:sz w:val="16"/>
              </w:rPr>
              <w:t>发放工资累计月份数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3C6F">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2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C583">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1A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2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F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3CF8">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00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313E">
            <w:pPr>
              <w:jc w:val="center"/>
            </w:pPr>
          </w:p>
        </w:tc>
      </w:tr>
      <w:tr w14:paraId="0D91D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4B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2E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A9F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605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F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D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4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4F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A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91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3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53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528EE">
            <w:pPr>
              <w:jc w:val="center"/>
            </w:pPr>
          </w:p>
        </w:tc>
      </w:tr>
      <w:tr w14:paraId="58083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C0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B2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5B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7689">
            <w:pPr>
              <w:jc w:val="center"/>
            </w:pPr>
            <w:r>
              <w:rPr>
                <w:rFonts w:ascii="宋体" w:hAnsi="宋体" w:eastAsia="宋体"/>
                <w:sz w:val="16"/>
              </w:rPr>
              <w:t>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C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E1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1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08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6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80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2D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36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63F0">
            <w:pPr>
              <w:jc w:val="center"/>
            </w:pPr>
          </w:p>
        </w:tc>
      </w:tr>
      <w:tr w14:paraId="07671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39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2AD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D96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A81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E3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B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5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B1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9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96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E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D3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21799">
            <w:pPr>
              <w:jc w:val="center"/>
            </w:pPr>
          </w:p>
        </w:tc>
      </w:tr>
      <w:tr w14:paraId="47FD6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F2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40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87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71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B704">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6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29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45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9F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6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E568">
            <w:pPr>
              <w:jc w:val="center"/>
            </w:pPr>
            <w:r>
              <w:rPr>
                <w:rFonts w:ascii="宋体" w:hAnsi="宋体" w:eastAsia="宋体"/>
                <w:sz w:val="16"/>
              </w:rPr>
              <w:t>=2024年6月13日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FC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1EFD">
            <w:pPr>
              <w:jc w:val="center"/>
            </w:pPr>
          </w:p>
        </w:tc>
      </w:tr>
      <w:tr w14:paraId="552FD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6C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02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01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970F">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2A50">
            <w:pPr>
              <w:jc w:val="center"/>
            </w:pPr>
            <w:r>
              <w:rPr>
                <w:rFonts w:ascii="宋体" w:hAnsi="宋体" w:eastAsia="宋体"/>
                <w:sz w:val="16"/>
              </w:rPr>
              <w:t>=1200人/元/月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9E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C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C5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8A0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24BE">
            <w:pPr>
              <w:jc w:val="center"/>
            </w:pPr>
            <w:r>
              <w:rPr>
                <w:rFonts w:ascii="宋体" w:hAnsi="宋体" w:eastAsia="宋体"/>
                <w:sz w:val="16"/>
              </w:rPr>
              <w:t>=1200人/元/月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3A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A6CD">
            <w:pPr>
              <w:jc w:val="center"/>
            </w:pPr>
          </w:p>
        </w:tc>
      </w:tr>
      <w:tr w14:paraId="7652F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883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8EE0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A2B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705D">
            <w:pPr>
              <w:jc w:val="center"/>
            </w:pPr>
            <w:r>
              <w:rPr>
                <w:rFonts w:ascii="宋体" w:hAnsi="宋体" w:eastAsia="宋体"/>
                <w:sz w:val="16"/>
              </w:rPr>
              <w:t>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982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4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367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6C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95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4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A71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B5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AF9C">
            <w:pPr>
              <w:jc w:val="center"/>
            </w:pPr>
          </w:p>
        </w:tc>
      </w:tr>
      <w:tr w14:paraId="61352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36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48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27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F161">
            <w:pPr>
              <w:jc w:val="center"/>
            </w:pPr>
            <w:r>
              <w:rPr>
                <w:rFonts w:ascii="宋体" w:hAnsi="宋体" w:eastAsia="宋体"/>
                <w:sz w:val="16"/>
              </w:rPr>
              <w:t>乡机关日常安全保障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9876">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C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8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FE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33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A5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B164">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B9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D9A18">
            <w:pPr>
              <w:jc w:val="center"/>
            </w:pPr>
          </w:p>
        </w:tc>
      </w:tr>
      <w:tr w14:paraId="0A51D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07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94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ED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5E61">
            <w:pPr>
              <w:jc w:val="center"/>
            </w:pPr>
            <w:r>
              <w:rPr>
                <w:rFonts w:ascii="宋体" w:hAnsi="宋体" w:eastAsia="宋体"/>
                <w:sz w:val="16"/>
              </w:rPr>
              <w:t>就业人员满意度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B3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C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D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7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78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A2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8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4E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F3C1E">
            <w:pPr>
              <w:jc w:val="center"/>
            </w:pPr>
            <w:r>
              <w:rPr>
                <w:rFonts w:ascii="宋体" w:hAnsi="宋体" w:eastAsia="宋体"/>
                <w:sz w:val="16"/>
              </w:rPr>
              <w:t>就业人员满意度100%，故存在5%偏差</w:t>
            </w:r>
          </w:p>
        </w:tc>
      </w:tr>
      <w:tr w14:paraId="783CF8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148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76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B93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6D9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935222"/>
        </w:tc>
      </w:tr>
    </w:tbl>
    <w:p w14:paraId="54F496D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14:paraId="3A817658">
        <w:tblPrEx>
          <w:tblCellMar>
            <w:top w:w="0" w:type="dxa"/>
            <w:left w:w="108" w:type="dxa"/>
            <w:bottom w:w="0" w:type="dxa"/>
            <w:right w:w="108" w:type="dxa"/>
          </w:tblCellMar>
        </w:tblPrEx>
        <w:tc>
          <w:tcPr>
            <w:tcW w:w="8848" w:type="dxa"/>
            <w:gridSpan w:val="14"/>
            <w:vAlign w:val="center"/>
          </w:tcPr>
          <w:p w14:paraId="38E54499">
            <w:pPr>
              <w:jc w:val="center"/>
            </w:pPr>
            <w:r>
              <w:rPr>
                <w:rFonts w:ascii="宋体" w:hAnsi="宋体" w:eastAsia="宋体"/>
                <w:sz w:val="24"/>
              </w:rPr>
              <w:t>项目支出绩效自评表</w:t>
            </w:r>
          </w:p>
        </w:tc>
      </w:tr>
      <w:tr w14:paraId="2077D65B">
        <w:tblPrEx>
          <w:tblCellMar>
            <w:top w:w="0" w:type="dxa"/>
            <w:left w:w="108" w:type="dxa"/>
            <w:bottom w:w="0" w:type="dxa"/>
            <w:right w:w="108" w:type="dxa"/>
          </w:tblCellMar>
        </w:tblPrEx>
        <w:tc>
          <w:tcPr>
            <w:tcW w:w="8848" w:type="dxa"/>
            <w:gridSpan w:val="14"/>
            <w:vAlign w:val="center"/>
          </w:tcPr>
          <w:p w14:paraId="7323DC16">
            <w:pPr>
              <w:jc w:val="center"/>
            </w:pPr>
            <w:r>
              <w:rPr>
                <w:rFonts w:ascii="宋体" w:hAnsi="宋体" w:eastAsia="宋体"/>
                <w:sz w:val="24"/>
              </w:rPr>
              <w:t>(2024年度)</w:t>
            </w:r>
          </w:p>
        </w:tc>
      </w:tr>
      <w:tr w14:paraId="42D12D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FB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C314CE">
            <w:pPr>
              <w:jc w:val="center"/>
            </w:pPr>
            <w:r>
              <w:rPr>
                <w:rFonts w:ascii="宋体" w:hAnsi="宋体" w:eastAsia="宋体"/>
                <w:sz w:val="16"/>
              </w:rPr>
              <w:t>巴合齐乡美丽乡村建设项目</w:t>
            </w:r>
          </w:p>
        </w:tc>
      </w:tr>
      <w:tr w14:paraId="4D64F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69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DA0D2">
            <w:pPr>
              <w:jc w:val="center"/>
            </w:pPr>
            <w:r>
              <w:rPr>
                <w:rFonts w:ascii="宋体" w:hAnsi="宋体" w:eastAsia="宋体"/>
                <w:sz w:val="16"/>
              </w:rPr>
              <w:t>疏勒县巴合齐乡人民政府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36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1B6FD">
            <w:pPr>
              <w:jc w:val="center"/>
            </w:pPr>
            <w:r>
              <w:rPr>
                <w:rFonts w:ascii="宋体" w:hAnsi="宋体" w:eastAsia="宋体"/>
                <w:sz w:val="16"/>
              </w:rPr>
              <w:t>疏勒县巴合齐乡人民政府</w:t>
            </w:r>
          </w:p>
        </w:tc>
      </w:tr>
      <w:tr w14:paraId="3E288F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06C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2D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B31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C22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A6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3F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F63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1D02">
            <w:pPr>
              <w:jc w:val="center"/>
            </w:pPr>
            <w:r>
              <w:rPr>
                <w:rFonts w:ascii="宋体" w:hAnsi="宋体" w:eastAsia="宋体"/>
                <w:sz w:val="16"/>
              </w:rPr>
              <w:t>得分</w:t>
            </w:r>
          </w:p>
        </w:tc>
      </w:tr>
      <w:tr w14:paraId="0DC70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896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D9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9CF43">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5011">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4ADB3">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B9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F65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7A71">
            <w:pPr>
              <w:jc w:val="center"/>
            </w:pPr>
            <w:r>
              <w:rPr>
                <w:rFonts w:ascii="宋体" w:hAnsi="宋体" w:eastAsia="宋体"/>
                <w:sz w:val="16"/>
              </w:rPr>
              <w:t>10.00分</w:t>
            </w:r>
          </w:p>
        </w:tc>
      </w:tr>
      <w:tr w14:paraId="0B544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56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E7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488E8">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A413">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170F">
            <w:pPr>
              <w:jc w:val="center"/>
            </w:pPr>
            <w:r>
              <w:rPr>
                <w:rFonts w:ascii="宋体" w:hAnsi="宋体" w:eastAsia="宋体"/>
                <w:sz w:val="16"/>
              </w:rPr>
              <w:t>430.65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4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EE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AA33">
            <w:pPr>
              <w:jc w:val="center"/>
            </w:pPr>
            <w:r>
              <w:rPr>
                <w:rFonts w:ascii="宋体" w:hAnsi="宋体" w:eastAsia="宋体"/>
                <w:sz w:val="16"/>
              </w:rPr>
              <w:t>—</w:t>
            </w:r>
          </w:p>
        </w:tc>
      </w:tr>
      <w:tr w14:paraId="333D9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11B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7A8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9C8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D6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1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A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B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1BA0">
            <w:pPr>
              <w:jc w:val="center"/>
            </w:pPr>
            <w:r>
              <w:rPr>
                <w:rFonts w:ascii="宋体" w:hAnsi="宋体" w:eastAsia="宋体"/>
                <w:sz w:val="16"/>
              </w:rPr>
              <w:t>—</w:t>
            </w:r>
          </w:p>
        </w:tc>
      </w:tr>
      <w:tr w14:paraId="096304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B23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2B8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BEE8E">
            <w:pPr>
              <w:jc w:val="center"/>
            </w:pPr>
            <w:r>
              <w:rPr>
                <w:rFonts w:ascii="宋体" w:hAnsi="宋体" w:eastAsia="宋体"/>
                <w:sz w:val="16"/>
              </w:rPr>
              <w:t>实际完成情况</w:t>
            </w:r>
          </w:p>
        </w:tc>
      </w:tr>
      <w:tr w14:paraId="66C22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24F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FDA9C">
            <w:pPr>
              <w:jc w:val="both"/>
            </w:pPr>
            <w:r>
              <w:rPr>
                <w:rFonts w:ascii="宋体" w:hAnsi="宋体" w:eastAsia="宋体"/>
                <w:sz w:val="16"/>
              </w:rPr>
              <w:t>总投资430.65万元，用于安装路灯200套，改造修缮涉及行政村数量1个村，村组道路旁渠道清理涉及村庄数量7个村，通过基础设施建设，公共服务设施建设等，有效改善居住环境，提升村民生活质量，拉动村域经济发展，进一步激发村民参与建设美丽家园的热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0EFAB">
            <w:pPr>
              <w:jc w:val="both"/>
            </w:pPr>
            <w:r>
              <w:rPr>
                <w:rFonts w:ascii="宋体" w:hAnsi="宋体" w:eastAsia="宋体"/>
                <w:sz w:val="16"/>
              </w:rPr>
              <w:t>截至自评节点，该项目总投资430.65万元，用于安装路灯200套，改造修缮涉及行政村数量1个村，村组道路旁渠道清理涉及村庄数量7个村，通过基础设施建设，公共服务设施建设等，有效改善居住环境，提升村民生活质量，拉动村域经济发展，进一步激发村民参与建设美丽家园的热情。</w:t>
            </w:r>
          </w:p>
        </w:tc>
      </w:tr>
      <w:tr w14:paraId="38563B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95A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52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02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08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83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BC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66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F6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F3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9F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32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C8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2E4CD">
            <w:pPr>
              <w:jc w:val="center"/>
            </w:pPr>
            <w:r>
              <w:rPr>
                <w:rFonts w:ascii="宋体" w:hAnsi="宋体" w:eastAsia="宋体"/>
                <w:sz w:val="16"/>
              </w:rPr>
              <w:t>偏差原因分析及改进措施</w:t>
            </w:r>
          </w:p>
        </w:tc>
      </w:tr>
      <w:tr w14:paraId="2247AE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FC3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629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9C6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AC77">
            <w:pPr>
              <w:jc w:val="center"/>
            </w:pPr>
            <w:r>
              <w:rPr>
                <w:rFonts w:ascii="宋体" w:hAnsi="宋体" w:eastAsia="宋体"/>
                <w:sz w:val="16"/>
              </w:rPr>
              <w:t>安装路灯数量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F61E">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D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17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92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5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5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B952">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38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9ED8F">
            <w:pPr>
              <w:jc w:val="center"/>
            </w:pPr>
            <w:r>
              <w:rPr>
                <w:rFonts w:ascii="宋体" w:hAnsi="宋体" w:eastAsia="宋体"/>
                <w:sz w:val="16"/>
              </w:rPr>
              <w:t>4</w:t>
            </w:r>
          </w:p>
        </w:tc>
      </w:tr>
      <w:tr w14:paraId="7F7EA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A6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68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34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5CF5">
            <w:pPr>
              <w:jc w:val="center"/>
            </w:pPr>
            <w:r>
              <w:rPr>
                <w:rFonts w:ascii="宋体" w:hAnsi="宋体" w:eastAsia="宋体"/>
                <w:sz w:val="16"/>
              </w:rPr>
              <w:t>改造修缮涉及行政村数量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1523">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0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E2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AA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D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25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0788">
            <w:pPr>
              <w:jc w:val="center"/>
            </w:pPr>
            <w:r>
              <w:rPr>
                <w:rFonts w:ascii="宋体" w:hAnsi="宋体" w:eastAsia="宋体"/>
                <w:sz w:val="16"/>
              </w:rPr>
              <w:t>=1个村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431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32B00">
            <w:pPr>
              <w:jc w:val="center"/>
            </w:pPr>
            <w:r>
              <w:rPr>
                <w:rFonts w:ascii="宋体" w:hAnsi="宋体" w:eastAsia="宋体"/>
                <w:sz w:val="16"/>
              </w:rPr>
              <w:t>10</w:t>
            </w:r>
          </w:p>
        </w:tc>
      </w:tr>
      <w:tr w14:paraId="092B7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7E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CD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ED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A432">
            <w:pPr>
              <w:jc w:val="center"/>
            </w:pPr>
            <w:r>
              <w:rPr>
                <w:rFonts w:ascii="宋体" w:hAnsi="宋体" w:eastAsia="宋体"/>
                <w:sz w:val="16"/>
              </w:rPr>
              <w:t>村组道路旁渠道清理涉及村庄数量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EB65">
            <w:pPr>
              <w:jc w:val="center"/>
            </w:pPr>
            <w:r>
              <w:rPr>
                <w:rFonts w:ascii="宋体" w:hAnsi="宋体" w:eastAsia="宋体"/>
                <w:sz w:val="16"/>
              </w:rPr>
              <w:t>=7个村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A1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00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29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1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F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1365">
            <w:pPr>
              <w:jc w:val="center"/>
            </w:pPr>
            <w:r>
              <w:rPr>
                <w:rFonts w:ascii="宋体" w:hAnsi="宋体" w:eastAsia="宋体"/>
                <w:sz w:val="16"/>
              </w:rPr>
              <w:t>=7个村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49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EBAA2">
            <w:pPr>
              <w:jc w:val="center"/>
            </w:pPr>
            <w:r>
              <w:rPr>
                <w:rFonts w:ascii="宋体" w:hAnsi="宋体" w:eastAsia="宋体"/>
                <w:sz w:val="16"/>
              </w:rPr>
              <w:t>5</w:t>
            </w:r>
          </w:p>
        </w:tc>
      </w:tr>
      <w:tr w14:paraId="470E1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36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7D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E3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8366">
            <w:pPr>
              <w:jc w:val="center"/>
            </w:pPr>
            <w:r>
              <w:rPr>
                <w:rFonts w:ascii="宋体" w:hAnsi="宋体" w:eastAsia="宋体"/>
                <w:sz w:val="16"/>
              </w:rPr>
              <w:t>乡村建设验收合格率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3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F9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4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E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8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DC3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8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F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B6AC8">
            <w:pPr>
              <w:jc w:val="center"/>
            </w:pPr>
            <w:r>
              <w:rPr>
                <w:rFonts w:ascii="宋体" w:hAnsi="宋体" w:eastAsia="宋体"/>
                <w:sz w:val="16"/>
              </w:rPr>
              <w:t>9</w:t>
            </w:r>
          </w:p>
        </w:tc>
      </w:tr>
      <w:tr w14:paraId="531A4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26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E3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59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52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F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F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7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5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2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77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1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78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79B6">
            <w:pPr>
              <w:jc w:val="center"/>
            </w:pPr>
            <w:r>
              <w:rPr>
                <w:rFonts w:ascii="宋体" w:hAnsi="宋体" w:eastAsia="宋体"/>
                <w:sz w:val="16"/>
              </w:rPr>
              <w:t>6</w:t>
            </w:r>
          </w:p>
        </w:tc>
      </w:tr>
      <w:tr w14:paraId="1600C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5B7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A58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CD1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D2E9">
            <w:pPr>
              <w:jc w:val="center"/>
            </w:pPr>
            <w:r>
              <w:rPr>
                <w:rFonts w:ascii="宋体" w:hAnsi="宋体" w:eastAsia="宋体"/>
                <w:sz w:val="16"/>
              </w:rPr>
              <w:t>美丽乡村建设项目支出成本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F2E5">
            <w:pPr>
              <w:jc w:val="center"/>
            </w:pPr>
            <w:r>
              <w:rPr>
                <w:rFonts w:ascii="宋体" w:hAnsi="宋体" w:eastAsia="宋体"/>
                <w:sz w:val="16"/>
              </w:rPr>
              <w:t>=242.51万元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5A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98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C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A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1F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F62F">
            <w:pPr>
              <w:jc w:val="center"/>
            </w:pPr>
            <w:r>
              <w:rPr>
                <w:rFonts w:ascii="宋体" w:hAnsi="宋体" w:eastAsia="宋体"/>
                <w:sz w:val="16"/>
              </w:rPr>
              <w:t>=242.51万元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AD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E867">
            <w:pPr>
              <w:jc w:val="center"/>
            </w:pPr>
            <w:r>
              <w:rPr>
                <w:rFonts w:ascii="宋体" w:hAnsi="宋体" w:eastAsia="宋体"/>
                <w:sz w:val="16"/>
              </w:rPr>
              <w:t>2</w:t>
            </w:r>
          </w:p>
        </w:tc>
      </w:tr>
      <w:tr w14:paraId="65B76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B9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35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90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E494">
            <w:pPr>
              <w:jc w:val="center"/>
            </w:pPr>
            <w:r>
              <w:rPr>
                <w:rFonts w:ascii="宋体" w:hAnsi="宋体" w:eastAsia="宋体"/>
                <w:sz w:val="16"/>
              </w:rPr>
              <w:t>人居环境整治项目支出成本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E0BF">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EF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F8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70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B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5E4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73A4">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C0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57A8">
            <w:pPr>
              <w:jc w:val="center"/>
            </w:pPr>
            <w:r>
              <w:rPr>
                <w:rFonts w:ascii="宋体" w:hAnsi="宋体" w:eastAsia="宋体"/>
                <w:sz w:val="16"/>
              </w:rPr>
              <w:t>3</w:t>
            </w:r>
          </w:p>
        </w:tc>
      </w:tr>
      <w:tr w14:paraId="6E185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C6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8E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15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6ADA">
            <w:pPr>
              <w:jc w:val="center"/>
            </w:pPr>
            <w:r>
              <w:rPr>
                <w:rFonts w:hint="eastAsia" w:ascii="宋体" w:hAnsi="宋体"/>
                <w:sz w:val="16"/>
                <w:lang w:eastAsia="zh-CN"/>
              </w:rPr>
              <w:t>基层</w:t>
            </w:r>
            <w:r>
              <w:rPr>
                <w:rFonts w:ascii="宋体" w:hAnsi="宋体" w:eastAsia="宋体"/>
                <w:sz w:val="16"/>
              </w:rPr>
              <w:t>党组织阵地建设项目支出成本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7E58">
            <w:pPr>
              <w:jc w:val="center"/>
            </w:pPr>
            <w:r>
              <w:rPr>
                <w:rFonts w:ascii="宋体" w:hAnsi="宋体" w:eastAsia="宋体"/>
                <w:sz w:val="16"/>
              </w:rPr>
              <w:t>=167.14万元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A3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E1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F4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84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60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6420">
            <w:pPr>
              <w:jc w:val="center"/>
            </w:pPr>
            <w:r>
              <w:rPr>
                <w:rFonts w:ascii="宋体" w:hAnsi="宋体" w:eastAsia="宋体"/>
                <w:sz w:val="16"/>
              </w:rPr>
              <w:t>=167.14万元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16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89785">
            <w:pPr>
              <w:jc w:val="center"/>
            </w:pPr>
            <w:r>
              <w:rPr>
                <w:rFonts w:ascii="宋体" w:hAnsi="宋体" w:eastAsia="宋体"/>
                <w:sz w:val="16"/>
              </w:rPr>
              <w:t>1</w:t>
            </w:r>
          </w:p>
        </w:tc>
      </w:tr>
      <w:tr w14:paraId="5B1D8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917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465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24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8315">
            <w:pPr>
              <w:jc w:val="center"/>
            </w:pPr>
            <w:r>
              <w:rPr>
                <w:rFonts w:ascii="宋体" w:hAnsi="宋体" w:eastAsia="宋体"/>
                <w:sz w:val="16"/>
              </w:rPr>
              <w:t>乡村基础设施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094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9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4C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28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EE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0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1E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48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15202">
            <w:pPr>
              <w:jc w:val="center"/>
            </w:pPr>
            <w:r>
              <w:rPr>
                <w:rFonts w:ascii="宋体" w:hAnsi="宋体" w:eastAsia="宋体"/>
                <w:sz w:val="16"/>
              </w:rPr>
              <w:t>8</w:t>
            </w:r>
          </w:p>
        </w:tc>
      </w:tr>
      <w:tr w14:paraId="14D36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2D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66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712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E7C7">
            <w:pPr>
              <w:jc w:val="center"/>
            </w:pPr>
            <w:r>
              <w:rPr>
                <w:rFonts w:ascii="宋体" w:hAnsi="宋体" w:eastAsia="宋体"/>
                <w:sz w:val="16"/>
              </w:rPr>
              <w:t>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F4C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B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26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3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CF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D5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442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61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0BAE">
            <w:pPr>
              <w:jc w:val="center"/>
            </w:pPr>
            <w:r>
              <w:rPr>
                <w:rFonts w:ascii="宋体" w:hAnsi="宋体" w:eastAsia="宋体"/>
                <w:sz w:val="16"/>
              </w:rPr>
              <w:t>7</w:t>
            </w:r>
          </w:p>
        </w:tc>
      </w:tr>
      <w:tr w14:paraId="4B91D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CF2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E5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A7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2353">
            <w:pPr>
              <w:jc w:val="center"/>
            </w:pPr>
            <w:r>
              <w:rPr>
                <w:rFonts w:ascii="宋体" w:hAnsi="宋体" w:eastAsia="宋体"/>
                <w:sz w:val="16"/>
              </w:rPr>
              <w:t>受益村满意度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34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8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04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36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76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C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9F7D">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F4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725C">
            <w:pPr>
              <w:jc w:val="center"/>
            </w:pPr>
            <w:r>
              <w:rPr>
                <w:rFonts w:ascii="宋体" w:hAnsi="宋体" w:eastAsia="宋体"/>
                <w:sz w:val="16"/>
              </w:rPr>
              <w:t>受益村满意度100%，故存在5%偏差</w:t>
            </w:r>
          </w:p>
        </w:tc>
      </w:tr>
      <w:tr w14:paraId="10CCF0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21A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49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DCE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6D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E9A758"/>
        </w:tc>
      </w:tr>
    </w:tbl>
    <w:p w14:paraId="77BD13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E82707">
        <w:tblPrEx>
          <w:tblCellMar>
            <w:top w:w="0" w:type="dxa"/>
            <w:left w:w="108" w:type="dxa"/>
            <w:bottom w:w="0" w:type="dxa"/>
            <w:right w:w="108" w:type="dxa"/>
          </w:tblCellMar>
        </w:tblPrEx>
        <w:tc>
          <w:tcPr>
            <w:tcW w:w="8848" w:type="dxa"/>
            <w:gridSpan w:val="14"/>
            <w:vAlign w:val="center"/>
          </w:tcPr>
          <w:p w14:paraId="0FC884BB">
            <w:pPr>
              <w:jc w:val="center"/>
            </w:pPr>
            <w:r>
              <w:rPr>
                <w:rFonts w:ascii="宋体" w:hAnsi="宋体" w:eastAsia="宋体"/>
                <w:sz w:val="24"/>
              </w:rPr>
              <w:t>项目支出绩效自评表</w:t>
            </w:r>
          </w:p>
        </w:tc>
      </w:tr>
      <w:tr w14:paraId="5D96A513">
        <w:tblPrEx>
          <w:tblCellMar>
            <w:top w:w="0" w:type="dxa"/>
            <w:left w:w="108" w:type="dxa"/>
            <w:bottom w:w="0" w:type="dxa"/>
            <w:right w:w="108" w:type="dxa"/>
          </w:tblCellMar>
        </w:tblPrEx>
        <w:tc>
          <w:tcPr>
            <w:tcW w:w="8848" w:type="dxa"/>
            <w:gridSpan w:val="14"/>
            <w:vAlign w:val="center"/>
          </w:tcPr>
          <w:p w14:paraId="70F23656">
            <w:pPr>
              <w:jc w:val="center"/>
            </w:pPr>
            <w:r>
              <w:rPr>
                <w:rFonts w:ascii="宋体" w:hAnsi="宋体" w:eastAsia="宋体"/>
                <w:sz w:val="24"/>
              </w:rPr>
              <w:t>(2024年度)</w:t>
            </w:r>
          </w:p>
        </w:tc>
      </w:tr>
      <w:tr w14:paraId="568CC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2F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7467F9">
            <w:pPr>
              <w:jc w:val="center"/>
            </w:pPr>
            <w:r>
              <w:rPr>
                <w:rFonts w:ascii="宋体" w:hAnsi="宋体" w:eastAsia="宋体"/>
                <w:sz w:val="16"/>
              </w:rPr>
              <w:t>疏勒县巴合齐乡乡镇工作经费</w:t>
            </w:r>
          </w:p>
        </w:tc>
      </w:tr>
      <w:tr w14:paraId="5EF26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89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0F7B5">
            <w:pPr>
              <w:jc w:val="center"/>
            </w:pPr>
            <w:r>
              <w:rPr>
                <w:rFonts w:ascii="宋体" w:hAnsi="宋体" w:eastAsia="宋体"/>
                <w:sz w:val="16"/>
              </w:rPr>
              <w:t>疏勒县巴合齐乡人民政府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F7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68B7E6">
            <w:pPr>
              <w:jc w:val="center"/>
            </w:pPr>
            <w:r>
              <w:rPr>
                <w:rFonts w:ascii="宋体" w:hAnsi="宋体" w:eastAsia="宋体"/>
                <w:sz w:val="16"/>
              </w:rPr>
              <w:t>疏勒县巴合齐乡人民政府</w:t>
            </w:r>
          </w:p>
        </w:tc>
      </w:tr>
      <w:tr w14:paraId="25B955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278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9E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3B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1FD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BB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17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31E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8A59">
            <w:pPr>
              <w:jc w:val="center"/>
            </w:pPr>
            <w:r>
              <w:rPr>
                <w:rFonts w:ascii="宋体" w:hAnsi="宋体" w:eastAsia="宋体"/>
                <w:sz w:val="16"/>
              </w:rPr>
              <w:t>得分</w:t>
            </w:r>
          </w:p>
        </w:tc>
      </w:tr>
      <w:tr w14:paraId="1B37E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EB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DE5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0A7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478E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B265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CA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F957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63DF">
            <w:pPr>
              <w:jc w:val="center"/>
            </w:pPr>
            <w:r>
              <w:rPr>
                <w:rFonts w:ascii="宋体" w:hAnsi="宋体" w:eastAsia="宋体"/>
                <w:sz w:val="16"/>
              </w:rPr>
              <w:t>10.00分</w:t>
            </w:r>
          </w:p>
        </w:tc>
      </w:tr>
      <w:tr w14:paraId="63D39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AD4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F6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CAD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803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BEF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C6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D8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A17C">
            <w:pPr>
              <w:jc w:val="center"/>
            </w:pPr>
            <w:r>
              <w:rPr>
                <w:rFonts w:ascii="宋体" w:hAnsi="宋体" w:eastAsia="宋体"/>
                <w:sz w:val="16"/>
              </w:rPr>
              <w:t>—</w:t>
            </w:r>
          </w:p>
        </w:tc>
      </w:tr>
      <w:tr w14:paraId="1AC1E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35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AA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1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F7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2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04E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80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3678">
            <w:pPr>
              <w:jc w:val="center"/>
            </w:pPr>
            <w:r>
              <w:rPr>
                <w:rFonts w:ascii="宋体" w:hAnsi="宋体" w:eastAsia="宋体"/>
                <w:sz w:val="16"/>
              </w:rPr>
              <w:t>—</w:t>
            </w:r>
          </w:p>
        </w:tc>
      </w:tr>
      <w:tr w14:paraId="17DF3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5FB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3EA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A34E1">
            <w:pPr>
              <w:jc w:val="center"/>
            </w:pPr>
            <w:r>
              <w:rPr>
                <w:rFonts w:ascii="宋体" w:hAnsi="宋体" w:eastAsia="宋体"/>
                <w:sz w:val="16"/>
              </w:rPr>
              <w:t>实际完成情况</w:t>
            </w:r>
          </w:p>
        </w:tc>
      </w:tr>
      <w:tr w14:paraId="5B575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E42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04AF8">
            <w:pPr>
              <w:jc w:val="both"/>
            </w:pPr>
            <w:r>
              <w:rPr>
                <w:rFonts w:ascii="宋体" w:hAnsi="宋体" w:eastAsia="宋体"/>
                <w:sz w:val="16"/>
              </w:rPr>
              <w:t>乡镇工作经费项目实际投入50万元，主要为保障乡机关电锅炉顺利运转，</w:t>
            </w:r>
            <w:r>
              <w:rPr>
                <w:rFonts w:hint="eastAsia" w:ascii="宋体" w:hAnsi="宋体"/>
                <w:sz w:val="16"/>
                <w:lang w:eastAsia="zh-CN"/>
              </w:rPr>
              <w:t>确保</w:t>
            </w:r>
            <w:r>
              <w:rPr>
                <w:rFonts w:ascii="宋体" w:hAnsi="宋体" w:eastAsia="宋体"/>
                <w:sz w:val="16"/>
              </w:rPr>
              <w:t>乡机关干部正常落实各项服务工作。做好后勤保障工作，有效加强干部团结协作能力，提高干部效率及服务能力。预交电费用于保障乡政府冬季5栋楼的取暖，保障乡镇干部115人的工作正常开展，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5B9CD7">
            <w:pPr>
              <w:jc w:val="both"/>
            </w:pPr>
            <w:r>
              <w:rPr>
                <w:rFonts w:hint="eastAsia" w:ascii="宋体" w:hAnsi="宋体"/>
                <w:sz w:val="16"/>
                <w:lang w:eastAsia="zh-CN"/>
              </w:rPr>
              <w:t>截至</w:t>
            </w:r>
            <w:r>
              <w:rPr>
                <w:rFonts w:ascii="宋体" w:hAnsi="宋体" w:eastAsia="宋体"/>
                <w:sz w:val="16"/>
              </w:rPr>
              <w:t>2024年12月31日，项目实际投入50万元，保障了乡机关电锅炉顺利运转，以及乡机关食堂正常运转。完成了乡机关冬季5栋楼的取暖保障工作，保障乡镇干部115人的工作正常开展，通过有效保障充分调动工作人员的积极性，营造和谐、舒适的工作生活环境，确保了干部安心工作生活。</w:t>
            </w:r>
          </w:p>
        </w:tc>
      </w:tr>
      <w:tr w14:paraId="6B7EC0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6B0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3F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1E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9E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BC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34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BC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EE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1C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80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31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5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C66AC">
            <w:pPr>
              <w:jc w:val="center"/>
            </w:pPr>
            <w:r>
              <w:rPr>
                <w:rFonts w:ascii="宋体" w:hAnsi="宋体" w:eastAsia="宋体"/>
                <w:sz w:val="16"/>
              </w:rPr>
              <w:t>偏差原因分析及改进措施</w:t>
            </w:r>
          </w:p>
        </w:tc>
      </w:tr>
      <w:tr w14:paraId="1AA30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BB1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2DD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4B7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9CC9">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E435">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B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EA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E2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2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E2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9074">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3B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D897">
            <w:pPr>
              <w:jc w:val="center"/>
            </w:pPr>
          </w:p>
        </w:tc>
      </w:tr>
      <w:tr w14:paraId="19313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3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C7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4F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27A7">
            <w:pPr>
              <w:jc w:val="center"/>
            </w:pPr>
            <w:r>
              <w:rPr>
                <w:rFonts w:ascii="宋体" w:hAnsi="宋体" w:eastAsia="宋体"/>
                <w:sz w:val="16"/>
              </w:rPr>
              <w:t>电采暖供应涉及楼栋个数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D8F8">
            <w:pPr>
              <w:jc w:val="center"/>
            </w:pPr>
            <w:r>
              <w:rPr>
                <w:rFonts w:ascii="宋体" w:hAnsi="宋体" w:eastAsia="宋体"/>
                <w:sz w:val="16"/>
              </w:rPr>
              <w:t>=5栋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F4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57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FC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5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9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2920">
            <w:pPr>
              <w:jc w:val="center"/>
            </w:pPr>
            <w:r>
              <w:rPr>
                <w:rFonts w:ascii="宋体" w:hAnsi="宋体" w:eastAsia="宋体"/>
                <w:sz w:val="16"/>
              </w:rPr>
              <w:t>=5栋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F3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CEE8C">
            <w:pPr>
              <w:jc w:val="center"/>
            </w:pPr>
          </w:p>
        </w:tc>
      </w:tr>
      <w:tr w14:paraId="1A3AB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F5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09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DB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833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E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3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4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F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2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6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1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A2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BD7D2">
            <w:pPr>
              <w:jc w:val="center"/>
            </w:pPr>
          </w:p>
        </w:tc>
      </w:tr>
      <w:tr w14:paraId="7DB95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58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B5F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10F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4F0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9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F6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89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72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2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DF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C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CB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2A55">
            <w:pPr>
              <w:jc w:val="center"/>
            </w:pPr>
          </w:p>
        </w:tc>
      </w:tr>
      <w:tr w14:paraId="7B7BB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AE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E4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21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AE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81C2">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8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0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4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F6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14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C5D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5B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DEBB">
            <w:pPr>
              <w:jc w:val="center"/>
            </w:pPr>
          </w:p>
        </w:tc>
      </w:tr>
      <w:tr w14:paraId="2A984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23F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21E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3B3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89E3">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E10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86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04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B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4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A95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11B0">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90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93A9C">
            <w:pPr>
              <w:jc w:val="center"/>
            </w:pPr>
          </w:p>
        </w:tc>
      </w:tr>
      <w:tr w14:paraId="560F6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F4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3F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DF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CF52">
            <w:pPr>
              <w:jc w:val="center"/>
            </w:pPr>
            <w:r>
              <w:rPr>
                <w:rFonts w:ascii="宋体" w:hAnsi="宋体" w:eastAsia="宋体"/>
                <w:sz w:val="16"/>
              </w:rPr>
              <w:t>机关食堂伙食费支出成本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F46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5F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C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71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2F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758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1655">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7C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D1D3">
            <w:pPr>
              <w:jc w:val="center"/>
            </w:pPr>
          </w:p>
        </w:tc>
      </w:tr>
      <w:tr w14:paraId="14121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11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1B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50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4115">
            <w:pPr>
              <w:jc w:val="center"/>
            </w:pPr>
            <w:r>
              <w:rPr>
                <w:rFonts w:ascii="宋体" w:hAnsi="宋体" w:eastAsia="宋体"/>
                <w:sz w:val="16"/>
              </w:rPr>
              <w:t>提升干部工作积极性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473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5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9F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199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6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6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918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5DE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C1E71">
            <w:pPr>
              <w:jc w:val="center"/>
            </w:pPr>
          </w:p>
        </w:tc>
      </w:tr>
      <w:tr w14:paraId="20DC36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2ED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C3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A48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2E4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FBAA0E"/>
        </w:tc>
      </w:tr>
    </w:tbl>
    <w:p w14:paraId="26ABE77B">
      <w:r>
        <w:br w:type="page"/>
      </w:r>
    </w:p>
    <w:p w14:paraId="1BFEA0DE">
      <w:pPr>
        <w:spacing w:line="640" w:lineRule="exact"/>
        <w:ind w:firstLine="640"/>
        <w:jc w:val="both"/>
        <w:outlineLvl w:val="2"/>
      </w:pPr>
      <w:r>
        <w:rPr>
          <w:rFonts w:ascii="黑体" w:hAnsi="黑体" w:eastAsia="黑体"/>
          <w:sz w:val="32"/>
        </w:rPr>
        <w:t>十二、其他需说明的事项</w:t>
      </w:r>
    </w:p>
    <w:p w14:paraId="4A0DDFB4">
      <w:pPr>
        <w:spacing w:line="580" w:lineRule="exact"/>
        <w:ind w:firstLine="640"/>
        <w:jc w:val="both"/>
      </w:pPr>
      <w:r>
        <w:rPr>
          <w:rFonts w:ascii="仿宋_GB2312" w:hAnsi="仿宋_GB2312" w:eastAsia="仿宋_GB2312"/>
          <w:b w:val="0"/>
          <w:sz w:val="32"/>
        </w:rPr>
        <w:t>本单位无其他需说明的事项。</w:t>
      </w:r>
    </w:p>
    <w:p w14:paraId="2238375B">
      <w:r>
        <w:br w:type="page"/>
      </w:r>
    </w:p>
    <w:p w14:paraId="2FE4342B">
      <w:pPr>
        <w:spacing w:line="240" w:lineRule="auto"/>
        <w:jc w:val="center"/>
        <w:outlineLvl w:val="1"/>
      </w:pPr>
      <w:r>
        <w:rPr>
          <w:rFonts w:ascii="黑体" w:hAnsi="黑体" w:eastAsia="黑体"/>
          <w:sz w:val="32"/>
        </w:rPr>
        <w:t>第三部分 专业名词解释</w:t>
      </w:r>
    </w:p>
    <w:p w14:paraId="48426E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ED0AD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58B4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D5EE0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A63B8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FAC4C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36E45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33A9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7E71B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D08FB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D611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1A4E2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6C0F5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66CD2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EE5629">
      <w:r>
        <w:br w:type="page"/>
      </w:r>
    </w:p>
    <w:p w14:paraId="6FBF257C">
      <w:pPr>
        <w:spacing w:line="240" w:lineRule="auto"/>
        <w:jc w:val="center"/>
        <w:outlineLvl w:val="1"/>
      </w:pPr>
      <w:r>
        <w:rPr>
          <w:rFonts w:ascii="黑体" w:hAnsi="黑体" w:eastAsia="黑体"/>
          <w:sz w:val="32"/>
        </w:rPr>
        <w:t>第四部分 部门决算报表（见附表）</w:t>
      </w:r>
    </w:p>
    <w:p w14:paraId="52BAD9E4">
      <w:pPr>
        <w:spacing w:line="240" w:lineRule="auto"/>
        <w:ind w:firstLine="640"/>
        <w:jc w:val="both"/>
      </w:pPr>
      <w:r>
        <w:rPr>
          <w:rFonts w:ascii="仿宋_GB2312" w:hAnsi="仿宋_GB2312" w:eastAsia="仿宋_GB2312"/>
          <w:b w:val="0"/>
          <w:sz w:val="32"/>
        </w:rPr>
        <w:t>一、《收入支出决算总表》</w:t>
      </w:r>
    </w:p>
    <w:p w14:paraId="7F9A36EF">
      <w:pPr>
        <w:spacing w:line="240" w:lineRule="auto"/>
        <w:ind w:firstLine="640"/>
        <w:jc w:val="both"/>
      </w:pPr>
      <w:r>
        <w:rPr>
          <w:rFonts w:ascii="仿宋_GB2312" w:hAnsi="仿宋_GB2312" w:eastAsia="仿宋_GB2312"/>
          <w:b w:val="0"/>
          <w:sz w:val="32"/>
        </w:rPr>
        <w:t>二、《收入决算表》</w:t>
      </w:r>
    </w:p>
    <w:p w14:paraId="660121C2">
      <w:pPr>
        <w:spacing w:line="240" w:lineRule="auto"/>
        <w:ind w:firstLine="640"/>
        <w:jc w:val="both"/>
      </w:pPr>
      <w:r>
        <w:rPr>
          <w:rFonts w:ascii="仿宋_GB2312" w:hAnsi="仿宋_GB2312" w:eastAsia="仿宋_GB2312"/>
          <w:b w:val="0"/>
          <w:sz w:val="32"/>
        </w:rPr>
        <w:t>三、《支出决算表》</w:t>
      </w:r>
    </w:p>
    <w:p w14:paraId="0856A2B1">
      <w:pPr>
        <w:spacing w:line="240" w:lineRule="auto"/>
        <w:ind w:firstLine="640"/>
        <w:jc w:val="both"/>
      </w:pPr>
      <w:r>
        <w:rPr>
          <w:rFonts w:ascii="仿宋_GB2312" w:hAnsi="仿宋_GB2312" w:eastAsia="仿宋_GB2312"/>
          <w:b w:val="0"/>
          <w:sz w:val="32"/>
        </w:rPr>
        <w:t>四、《财政拨款收入支出决算总表》</w:t>
      </w:r>
    </w:p>
    <w:p w14:paraId="0DBEA187">
      <w:pPr>
        <w:spacing w:line="240" w:lineRule="auto"/>
        <w:ind w:firstLine="640"/>
        <w:jc w:val="both"/>
      </w:pPr>
      <w:r>
        <w:rPr>
          <w:rFonts w:ascii="仿宋_GB2312" w:hAnsi="仿宋_GB2312" w:eastAsia="仿宋_GB2312"/>
          <w:b w:val="0"/>
          <w:sz w:val="32"/>
        </w:rPr>
        <w:t>五、《一般公共预算财政拨款支出决算表》</w:t>
      </w:r>
    </w:p>
    <w:p w14:paraId="3F523969">
      <w:pPr>
        <w:spacing w:line="240" w:lineRule="auto"/>
        <w:ind w:firstLine="640"/>
        <w:jc w:val="both"/>
      </w:pPr>
      <w:r>
        <w:rPr>
          <w:rFonts w:ascii="仿宋_GB2312" w:hAnsi="仿宋_GB2312" w:eastAsia="仿宋_GB2312"/>
          <w:b w:val="0"/>
          <w:sz w:val="32"/>
        </w:rPr>
        <w:t>六、《一般公共预算财政拨款基本支出决算表》</w:t>
      </w:r>
    </w:p>
    <w:p w14:paraId="1364A790">
      <w:pPr>
        <w:spacing w:line="240" w:lineRule="auto"/>
        <w:ind w:firstLine="640"/>
        <w:jc w:val="both"/>
      </w:pPr>
      <w:r>
        <w:rPr>
          <w:rFonts w:ascii="仿宋_GB2312" w:hAnsi="仿宋_GB2312" w:eastAsia="仿宋_GB2312"/>
          <w:b w:val="0"/>
          <w:sz w:val="32"/>
        </w:rPr>
        <w:t>七、《政府性基金预算财政拨款收入支出决算表》</w:t>
      </w:r>
    </w:p>
    <w:p w14:paraId="79FF5FB0">
      <w:pPr>
        <w:spacing w:line="240" w:lineRule="auto"/>
        <w:ind w:firstLine="640"/>
        <w:jc w:val="both"/>
      </w:pPr>
      <w:r>
        <w:rPr>
          <w:rFonts w:ascii="仿宋_GB2312" w:hAnsi="仿宋_GB2312" w:eastAsia="仿宋_GB2312"/>
          <w:b w:val="0"/>
          <w:sz w:val="32"/>
        </w:rPr>
        <w:t>八、《国有资本经营预算财政拨款收入支出决算表》</w:t>
      </w:r>
    </w:p>
    <w:p w14:paraId="2A11308F">
      <w:pPr>
        <w:spacing w:line="240" w:lineRule="auto"/>
        <w:ind w:firstLine="640"/>
        <w:jc w:val="both"/>
      </w:pPr>
      <w:r>
        <w:rPr>
          <w:rFonts w:ascii="仿宋_GB2312" w:hAnsi="仿宋_GB2312" w:eastAsia="仿宋_GB2312"/>
          <w:b w:val="0"/>
          <w:sz w:val="32"/>
        </w:rPr>
        <w:t>九、《财政拨款“三公”经费支出决算表》</w:t>
      </w:r>
    </w:p>
    <w:p w14:paraId="45517F88">
      <w:pPr>
        <w:spacing w:line="240" w:lineRule="auto"/>
        <w:ind w:firstLine="640"/>
        <w:jc w:val="both"/>
      </w:pPr>
    </w:p>
    <w:p w14:paraId="42966E13">
      <w:pPr>
        <w:spacing w:line="240" w:lineRule="auto"/>
        <w:ind w:firstLine="640"/>
        <w:jc w:val="both"/>
      </w:pPr>
    </w:p>
    <w:p w14:paraId="0F45C4AE">
      <w:pPr>
        <w:spacing w:line="240" w:lineRule="auto"/>
        <w:ind w:firstLine="640"/>
        <w:jc w:val="both"/>
      </w:pPr>
    </w:p>
    <w:p w14:paraId="0FA53354">
      <w:pPr>
        <w:spacing w:line="240" w:lineRule="auto"/>
        <w:ind w:firstLine="640"/>
        <w:jc w:val="both"/>
      </w:pPr>
    </w:p>
    <w:p w14:paraId="7644563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256010"/>
    <w:rsid w:val="464B7E04"/>
    <w:rsid w:val="464F7E64"/>
    <w:rsid w:val="46901EEE"/>
    <w:rsid w:val="469C74D2"/>
    <w:rsid w:val="47445515"/>
    <w:rsid w:val="4B4C0111"/>
    <w:rsid w:val="4BB23021"/>
    <w:rsid w:val="4D0D7AF3"/>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7904</Words>
  <Characters>9064</Characters>
  <Lines>0</Lines>
  <Paragraphs>0</Paragraphs>
  <TotalTime>26</TotalTime>
  <ScaleCrop>false</ScaleCrop>
  <LinksUpToDate>false</LinksUpToDate>
  <CharactersWithSpaces>9072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