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561E49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疏勒县罕南力克镇人民政府2024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FF86C88">
      <w:r>
        <w:br w:type="page"/>
      </w:r>
    </w:p>
    <w:p w14:paraId="51AF9A3E">
      <w:pPr>
        <w:spacing w:line="640" w:lineRule="exact"/>
        <w:jc w:val="center"/>
        <w:outlineLvl w:val="1"/>
      </w:pPr>
      <w:r>
        <w:rPr>
          <w:rFonts w:ascii="黑体" w:hAnsi="黑体" w:eastAsia="黑体"/>
          <w:sz w:val="32"/>
        </w:rPr>
        <w:t>第一部分 单位概况</w:t>
      </w:r>
    </w:p>
    <w:p w14:paraId="41BE1A21">
      <w:pPr>
        <w:spacing w:line="640" w:lineRule="exact"/>
        <w:ind w:firstLine="640"/>
        <w:jc w:val="both"/>
        <w:outlineLvl w:val="2"/>
      </w:pPr>
      <w:r>
        <w:rPr>
          <w:rFonts w:ascii="黑体" w:hAnsi="黑体" w:eastAsia="黑体"/>
          <w:sz w:val="32"/>
        </w:rPr>
        <w:t>一、主要职能</w:t>
      </w:r>
    </w:p>
    <w:p w14:paraId="2E473F75">
      <w:pPr>
        <w:spacing w:line="580" w:lineRule="exact"/>
        <w:ind w:firstLine="640"/>
        <w:jc w:val="both"/>
      </w:pPr>
      <w:r>
        <w:rPr>
          <w:rFonts w:ascii="仿宋_GB2312" w:hAnsi="仿宋_GB2312" w:eastAsia="仿宋_GB2312"/>
          <w:sz w:val="32"/>
        </w:rPr>
        <w:t>1、贯彻执行党的路线、方针、政策和国家的法律法规，落实上级党委、政府决策部署和县委、县政府相关工作安排，执行本级人民代表大会决议,在履行职责过程中坚持和加强党的集中统一领导。</w:t>
      </w:r>
    </w:p>
    <w:p w14:paraId="64CF2F3F">
      <w:pPr>
        <w:spacing w:line="580" w:lineRule="exact"/>
        <w:ind w:firstLine="640"/>
        <w:jc w:val="both"/>
      </w:pPr>
      <w:r>
        <w:rPr>
          <w:rFonts w:ascii="仿宋_GB2312" w:hAnsi="仿宋_GB2312" w:eastAsia="仿宋_GB2312"/>
          <w:sz w:val="32"/>
        </w:rPr>
        <w:t>2、根据自治区党委、地委相关决策部署和县委相关工作安排，讨论和决定本行政区域内经济建设、政治建设、文化建设、社会建设、生态文明建设和党的建设以及乡村振兴中的重大问题。</w:t>
      </w:r>
    </w:p>
    <w:p w14:paraId="2BAE8094">
      <w:pPr>
        <w:spacing w:line="580" w:lineRule="exact"/>
        <w:ind w:firstLine="640"/>
        <w:jc w:val="both"/>
      </w:pPr>
      <w:r>
        <w:rPr>
          <w:rFonts w:ascii="仿宋_GB2312" w:hAnsi="仿宋_GB2312" w:eastAsia="仿宋_GB2312"/>
          <w:sz w:val="32"/>
        </w:rPr>
        <w:t>3、落实基层党建工作责任制，负责党风廉政建设、宣传、意识形态、精神文明等工作;负责做好辖区各类社会组织的党建工作和发展党员工作，协调、指导辖区社会单位党组织和党员积极参加政治文化生活;负责做好人大、政协等事务工作;依法指导和规范管辖范围内的群团组织等其他各类组织。</w:t>
      </w:r>
    </w:p>
    <w:p w14:paraId="6C560E37">
      <w:pPr>
        <w:spacing w:line="580" w:lineRule="exact"/>
        <w:ind w:firstLine="640"/>
        <w:jc w:val="both"/>
      </w:pPr>
      <w:r>
        <w:rPr>
          <w:rFonts w:ascii="仿宋_GB2312" w:hAnsi="仿宋_GB2312" w:eastAsia="仿宋_GB2312"/>
          <w:sz w:val="32"/>
        </w:rPr>
        <w:t>4、负责社会稳定、综合治理、扫黑除恶等工作。落实社会矛盾纠纷排查调处机制，实施社会综合治理，依法严厉打击黑恶势力、宗族恶势力、极端势力、“村霸”，严防其侵蚀基层干部和基层政权。</w:t>
      </w:r>
    </w:p>
    <w:p w14:paraId="5CC0ABC9">
      <w:pPr>
        <w:spacing w:line="580" w:lineRule="exact"/>
        <w:ind w:firstLine="640"/>
        <w:jc w:val="both"/>
      </w:pPr>
      <w:r>
        <w:rPr>
          <w:rFonts w:ascii="仿宋_GB2312" w:hAnsi="仿宋_GB2312" w:eastAsia="仿宋_GB2312"/>
          <w:sz w:val="32"/>
        </w:rPr>
        <w:t>5、根据相关规定，负责组织实施与群众生活密切相关的各项公共服务，负责做好民政、社会保障、教育体育、科技文化、卫生健康、劳动就业、拥军优属、助残、统计等方面工作。以“最多跑一次”改革为引导，强化基层便民服务。</w:t>
      </w:r>
    </w:p>
    <w:p w14:paraId="116E3DEB">
      <w:pPr>
        <w:spacing w:line="580" w:lineRule="exact"/>
        <w:ind w:firstLine="640"/>
        <w:jc w:val="both"/>
      </w:pPr>
      <w:r>
        <w:rPr>
          <w:rFonts w:ascii="仿宋_GB2312" w:hAnsi="仿宋_GB2312" w:eastAsia="仿宋_GB2312"/>
          <w:sz w:val="32"/>
        </w:rPr>
        <w:t>6、负责做好统一战线、民族等工作;管理好活动场所，依法制止利用干涉基层公共事务的行为，坚决抵御非法活动和境外渗透活动。</w:t>
      </w:r>
    </w:p>
    <w:p w14:paraId="51DA32DD">
      <w:pPr>
        <w:spacing w:line="580" w:lineRule="exact"/>
        <w:ind w:firstLine="640"/>
        <w:jc w:val="both"/>
      </w:pPr>
      <w:r>
        <w:rPr>
          <w:rFonts w:ascii="仿宋_GB2312" w:hAnsi="仿宋_GB2312" w:eastAsia="仿宋_GB2312"/>
          <w:sz w:val="32"/>
        </w:rPr>
        <w:t>7、负责乡村振兴战略有关政策措施的贯彻落实;负责巩固拓展脱贫攻坚成果、产业规划发展、美丽乡村建设、生态环境、人居环境整治等工作。</w:t>
      </w:r>
    </w:p>
    <w:p w14:paraId="6F93BB95">
      <w:pPr>
        <w:spacing w:line="580" w:lineRule="exact"/>
        <w:ind w:firstLine="640"/>
        <w:jc w:val="both"/>
      </w:pPr>
      <w:r>
        <w:rPr>
          <w:rFonts w:ascii="仿宋_GB2312" w:hAnsi="仿宋_GB2312" w:eastAsia="仿宋_GB2312"/>
          <w:sz w:val="32"/>
        </w:rPr>
        <w:t>8、根据行业主管部门相关规定，协助做好农畜产品质量安全、农牧业机械维护和管理等工作;负责加强动物防疫和重大</w:t>
      </w:r>
      <w:r>
        <w:rPr>
          <w:rFonts w:hint="eastAsia" w:ascii="仿宋_GB2312" w:hAnsi="仿宋_GB2312" w:eastAsia="仿宋_GB2312"/>
          <w:sz w:val="32"/>
          <w:lang w:eastAsia="zh-CN"/>
        </w:rPr>
        <w:t>防疫</w:t>
      </w:r>
      <w:r>
        <w:rPr>
          <w:rFonts w:ascii="仿宋_GB2312" w:hAnsi="仿宋_GB2312" w:eastAsia="仿宋_GB2312"/>
          <w:sz w:val="32"/>
        </w:rPr>
        <w:t>的监督工作，落实动物防疫责任制和疫病的分级管理</w:t>
      </w:r>
      <w:r>
        <w:rPr>
          <w:rFonts w:hint="eastAsia" w:ascii="仿宋_GB2312" w:hAnsi="仿宋_GB2312" w:eastAsia="仿宋_GB2312"/>
          <w:sz w:val="32"/>
          <w:lang w:eastAsia="zh-CN"/>
        </w:rPr>
        <w:t>制度</w:t>
      </w:r>
      <w:r>
        <w:rPr>
          <w:rFonts w:ascii="仿宋_GB2312" w:hAnsi="仿宋_GB2312" w:eastAsia="仿宋_GB2312"/>
          <w:sz w:val="32"/>
        </w:rPr>
        <w:t>;加强草原保护建设和利用情况的监督及草原防火、草畜平衡、退牧还草、基本草牧场、基本农田、农地保护管理工作;加强辖区内林业管理;加强农田水利设施建设，改善人畜饮用水条件，开展水土保持宣传教育，普及水土保持科学知识，防止水土流失。</w:t>
      </w:r>
    </w:p>
    <w:p w14:paraId="03A70AF7">
      <w:pPr>
        <w:spacing w:line="580" w:lineRule="exact"/>
        <w:ind w:firstLine="640"/>
        <w:jc w:val="both"/>
      </w:pPr>
      <w:r>
        <w:rPr>
          <w:rFonts w:ascii="仿宋_GB2312" w:hAnsi="仿宋_GB2312" w:eastAsia="仿宋_GB2312"/>
          <w:sz w:val="32"/>
        </w:rPr>
        <w:t>9、负责辖区公共安全及安全生产监管，构建公共安全防控体系，建立应对突发紧急事件的处理预案，做好安全生产、防汛、防火、防疫等灾害防御及食品药品安全等应急管理工作。</w:t>
      </w:r>
    </w:p>
    <w:p w14:paraId="224D14FE">
      <w:pPr>
        <w:spacing w:line="580" w:lineRule="exact"/>
        <w:ind w:firstLine="640"/>
        <w:jc w:val="both"/>
      </w:pPr>
      <w:r>
        <w:rPr>
          <w:rFonts w:ascii="仿宋_GB2312" w:hAnsi="仿宋_GB2312" w:eastAsia="仿宋_GB2312"/>
          <w:sz w:val="32"/>
        </w:rPr>
        <w:t>10、负责综合协调辖区内镇容镇貌、环境卫生、小区物业、公共设施管理等工作。</w:t>
      </w:r>
    </w:p>
    <w:p w14:paraId="16263898">
      <w:pPr>
        <w:spacing w:line="580" w:lineRule="exact"/>
        <w:ind w:firstLine="640"/>
        <w:jc w:val="both"/>
      </w:pPr>
      <w:r>
        <w:rPr>
          <w:rFonts w:ascii="仿宋_GB2312" w:hAnsi="仿宋_GB2312" w:eastAsia="仿宋_GB2312"/>
          <w:sz w:val="32"/>
        </w:rPr>
        <w:t>11、负责推进法治政府建设和网格化服务管理工作;负责村(社区)管理和指导工作;负责做好维护老年人、妇女、未成年人和残疾人的合法权益，保障适龄儿童、少年接受义务教育等工作。</w:t>
      </w:r>
    </w:p>
    <w:p w14:paraId="7122AF75">
      <w:pPr>
        <w:spacing w:line="580" w:lineRule="exact"/>
        <w:ind w:firstLine="640"/>
        <w:jc w:val="both"/>
      </w:pPr>
      <w:r>
        <w:rPr>
          <w:rFonts w:ascii="仿宋_GB2312" w:hAnsi="仿宋_GB2312" w:eastAsia="仿宋_GB2312"/>
          <w:sz w:val="32"/>
        </w:rPr>
        <w:t>12、根据自治区党委、政府赋予乡镇行政权力事项清单，与县相关执法队伍和部门协调配合行使行政许可、行政确认、行政处罚等相关权力。</w:t>
      </w:r>
    </w:p>
    <w:p w14:paraId="2CC983BC">
      <w:pPr>
        <w:spacing w:line="580" w:lineRule="exact"/>
        <w:ind w:firstLine="640"/>
        <w:jc w:val="both"/>
      </w:pPr>
      <w:r>
        <w:rPr>
          <w:rFonts w:ascii="仿宋_GB2312" w:hAnsi="仿宋_GB2312" w:eastAsia="仿宋_GB2312"/>
          <w:sz w:val="32"/>
        </w:rPr>
        <w:t>13、负责本辖区社会领域、生态环境领域、党的建设领域等重大风险的防范、排查、化解，保密机要、意识形态、信访等工作。</w:t>
      </w:r>
    </w:p>
    <w:p w14:paraId="7BF34741">
      <w:pPr>
        <w:spacing w:line="580" w:lineRule="exact"/>
        <w:ind w:firstLine="640"/>
        <w:jc w:val="both"/>
      </w:pPr>
      <w:r>
        <w:rPr>
          <w:rFonts w:ascii="仿宋_GB2312" w:hAnsi="仿宋_GB2312" w:eastAsia="仿宋_GB2312"/>
          <w:sz w:val="32"/>
        </w:rPr>
        <w:t>14、完成县委、县政府交办的其他工作。</w:t>
      </w:r>
    </w:p>
    <w:p w14:paraId="0160F7A7">
      <w:pPr>
        <w:spacing w:line="640" w:lineRule="exact"/>
        <w:ind w:firstLine="640"/>
        <w:jc w:val="both"/>
        <w:outlineLvl w:val="2"/>
      </w:pPr>
      <w:r>
        <w:rPr>
          <w:rFonts w:ascii="黑体" w:hAnsi="黑体" w:eastAsia="黑体"/>
          <w:sz w:val="32"/>
        </w:rPr>
        <w:t>二、机构设置及人员情况</w:t>
      </w:r>
    </w:p>
    <w:p w14:paraId="098E06E1">
      <w:pPr>
        <w:spacing w:line="580" w:lineRule="exact"/>
        <w:ind w:firstLine="640"/>
        <w:jc w:val="both"/>
      </w:pPr>
      <w:r>
        <w:rPr>
          <w:rFonts w:ascii="仿宋_GB2312" w:hAnsi="仿宋_GB2312" w:eastAsia="仿宋_GB2312"/>
          <w:sz w:val="32"/>
        </w:rPr>
        <w:t>疏勒县罕南力克镇人民政府2024年度，实有人数144人，其中：在职人员123人，减少11人；离休人员0人，增加0人；退休人员21人,增加4人。</w:t>
      </w:r>
    </w:p>
    <w:p w14:paraId="7F0B2317">
      <w:pPr>
        <w:spacing w:line="580" w:lineRule="exact"/>
        <w:ind w:firstLine="640"/>
        <w:jc w:val="both"/>
      </w:pPr>
      <w:r>
        <w:rPr>
          <w:rFonts w:ascii="仿宋_GB2312" w:hAnsi="仿宋_GB2312" w:eastAsia="仿宋_GB2312"/>
          <w:sz w:val="32"/>
        </w:rPr>
        <w:t>疏勒县罕南力克镇人民政府无下属预算单位，下设10个科室，分别是：党政综合办公室、党建工作办公室、经济发展和财政办公室、社会事务办公室（退役军人服务站）、综合执法办公室、农业发展服务中心、公共文化服务中心、村镇建设发展中心、综合和网格化服务中心、便民服务中心。</w:t>
      </w:r>
    </w:p>
    <w:p w14:paraId="58283E44">
      <w:r>
        <w:br w:type="page"/>
      </w:r>
    </w:p>
    <w:p w14:paraId="348497E3">
      <w:pPr>
        <w:spacing w:line="240" w:lineRule="auto"/>
        <w:jc w:val="center"/>
        <w:outlineLvl w:val="1"/>
      </w:pPr>
      <w:r>
        <w:rPr>
          <w:rFonts w:ascii="黑体" w:hAnsi="黑体" w:eastAsia="黑体"/>
          <w:sz w:val="32"/>
        </w:rPr>
        <w:t>第二部分 部门决算情况说明</w:t>
      </w:r>
    </w:p>
    <w:p w14:paraId="5E5847F1">
      <w:pPr>
        <w:spacing w:line="640" w:lineRule="exact"/>
        <w:ind w:firstLine="640"/>
        <w:jc w:val="both"/>
        <w:outlineLvl w:val="2"/>
      </w:pPr>
      <w:r>
        <w:rPr>
          <w:rFonts w:ascii="黑体" w:hAnsi="黑体" w:eastAsia="黑体"/>
          <w:sz w:val="32"/>
        </w:rPr>
        <w:t>一、收入支出决算总体情况说明</w:t>
      </w:r>
    </w:p>
    <w:p w14:paraId="2817CA16">
      <w:pPr>
        <w:spacing w:line="580" w:lineRule="exact"/>
        <w:ind w:firstLine="640"/>
        <w:jc w:val="both"/>
      </w:pPr>
      <w:r>
        <w:rPr>
          <w:rFonts w:ascii="仿宋_GB2312" w:hAnsi="仿宋_GB2312" w:eastAsia="仿宋_GB2312"/>
          <w:b/>
          <w:sz w:val="32"/>
        </w:rPr>
        <w:t>2024年度收入总计5,651.29万元，</w:t>
      </w:r>
      <w:r>
        <w:rPr>
          <w:rFonts w:ascii="仿宋_GB2312" w:hAnsi="仿宋_GB2312" w:eastAsia="仿宋_GB2312"/>
          <w:b w:val="0"/>
          <w:sz w:val="32"/>
        </w:rPr>
        <w:t>其中：本年收入合计5,637.96万元，使用非财政拨款结余（含专用结余）0.00万元，年初结转和结余13.33万元。</w:t>
      </w:r>
    </w:p>
    <w:p w14:paraId="25730450">
      <w:pPr>
        <w:spacing w:line="580" w:lineRule="exact"/>
        <w:ind w:firstLine="640"/>
        <w:jc w:val="both"/>
      </w:pPr>
      <w:r>
        <w:rPr>
          <w:rFonts w:ascii="仿宋_GB2312" w:hAnsi="仿宋_GB2312" w:eastAsia="仿宋_GB2312"/>
          <w:b/>
          <w:sz w:val="32"/>
        </w:rPr>
        <w:t>2024年度支出总计5,651.29万元，</w:t>
      </w:r>
      <w:r>
        <w:rPr>
          <w:rFonts w:ascii="仿宋_GB2312" w:hAnsi="仿宋_GB2312" w:eastAsia="仿宋_GB2312"/>
          <w:b w:val="0"/>
          <w:sz w:val="32"/>
        </w:rPr>
        <w:t>其中：本年支出合计5,600.27万元，结余分配0.00万元，年末结转和结余51.01万元。</w:t>
      </w:r>
    </w:p>
    <w:p w14:paraId="4E44760E">
      <w:pPr>
        <w:spacing w:line="580" w:lineRule="exact"/>
        <w:ind w:firstLine="640"/>
        <w:jc w:val="both"/>
      </w:pPr>
      <w:r>
        <w:rPr>
          <w:rFonts w:ascii="仿宋_GB2312" w:hAnsi="仿宋_GB2312" w:eastAsia="仿宋_GB2312"/>
          <w:b w:val="0"/>
          <w:sz w:val="32"/>
        </w:rPr>
        <w:t>收入支出总体与上年相比，增加1,297.59万元，增长29.80%，主要原因是：本年增加公厕建设项目资金、就业商铺建设项目资金、农贸市场改造提升项目资金、小微产业园基础设施提升项目资金、小微产业园建设项目资金和易地搬迁安置点基础设施改造提升2024年中央财政以工代赈项目资金</w:t>
      </w:r>
      <w:r>
        <w:rPr>
          <w:rFonts w:hint="eastAsia" w:ascii="仿宋_GB2312" w:hAnsi="仿宋_GB2312" w:eastAsia="仿宋_GB2312"/>
          <w:b w:val="0"/>
          <w:sz w:val="32"/>
          <w:lang w:eastAsia="zh-CN"/>
        </w:rPr>
        <w:t>、</w:t>
      </w:r>
      <w:r>
        <w:rPr>
          <w:rFonts w:ascii="仿宋_GB2312" w:hAnsi="仿宋_GB2312" w:eastAsia="仿宋_GB2312"/>
          <w:b w:val="0"/>
          <w:sz w:val="32"/>
        </w:rPr>
        <w:t>罕南力克镇蔬菜储藏窖建设项目资金（帮扶资金）、疏勒县乡镇乡村人居环境综合整治项目（援疆资金）等，导致经费较上年增加。</w:t>
      </w:r>
    </w:p>
    <w:p w14:paraId="274025E9">
      <w:pPr>
        <w:spacing w:line="640" w:lineRule="exact"/>
        <w:ind w:firstLine="640"/>
        <w:jc w:val="both"/>
        <w:outlineLvl w:val="2"/>
      </w:pPr>
      <w:r>
        <w:rPr>
          <w:rFonts w:ascii="黑体" w:hAnsi="黑体" w:eastAsia="黑体"/>
          <w:sz w:val="32"/>
        </w:rPr>
        <w:t>二、收入决算情况说明</w:t>
      </w:r>
    </w:p>
    <w:p w14:paraId="05231EA3">
      <w:pPr>
        <w:spacing w:line="580" w:lineRule="exact"/>
        <w:ind w:firstLine="640"/>
        <w:jc w:val="both"/>
      </w:pPr>
      <w:r>
        <w:rPr>
          <w:rFonts w:ascii="仿宋_GB2312" w:hAnsi="仿宋_GB2312" w:eastAsia="仿宋_GB2312"/>
          <w:b/>
          <w:sz w:val="32"/>
        </w:rPr>
        <w:t>本年收入5,637.96万元，</w:t>
      </w:r>
      <w:r>
        <w:rPr>
          <w:rFonts w:ascii="仿宋_GB2312" w:hAnsi="仿宋_GB2312" w:eastAsia="仿宋_GB2312"/>
          <w:b w:val="0"/>
          <w:sz w:val="32"/>
        </w:rPr>
        <w:t>其中：财政拨款收入5,025.96万元，占89.15%；上级补助收入0.00万元，占0.00%；事业收入0.00万元，占0.00%；经营收入0.00万元，占0.00%；附属单位上缴收入0.00万元，占0.00%；其他收入612.00万元，占10.85%。</w:t>
      </w:r>
    </w:p>
    <w:p w14:paraId="1D9FC0C5">
      <w:pPr>
        <w:spacing w:line="640" w:lineRule="exact"/>
        <w:ind w:firstLine="640"/>
        <w:jc w:val="both"/>
        <w:outlineLvl w:val="2"/>
      </w:pPr>
      <w:r>
        <w:rPr>
          <w:rFonts w:ascii="黑体" w:hAnsi="黑体" w:eastAsia="黑体"/>
          <w:sz w:val="32"/>
        </w:rPr>
        <w:t>三、支出决算情况说明</w:t>
      </w:r>
    </w:p>
    <w:p w14:paraId="5AE025E8">
      <w:pPr>
        <w:spacing w:line="580" w:lineRule="exact"/>
        <w:ind w:firstLine="640"/>
        <w:jc w:val="both"/>
      </w:pPr>
      <w:r>
        <w:rPr>
          <w:rFonts w:ascii="仿宋_GB2312" w:hAnsi="仿宋_GB2312" w:eastAsia="仿宋_GB2312"/>
          <w:b/>
          <w:sz w:val="32"/>
        </w:rPr>
        <w:t>本年支出5,600.27万元，</w:t>
      </w:r>
      <w:r>
        <w:rPr>
          <w:rFonts w:ascii="仿宋_GB2312" w:hAnsi="仿宋_GB2312" w:eastAsia="仿宋_GB2312"/>
          <w:b w:val="0"/>
          <w:sz w:val="32"/>
        </w:rPr>
        <w:t>其中：基本支出2,365.02万元，占42.23%；项目支出3,235.25万元，占57.77%；上缴上级支出0.00万元，占0.00%；经营支出0.00万元，占0.00%；对附属单位补助支出0.00万元，占0.00%。</w:t>
      </w:r>
    </w:p>
    <w:p w14:paraId="1E97F50E">
      <w:pPr>
        <w:spacing w:line="640" w:lineRule="exact"/>
        <w:ind w:firstLine="640"/>
        <w:jc w:val="both"/>
        <w:outlineLvl w:val="2"/>
      </w:pPr>
      <w:r>
        <w:rPr>
          <w:rFonts w:ascii="黑体" w:hAnsi="黑体" w:eastAsia="黑体"/>
          <w:sz w:val="32"/>
        </w:rPr>
        <w:t>四、财政拨款收入支出决算总体情况说明</w:t>
      </w:r>
    </w:p>
    <w:p w14:paraId="4B35B350">
      <w:pPr>
        <w:spacing w:line="580" w:lineRule="exact"/>
        <w:ind w:firstLine="640"/>
        <w:jc w:val="both"/>
      </w:pPr>
      <w:r>
        <w:rPr>
          <w:rFonts w:ascii="仿宋_GB2312" w:hAnsi="仿宋_GB2312" w:eastAsia="仿宋_GB2312"/>
          <w:b/>
          <w:sz w:val="32"/>
        </w:rPr>
        <w:t>2024年度财政拨款收入总计5,025.96万元，</w:t>
      </w:r>
      <w:r>
        <w:rPr>
          <w:rFonts w:ascii="仿宋_GB2312" w:hAnsi="仿宋_GB2312" w:eastAsia="仿宋_GB2312"/>
          <w:b w:val="0"/>
          <w:sz w:val="32"/>
        </w:rPr>
        <w:t>其中：年初财政拨款结转和结余0.00万元，本年财政拨款收入5,025.96万元。</w:t>
      </w:r>
      <w:r>
        <w:rPr>
          <w:rFonts w:ascii="仿宋_GB2312" w:hAnsi="仿宋_GB2312" w:eastAsia="仿宋_GB2312"/>
          <w:b/>
          <w:sz w:val="32"/>
        </w:rPr>
        <w:t>财政拨款支出总计5,025.96万元，</w:t>
      </w:r>
      <w:r>
        <w:rPr>
          <w:rFonts w:ascii="仿宋_GB2312" w:hAnsi="仿宋_GB2312" w:eastAsia="仿宋_GB2312"/>
          <w:b w:val="0"/>
          <w:sz w:val="32"/>
        </w:rPr>
        <w:t>其中：年末财政拨款结转和结余0.00万元，本年财政拨款支出5,025.96万元。</w:t>
      </w:r>
    </w:p>
    <w:p w14:paraId="308C810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1,104.87万元，增长28.18%，主要原因是：本年增加公厕建设项目资金、就业商铺建设项目资金、农贸市场改造提升项目资金、小微产业园基础设施提升项目资金、小微产业园建设项目资金和易地搬迁安置点基础设施改造提升2024年中央财政以工代赈项目资金、特色小镇建设（二期）项目等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2,475.46万元，决算数5,025.96万元，预决算差异率103.03%，主要原因是：年中追加公厕建设项目、就业商铺建设项目、农贸市场改造提升项目、小微产业园基础设施提升项目、小微产业园建设项目和易地搬迁安置点基础设施改造提升2024年中央财政以工代赈项目、特色小镇建设（二期）项目等项目，导致预决算存在差异。</w:t>
      </w:r>
    </w:p>
    <w:p w14:paraId="36F15024">
      <w:pPr>
        <w:spacing w:line="640" w:lineRule="exact"/>
        <w:ind w:firstLine="640"/>
        <w:jc w:val="both"/>
        <w:outlineLvl w:val="2"/>
      </w:pPr>
      <w:r>
        <w:rPr>
          <w:rFonts w:ascii="黑体" w:hAnsi="黑体" w:eastAsia="黑体"/>
          <w:sz w:val="32"/>
        </w:rPr>
        <w:t>五、一般公共预算财政拨款支出决算情况说明</w:t>
      </w:r>
    </w:p>
    <w:p w14:paraId="14D124B5">
      <w:pPr>
        <w:spacing w:line="640" w:lineRule="exact"/>
        <w:ind w:firstLine="640"/>
        <w:jc w:val="both"/>
        <w:outlineLvl w:val="3"/>
      </w:pPr>
      <w:r>
        <w:rPr>
          <w:rFonts w:ascii="楷体_GB2312" w:hAnsi="楷体_GB2312" w:eastAsia="楷体_GB2312"/>
          <w:b/>
          <w:sz w:val="32"/>
        </w:rPr>
        <w:t>（一）一般公共预算财政拨款支出决算总体情况</w:t>
      </w:r>
    </w:p>
    <w:p w14:paraId="599C4D61">
      <w:pPr>
        <w:spacing w:line="580" w:lineRule="exact"/>
        <w:ind w:firstLine="640"/>
        <w:jc w:val="both"/>
      </w:pPr>
      <w:r>
        <w:rPr>
          <w:rFonts w:ascii="仿宋_GB2312" w:hAnsi="仿宋_GB2312" w:eastAsia="仿宋_GB2312"/>
          <w:b/>
          <w:sz w:val="32"/>
        </w:rPr>
        <w:t>2024年度一般公共预算财政拨款支出4,925.96万元，</w:t>
      </w:r>
      <w:r>
        <w:rPr>
          <w:rFonts w:ascii="仿宋_GB2312" w:hAnsi="仿宋_GB2312" w:eastAsia="仿宋_GB2312"/>
          <w:b w:val="0"/>
          <w:sz w:val="32"/>
        </w:rPr>
        <w:t>占本年支出合计的87.96%。</w:t>
      </w:r>
      <w:r>
        <w:rPr>
          <w:rFonts w:ascii="仿宋_GB2312" w:hAnsi="仿宋_GB2312" w:eastAsia="仿宋_GB2312"/>
          <w:b/>
          <w:sz w:val="32"/>
        </w:rPr>
        <w:t>与上年相比，</w:t>
      </w:r>
      <w:r>
        <w:rPr>
          <w:rFonts w:ascii="仿宋_GB2312" w:hAnsi="仿宋_GB2312" w:eastAsia="仿宋_GB2312"/>
          <w:b w:val="0"/>
          <w:sz w:val="32"/>
        </w:rPr>
        <w:t>增加1,088.27万元，增长28.36%，主要原因是：本年增加公厕建设项目、就业商铺建设项目、农贸市场改造提升项目、小微产业园基础设施提升项目、小微产业园建设项目和易地搬迁安置点基础设施改造提升2024年中央财政以工代赈项目等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2,403.55万元，决算数4,925.96万元，预决算差异率104.95%，主要原因是：年中追加公厕建设项目、就业商铺建设项目、农贸市场改造提升项目、小微产业园基础设施提升项目、小微产业园建设项目和易地搬迁安置点基础设施改造提</w:t>
      </w:r>
      <w:r>
        <w:rPr>
          <w:rFonts w:hint="eastAsia" w:ascii="仿宋_GB2312" w:hAnsi="仿宋_GB2312" w:eastAsia="仿宋_GB2312"/>
          <w:b w:val="0"/>
          <w:sz w:val="32"/>
          <w:lang w:eastAsia="zh-CN"/>
        </w:rPr>
        <w:t>升和</w:t>
      </w:r>
      <w:r>
        <w:rPr>
          <w:rFonts w:ascii="仿宋_GB2312" w:hAnsi="仿宋_GB2312" w:eastAsia="仿宋_GB2312"/>
          <w:b w:val="0"/>
          <w:sz w:val="32"/>
        </w:rPr>
        <w:t>2024年中央财政以工代赈项目等项目，导致预决算存在差异。</w:t>
      </w:r>
    </w:p>
    <w:p w14:paraId="3F004AAD">
      <w:pPr>
        <w:spacing w:line="640" w:lineRule="exact"/>
        <w:ind w:firstLine="640"/>
        <w:jc w:val="both"/>
        <w:outlineLvl w:val="3"/>
      </w:pPr>
      <w:r>
        <w:rPr>
          <w:rFonts w:ascii="楷体_GB2312" w:hAnsi="楷体_GB2312" w:eastAsia="楷体_GB2312"/>
          <w:b/>
          <w:sz w:val="32"/>
        </w:rPr>
        <w:t>（二）一般公共预算财政拨款支出决算结构情况</w:t>
      </w:r>
    </w:p>
    <w:p w14:paraId="5192C8A8">
      <w:pPr>
        <w:spacing w:line="580" w:lineRule="exact"/>
        <w:ind w:firstLine="640"/>
        <w:jc w:val="both"/>
      </w:pPr>
      <w:r>
        <w:rPr>
          <w:rFonts w:ascii="仿宋_GB2312" w:hAnsi="仿宋_GB2312" w:eastAsia="仿宋_GB2312"/>
          <w:b w:val="0"/>
          <w:sz w:val="32"/>
        </w:rPr>
        <w:t>1.一般公共服务支出(类)1,368.95万元,占27.79%。</w:t>
      </w:r>
    </w:p>
    <w:p w14:paraId="48F64CD0">
      <w:pPr>
        <w:spacing w:line="580" w:lineRule="exact"/>
        <w:ind w:firstLine="640"/>
        <w:jc w:val="both"/>
      </w:pPr>
      <w:r>
        <w:rPr>
          <w:rFonts w:ascii="仿宋_GB2312" w:hAnsi="仿宋_GB2312" w:eastAsia="仿宋_GB2312"/>
          <w:b w:val="0"/>
          <w:sz w:val="32"/>
        </w:rPr>
        <w:t>2.文化旅游体育与传媒支出(类)11.85万元,占0.24%。</w:t>
      </w:r>
    </w:p>
    <w:p w14:paraId="38F884FC">
      <w:pPr>
        <w:spacing w:line="580" w:lineRule="exact"/>
        <w:ind w:firstLine="640"/>
        <w:jc w:val="both"/>
      </w:pPr>
      <w:r>
        <w:rPr>
          <w:rFonts w:ascii="仿宋_GB2312" w:hAnsi="仿宋_GB2312" w:eastAsia="仿宋_GB2312"/>
          <w:b w:val="0"/>
          <w:sz w:val="32"/>
        </w:rPr>
        <w:t>3.社会保障和就业支出(类)291.88万元,占5.93%。</w:t>
      </w:r>
    </w:p>
    <w:p w14:paraId="1AA6F211">
      <w:pPr>
        <w:spacing w:line="580" w:lineRule="exact"/>
        <w:ind w:firstLine="640"/>
        <w:jc w:val="both"/>
      </w:pPr>
      <w:r>
        <w:rPr>
          <w:rFonts w:ascii="仿宋_GB2312" w:hAnsi="仿宋_GB2312" w:eastAsia="仿宋_GB2312"/>
          <w:b w:val="0"/>
          <w:sz w:val="32"/>
        </w:rPr>
        <w:t>4.卫生健康支出(类)111.64万元,占2.27%。</w:t>
      </w:r>
    </w:p>
    <w:p w14:paraId="5B0BDDFB">
      <w:pPr>
        <w:spacing w:line="580" w:lineRule="exact"/>
        <w:ind w:firstLine="640"/>
        <w:jc w:val="both"/>
      </w:pPr>
      <w:r>
        <w:rPr>
          <w:rFonts w:ascii="仿宋_GB2312" w:hAnsi="仿宋_GB2312" w:eastAsia="仿宋_GB2312"/>
          <w:b w:val="0"/>
          <w:sz w:val="32"/>
        </w:rPr>
        <w:t>5.节能环保支出(类)294.31万元,占5.97%。</w:t>
      </w:r>
    </w:p>
    <w:p w14:paraId="7E06277E">
      <w:pPr>
        <w:spacing w:line="580" w:lineRule="exact"/>
        <w:ind w:firstLine="640"/>
        <w:jc w:val="both"/>
      </w:pPr>
      <w:r>
        <w:rPr>
          <w:rFonts w:ascii="仿宋_GB2312" w:hAnsi="仿宋_GB2312" w:eastAsia="仿宋_GB2312"/>
          <w:b w:val="0"/>
          <w:sz w:val="32"/>
        </w:rPr>
        <w:t>6.农林水支出(类)2,672.62万元,占54.26%。</w:t>
      </w:r>
    </w:p>
    <w:p w14:paraId="0DD62E24">
      <w:pPr>
        <w:spacing w:line="580" w:lineRule="exact"/>
        <w:ind w:firstLine="640"/>
        <w:jc w:val="both"/>
      </w:pPr>
      <w:r>
        <w:rPr>
          <w:rFonts w:ascii="仿宋_GB2312" w:hAnsi="仿宋_GB2312" w:eastAsia="仿宋_GB2312"/>
          <w:b w:val="0"/>
          <w:sz w:val="32"/>
        </w:rPr>
        <w:t>7.住房保障支出(类)174.71万元,占3.55%。</w:t>
      </w:r>
    </w:p>
    <w:p w14:paraId="67070360">
      <w:pPr>
        <w:spacing w:line="640" w:lineRule="exact"/>
        <w:ind w:firstLine="640"/>
        <w:jc w:val="both"/>
        <w:outlineLvl w:val="3"/>
      </w:pPr>
      <w:r>
        <w:rPr>
          <w:rFonts w:ascii="楷体_GB2312" w:hAnsi="楷体_GB2312" w:eastAsia="楷体_GB2312"/>
          <w:b/>
          <w:sz w:val="32"/>
        </w:rPr>
        <w:t>（三）一般公共预算财政拨款支出决算具体情况</w:t>
      </w:r>
    </w:p>
    <w:p w14:paraId="2182AE2E">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1,329.81万元，比上年决算减少486.29万元，下降26.78%,主要原因是：本年在职人员减少，人员经费支出减少，本年功能科目调整，事业人员经费上年度在本科目列支，本年调整至事业运行科目列支，相应支出减少。</w:t>
      </w:r>
    </w:p>
    <w:p w14:paraId="558C7398">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22.43万元，比上年决算减少150.08万元，下降87.00%,主要原因是：本年减少化债类项目，导致经费较上年减少。</w:t>
      </w:r>
    </w:p>
    <w:p w14:paraId="2C5E1101">
      <w:pPr>
        <w:spacing w:line="580" w:lineRule="exact"/>
        <w:ind w:firstLine="640"/>
        <w:jc w:val="both"/>
      </w:pPr>
      <w:r>
        <w:rPr>
          <w:rFonts w:ascii="仿宋_GB2312" w:hAnsi="仿宋_GB2312" w:eastAsia="仿宋_GB2312"/>
          <w:b w:val="0"/>
          <w:sz w:val="32"/>
        </w:rPr>
        <w:t>3.一般公共服务支出(类)纪检监察事务(款)其他纪检监察事务支出(项):支出决算数为3.00万元，比上年决算增加1.50万元，增长100.00%,主要原因是：本年增加疏勒县纪检监察工作经费和装备设施项目</w:t>
      </w:r>
      <w:r>
        <w:rPr>
          <w:rFonts w:hint="eastAsia" w:ascii="仿宋_GB2312" w:hAnsi="仿宋_GB2312" w:eastAsia="仿宋_GB2312"/>
          <w:b w:val="0"/>
          <w:sz w:val="32"/>
          <w:lang w:eastAsia="zh-CN"/>
        </w:rPr>
        <w:t>；</w:t>
      </w:r>
      <w:r>
        <w:rPr>
          <w:rFonts w:ascii="仿宋_GB2312" w:hAnsi="仿宋_GB2312" w:eastAsia="仿宋_GB2312"/>
          <w:b w:val="0"/>
          <w:sz w:val="32"/>
        </w:rPr>
        <w:t>2024年中央政法纪检监察转移支付资金项目支付金额增加，相应支出增加。</w:t>
      </w:r>
    </w:p>
    <w:p w14:paraId="3B17D550">
      <w:pPr>
        <w:spacing w:line="580" w:lineRule="exact"/>
        <w:ind w:firstLine="640"/>
        <w:jc w:val="both"/>
      </w:pPr>
      <w:r>
        <w:rPr>
          <w:rFonts w:ascii="仿宋_GB2312" w:hAnsi="仿宋_GB2312" w:eastAsia="仿宋_GB2312"/>
          <w:b w:val="0"/>
          <w:sz w:val="32"/>
        </w:rPr>
        <w:t>4.一般公共服务支出(类)组织事务(款)其他组织事务支出(项):支出决算数为13.71万元，比上年决算减少56.30万元，下降80.42%,主要原因是：本年村级组织运转工作项目资金较上年减少，减少乡镇、街道综合治理及工作项目，相应支出减少。</w:t>
      </w:r>
    </w:p>
    <w:p w14:paraId="75F269EA">
      <w:pPr>
        <w:spacing w:line="580" w:lineRule="exact"/>
        <w:ind w:firstLine="640"/>
        <w:jc w:val="both"/>
      </w:pPr>
      <w:r>
        <w:rPr>
          <w:rFonts w:ascii="仿宋_GB2312" w:hAnsi="仿宋_GB2312" w:eastAsia="仿宋_GB2312"/>
          <w:b w:val="0"/>
          <w:sz w:val="32"/>
        </w:rPr>
        <w:t>5.公共安全支出(类)其他公共安全支出(款)其他公共安全支出(项):支出决算数为0.00万元，比上年决算减少42.96万元，下降100.00%,主要原因是：本年功能科目调整，乡级聘用人员工资项目资金上年度在本科目列支，本年调整至其他农业农村支出科目列支，相应支出减少。</w:t>
      </w:r>
    </w:p>
    <w:p w14:paraId="2C3A468A">
      <w:pPr>
        <w:spacing w:line="580" w:lineRule="exact"/>
        <w:ind w:firstLine="640"/>
        <w:jc w:val="both"/>
      </w:pPr>
      <w:r>
        <w:rPr>
          <w:rFonts w:ascii="仿宋_GB2312" w:hAnsi="仿宋_GB2312" w:eastAsia="仿宋_GB2312"/>
          <w:b w:val="0"/>
          <w:sz w:val="32"/>
        </w:rPr>
        <w:t>6.文化旅游体育与传媒支出(类)文化和旅游(款)其他文化和旅游支出(项):支出决算数为3.57万元，比上年决算增加0.47万元，增长15.16%,主要原因是：本年公共图书馆美术馆文化馆【站】免费开放补助资金较上年增加，相应支出增加。</w:t>
      </w:r>
    </w:p>
    <w:p w14:paraId="2D8D9507">
      <w:pPr>
        <w:spacing w:line="580" w:lineRule="exact"/>
        <w:ind w:firstLine="640"/>
        <w:jc w:val="both"/>
      </w:pPr>
      <w:r>
        <w:rPr>
          <w:rFonts w:ascii="仿宋_GB2312" w:hAnsi="仿宋_GB2312" w:eastAsia="仿宋_GB2312"/>
          <w:b w:val="0"/>
          <w:sz w:val="32"/>
        </w:rPr>
        <w:t>7.文化旅游体育与传媒支出(类)其他文化旅游体育与传媒支出(款)其他文化旅游体育与传媒支出(项):支出决算数为8.28万元，比上年决算增加8.28万元，增长100.00%,主要原因是：本年增加2024年第一批中央补助地方公共文化服务体系建设补助资金项目，相应支出增加。</w:t>
      </w:r>
    </w:p>
    <w:p w14:paraId="707DA388">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8.社会保障和就业支出(类)行政事业单位养老支出(款)行政单位离退休(项):支出决算数为23.15万元，比上年决算增加4.93万元，增长27.06%,主要原因是：本年增加退休人员基础绩效奖，退休费支出增加。</w:t>
      </w:r>
    </w:p>
    <w:p w14:paraId="30649451">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214.06万元，比上年决算增加20.16万元，增长10.40%,主要原因是：本年在职人员工资基数调增，养老缴费基数上涨，相应支出增加。</w:t>
      </w:r>
    </w:p>
    <w:p w14:paraId="2F91B591">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10.社会保障和就业支出(类)行政事业单位养老支出(款)机关事业单位职业年金缴费支出(项):支出决算数为37.69万元，比上年决算增加24.20万元，增长179.39%,主要原因是：本年新增退休人员，职业年金缴费支出增加。</w:t>
      </w:r>
    </w:p>
    <w:p w14:paraId="70B5012E">
      <w:pPr>
        <w:spacing w:line="580" w:lineRule="exact"/>
        <w:ind w:firstLine="640"/>
        <w:jc w:val="both"/>
      </w:pPr>
      <w:r>
        <w:rPr>
          <w:rFonts w:ascii="仿宋_GB2312" w:hAnsi="仿宋_GB2312" w:eastAsia="仿宋_GB2312"/>
          <w:b w:val="0"/>
          <w:sz w:val="32"/>
        </w:rPr>
        <w:t>11.社会保障和就业支出(类)就业补助(款)其他就业补助支出(项):支出决算数为16.98万元，比上年决算增加16.98万元，增长100.00%,主要原因是：本年增加自治区就业补助项目，相应支出增加。</w:t>
      </w:r>
    </w:p>
    <w:p w14:paraId="05397E08">
      <w:pPr>
        <w:spacing w:line="580" w:lineRule="exact"/>
        <w:ind w:firstLine="640"/>
        <w:jc w:val="both"/>
      </w:pPr>
      <w:r>
        <w:rPr>
          <w:rFonts w:ascii="仿宋_GB2312" w:hAnsi="仿宋_GB2312" w:eastAsia="仿宋_GB2312"/>
          <w:b w:val="0"/>
          <w:sz w:val="32"/>
        </w:rPr>
        <w:t>12.卫生健康支出(类)行政事业单位医疗(款)行政单位医疗(项):支出决算数为92.01万元，比上年决算增加8.51万元，增长10.19%,主要原因是：本年在职人员工资基数调增，医疗缴费基数上涨，相应支出增加。</w:t>
      </w:r>
    </w:p>
    <w:p w14:paraId="617B465D">
      <w:pPr>
        <w:spacing w:line="580" w:lineRule="exact"/>
        <w:ind w:firstLine="640"/>
        <w:jc w:val="both"/>
      </w:pPr>
      <w:r>
        <w:rPr>
          <w:rFonts w:ascii="仿宋_GB2312" w:hAnsi="仿宋_GB2312" w:eastAsia="仿宋_GB2312"/>
          <w:b w:val="0"/>
          <w:sz w:val="32"/>
        </w:rPr>
        <w:t>13.卫生健康支出(类)行政事业单位医疗(款)公务员医疗补助(项):支出决算数为19.63万元，比上年决算增加1.88万元，增长10.59%,主要原因是：本年在职人员工资基数调增，医疗缴费基数上涨，相应支出增加。</w:t>
      </w:r>
    </w:p>
    <w:p w14:paraId="75EAF9E3">
      <w:pPr>
        <w:spacing w:line="580" w:lineRule="exact"/>
        <w:ind w:firstLine="640"/>
        <w:jc w:val="both"/>
      </w:pPr>
      <w:r>
        <w:rPr>
          <w:rFonts w:ascii="仿宋_GB2312" w:hAnsi="仿宋_GB2312" w:eastAsia="仿宋_GB2312"/>
          <w:b w:val="0"/>
          <w:sz w:val="32"/>
        </w:rPr>
        <w:t>14.节能环保支出(类)能源节约利用(款)能源节约利用(项):支出决算数为294.31万元，比上年决算增加41.99万元，增长16.64%,主要原因是：本年增加2024年新疆煤改电二期工程（自治区财政补助）项目，相应支出增加。</w:t>
      </w:r>
    </w:p>
    <w:p w14:paraId="0D6BD472">
      <w:pPr>
        <w:spacing w:line="580" w:lineRule="exact"/>
        <w:ind w:firstLine="640"/>
        <w:jc w:val="both"/>
      </w:pPr>
      <w:r>
        <w:rPr>
          <w:rFonts w:ascii="仿宋_GB2312" w:hAnsi="仿宋_GB2312" w:eastAsia="仿宋_GB2312"/>
          <w:b w:val="0"/>
          <w:sz w:val="32"/>
        </w:rPr>
        <w:t>15.农林水支出(类)农业农村(款)事业运行(项):支出决算数为473.97万元，比上年决算增加473.97万元，增长100.00%,主要原因是：本年功能科目调整，事业人员经费上年度在行政运行科目，本年调整至本科目列支，相应支出增加。</w:t>
      </w:r>
    </w:p>
    <w:p w14:paraId="4A163A60">
      <w:pPr>
        <w:spacing w:line="580" w:lineRule="exact"/>
        <w:ind w:firstLine="640"/>
        <w:jc w:val="both"/>
      </w:pPr>
      <w:r>
        <w:rPr>
          <w:rFonts w:ascii="仿宋_GB2312" w:hAnsi="仿宋_GB2312" w:eastAsia="仿宋_GB2312"/>
          <w:b w:val="0"/>
          <w:sz w:val="32"/>
        </w:rPr>
        <w:t>16.农林水支出(类)农业农村(款)其他农业农村支出(项):支出决算数为13.66万元，比上年决算增加0.56万元，增长4.27%,主要原因是：本年增加工作队为民办实事经费项目，本年功能科目调整，乡级聘用人员工资项目资金、乡镇工作经费项目资金上年度在其他公共安全支出科目列支，本年调整至本科目列支，相应支出增加。</w:t>
      </w:r>
    </w:p>
    <w:p w14:paraId="50D80AF8">
      <w:pPr>
        <w:spacing w:line="580" w:lineRule="exact"/>
        <w:ind w:firstLine="640"/>
        <w:jc w:val="both"/>
      </w:pPr>
      <w:r>
        <w:rPr>
          <w:rFonts w:ascii="仿宋_GB2312" w:hAnsi="仿宋_GB2312" w:eastAsia="仿宋_GB2312"/>
          <w:b w:val="0"/>
          <w:sz w:val="32"/>
        </w:rPr>
        <w:t>17.农林水支出(类)巩固脱贫攻坚成果衔接乡村振兴(款)农村基础设施建设(项):支出决算数为0.00万元，比上年决算减少42.99万元，下降100.00%,主要原因是：本年减少排水管网改造及一体化污水处理设备购置项目资金。</w:t>
      </w:r>
    </w:p>
    <w:p w14:paraId="6E287148">
      <w:pPr>
        <w:spacing w:line="580" w:lineRule="exact"/>
        <w:ind w:firstLine="640"/>
        <w:jc w:val="both"/>
      </w:pPr>
      <w:r>
        <w:rPr>
          <w:rFonts w:ascii="仿宋_GB2312" w:hAnsi="仿宋_GB2312" w:eastAsia="仿宋_GB2312"/>
          <w:b w:val="0"/>
          <w:sz w:val="32"/>
        </w:rPr>
        <w:t>18.农林水支出(类)巩固脱贫攻坚成果衔接乡村振兴(款)生产发展(项):支出决算数为2,135.14万元，比上年决算增加1,198.64万元，增长127.99%,主要原因是：本年增加公厕建设项目、就业商铺建设项目、农贸市场改造提升项目、小微产业园基础设施提升项目、小微产业园建设项目和易地搬迁安置点基础设施改造提升2024年中央财政以工代赈项目等资金。</w:t>
      </w:r>
    </w:p>
    <w:p w14:paraId="00A83A2B">
      <w:pPr>
        <w:spacing w:line="580" w:lineRule="exact"/>
        <w:ind w:firstLine="640"/>
        <w:jc w:val="both"/>
      </w:pPr>
      <w:r>
        <w:rPr>
          <w:rFonts w:ascii="仿宋_GB2312" w:hAnsi="仿宋_GB2312" w:eastAsia="仿宋_GB2312"/>
          <w:b w:val="0"/>
          <w:sz w:val="32"/>
        </w:rPr>
        <w:t>19.农林水支出(类)农村综合改革(款)对村级公益事业建设的补助(项):支出决算数为49.85万元，比上年决算增加49.85万元，增长100.00%,主要原因是：本年增加2024年农村综合改革转移支付（农村公益事业财政奖补）项目。</w:t>
      </w:r>
    </w:p>
    <w:p w14:paraId="1642985A">
      <w:pPr>
        <w:spacing w:line="580" w:lineRule="exact"/>
        <w:ind w:firstLine="640"/>
        <w:jc w:val="both"/>
      </w:pPr>
      <w:r>
        <w:rPr>
          <w:rFonts w:ascii="仿宋_GB2312" w:hAnsi="仿宋_GB2312" w:eastAsia="仿宋_GB2312"/>
          <w:b w:val="0"/>
          <w:sz w:val="32"/>
        </w:rPr>
        <w:t>20.住房保障支出(类)住房改革支出(款)住房公积金(项):支出决算数为174.71万元，比上年决算增加14.97万元，增长9.37%,主要原因是：本年在职人员工资基数调增，公积金缴费基数上涨，相应支出增加。</w:t>
      </w:r>
    </w:p>
    <w:p w14:paraId="557E3BFE">
      <w:pPr>
        <w:spacing w:line="640" w:lineRule="exact"/>
        <w:ind w:firstLine="640"/>
        <w:jc w:val="both"/>
        <w:outlineLvl w:val="2"/>
      </w:pPr>
      <w:r>
        <w:rPr>
          <w:rFonts w:ascii="黑体" w:hAnsi="黑体" w:eastAsia="黑体"/>
          <w:sz w:val="32"/>
        </w:rPr>
        <w:t>六、一般公共预算财政拨款基本支出决算情况说明</w:t>
      </w:r>
    </w:p>
    <w:p w14:paraId="2C683234">
      <w:pPr>
        <w:spacing w:line="580" w:lineRule="exact"/>
        <w:ind w:firstLine="640"/>
        <w:jc w:val="both"/>
      </w:pPr>
      <w:r>
        <w:rPr>
          <w:rFonts w:ascii="仿宋_GB2312" w:hAnsi="仿宋_GB2312" w:eastAsia="仿宋_GB2312"/>
          <w:b w:val="0"/>
          <w:sz w:val="32"/>
        </w:rPr>
        <w:t>2024年度一般公共预算财政拨款基本支出2,365.02万元，其中：</w:t>
      </w:r>
      <w:r>
        <w:rPr>
          <w:rFonts w:ascii="仿宋_GB2312" w:hAnsi="仿宋_GB2312" w:eastAsia="仿宋_GB2312"/>
          <w:b/>
          <w:sz w:val="32"/>
        </w:rPr>
        <w:t>人员经费2,312.97万元，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14:paraId="0E42226F">
      <w:pPr>
        <w:spacing w:line="580" w:lineRule="exact"/>
        <w:ind w:firstLine="640"/>
        <w:jc w:val="both"/>
      </w:pPr>
      <w:r>
        <w:rPr>
          <w:rFonts w:ascii="仿宋_GB2312" w:hAnsi="仿宋_GB2312" w:eastAsia="仿宋_GB2312"/>
          <w:b/>
          <w:sz w:val="32"/>
        </w:rPr>
        <w:t>公用经费52.06万元，</w:t>
      </w:r>
      <w:r>
        <w:rPr>
          <w:rFonts w:ascii="仿宋_GB2312" w:hAnsi="仿宋_GB2312" w:eastAsia="仿宋_GB2312"/>
          <w:b w:val="0"/>
          <w:sz w:val="32"/>
        </w:rPr>
        <w:t>包括：办公费、印刷费、电费、邮电费、差旅费、维修（护）费、委托业务费、公务用车运行维护费、其他交通费用、其他商品和服务支出。</w:t>
      </w:r>
    </w:p>
    <w:p w14:paraId="7FBF4643">
      <w:pPr>
        <w:spacing w:line="640" w:lineRule="exact"/>
        <w:ind w:firstLine="640"/>
        <w:jc w:val="both"/>
        <w:outlineLvl w:val="2"/>
      </w:pPr>
      <w:r>
        <w:rPr>
          <w:rFonts w:ascii="黑体" w:hAnsi="黑体" w:eastAsia="黑体"/>
          <w:sz w:val="32"/>
        </w:rPr>
        <w:t>七、政府性基金预算财政拨款收入支出决算情况说明</w:t>
      </w:r>
    </w:p>
    <w:p w14:paraId="41A3F158">
      <w:pPr>
        <w:spacing w:line="580" w:lineRule="exact"/>
        <w:ind w:firstLine="640"/>
        <w:jc w:val="both"/>
      </w:pPr>
      <w:r>
        <w:rPr>
          <w:rFonts w:ascii="仿宋_GB2312" w:hAnsi="仿宋_GB2312" w:eastAsia="仿宋_GB2312"/>
          <w:b/>
          <w:sz w:val="32"/>
        </w:rPr>
        <w:t>2024年度政府性基金预算财政拨款收入总计100.00万元，</w:t>
      </w:r>
      <w:r>
        <w:rPr>
          <w:rFonts w:ascii="仿宋_GB2312" w:hAnsi="仿宋_GB2312" w:eastAsia="仿宋_GB2312"/>
          <w:b w:val="0"/>
          <w:sz w:val="32"/>
        </w:rPr>
        <w:t>其中：年初结转和结余0.00万元，本年收入100.00万元。</w:t>
      </w:r>
      <w:r>
        <w:rPr>
          <w:rFonts w:ascii="仿宋_GB2312" w:hAnsi="仿宋_GB2312" w:eastAsia="仿宋_GB2312"/>
          <w:b/>
          <w:sz w:val="32"/>
        </w:rPr>
        <w:t>政府性基金预算财政拨款支出总计100.00万元，</w:t>
      </w:r>
      <w:r>
        <w:rPr>
          <w:rFonts w:ascii="仿宋_GB2312" w:hAnsi="仿宋_GB2312" w:eastAsia="仿宋_GB2312"/>
          <w:b w:val="0"/>
          <w:sz w:val="32"/>
        </w:rPr>
        <w:t>其中：年末结转和结余0.00万元，本年支出100.00万元。</w:t>
      </w:r>
    </w:p>
    <w:p w14:paraId="4A71F041">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增加16.60万元，增长19.90%，主要原因是：本年2021年特色小镇建设（二期）项目资金较上年增加，导致经费较上年增加。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年初预算数71.91万元，决算数100.00万元，预决算差异率39.06%，主要原因是：年中追加2021年特色小镇建设（二期）项目，导致预决算存在差异。</w:t>
      </w:r>
    </w:p>
    <w:p w14:paraId="2A16FDDA">
      <w:pPr>
        <w:spacing w:line="580" w:lineRule="exact"/>
        <w:ind w:firstLine="640"/>
        <w:jc w:val="both"/>
      </w:pPr>
      <w:r>
        <w:rPr>
          <w:rFonts w:ascii="仿宋_GB2312" w:hAnsi="仿宋_GB2312" w:eastAsia="仿宋_GB2312"/>
          <w:b w:val="0"/>
          <w:sz w:val="32"/>
        </w:rPr>
        <w:t>政府性基金预算财政拨款支出100.00万元。</w:t>
      </w:r>
    </w:p>
    <w:p w14:paraId="1C0339EC">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100.00万元，比上年决算增加16.60万元，增长19.90%,主要原因是：本年2021年特色小镇建设（二期）项目资金较上年增加，导致经费较上年增加。</w:t>
      </w:r>
    </w:p>
    <w:p w14:paraId="2160E677">
      <w:pPr>
        <w:spacing w:line="640" w:lineRule="exact"/>
        <w:ind w:firstLine="640"/>
        <w:jc w:val="both"/>
        <w:outlineLvl w:val="2"/>
      </w:pPr>
      <w:r>
        <w:rPr>
          <w:rFonts w:ascii="黑体" w:hAnsi="黑体" w:eastAsia="黑体"/>
          <w:sz w:val="32"/>
        </w:rPr>
        <w:t>八、国有资本经营预算财政拨款收入支出决算情况说明</w:t>
      </w:r>
    </w:p>
    <w:p w14:paraId="011DB02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87144B4">
      <w:pPr>
        <w:spacing w:line="640" w:lineRule="exact"/>
        <w:ind w:firstLine="640"/>
        <w:jc w:val="both"/>
        <w:outlineLvl w:val="2"/>
      </w:pPr>
      <w:r>
        <w:rPr>
          <w:rFonts w:ascii="黑体" w:hAnsi="黑体" w:eastAsia="黑体"/>
          <w:sz w:val="32"/>
        </w:rPr>
        <w:t>九、财政拨款“三公”经费支出决算情况说明</w:t>
      </w:r>
    </w:p>
    <w:p w14:paraId="20E01205">
      <w:pPr>
        <w:spacing w:line="580" w:lineRule="exact"/>
        <w:ind w:firstLine="640"/>
        <w:jc w:val="both"/>
      </w:pPr>
      <w:r>
        <w:rPr>
          <w:rFonts w:ascii="仿宋_GB2312" w:hAnsi="仿宋_GB2312" w:eastAsia="仿宋_GB2312"/>
          <w:b/>
          <w:sz w:val="32"/>
        </w:rPr>
        <w:t>2024年度财政拨款“三公”经费支出1.55万元，</w:t>
      </w:r>
      <w:r>
        <w:rPr>
          <w:rFonts w:ascii="仿宋_GB2312" w:hAnsi="仿宋_GB2312" w:eastAsia="仿宋_GB2312"/>
          <w:b w:val="0"/>
          <w:sz w:val="32"/>
        </w:rPr>
        <w:t>比上年增加0.00万元，增长0.00%，主要原因是：本单位财政拨款“三公”经费与上年一致无变化。其中：因公出国（境）费支出0.00万元，占0.00%，比上年增加0.00万元，增长0.00%，主要原因是：2023年与2024年均未安排因公出国（境）费支出。公务用车购置及运行维护费支出1.55万元，占100.00%，比上年增加0.00万元，增长0.00%，主要原因是：本单位公务用车运行维护费与上年一致无变化。公务接待费支出0.00万元，占0.00%，比上年增加0.00万元，增长0.00%，主要原因是：2023年与2024年均未安排公务接待费支出。</w:t>
      </w:r>
    </w:p>
    <w:p w14:paraId="427D6837">
      <w:pPr>
        <w:spacing w:line="580" w:lineRule="exact"/>
        <w:ind w:firstLine="640"/>
        <w:jc w:val="both"/>
      </w:pPr>
      <w:r>
        <w:rPr>
          <w:rFonts w:ascii="仿宋_GB2312" w:hAnsi="仿宋_GB2312" w:eastAsia="仿宋_GB2312"/>
          <w:b/>
          <w:sz w:val="32"/>
        </w:rPr>
        <w:t>具体情况如下：</w:t>
      </w:r>
    </w:p>
    <w:p w14:paraId="157464D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30DC2E0">
      <w:pPr>
        <w:spacing w:line="580" w:lineRule="exact"/>
        <w:ind w:firstLine="640"/>
        <w:jc w:val="both"/>
      </w:pPr>
      <w:r>
        <w:rPr>
          <w:rFonts w:ascii="仿宋_GB2312" w:hAnsi="仿宋_GB2312" w:eastAsia="仿宋_GB2312"/>
          <w:b w:val="0"/>
          <w:sz w:val="32"/>
        </w:rPr>
        <w:t>公务用车购置及运行维护费1.55万元，其中：公务用车购置费0.00万元，公务用车运行维护费1.55万元。公务用车运行维护费开支内容包括公务用车加油费、保险费、维修费。公务用车购置数0辆，公务用车保有量2辆。国有资产占用情况中固定资产车辆10辆，与公务用车保有量差异原因是：</w:t>
      </w:r>
      <w:r>
        <w:rPr>
          <w:rFonts w:hint="eastAsia" w:ascii="仿宋_GB2312" w:hAnsi="仿宋_GB2312" w:eastAsia="仿宋_GB2312"/>
          <w:b w:val="0"/>
          <w:sz w:val="32"/>
          <w:lang w:eastAsia="zh-CN"/>
        </w:rPr>
        <w:t>本单位</w:t>
      </w:r>
      <w:r>
        <w:rPr>
          <w:rFonts w:ascii="仿宋_GB2312" w:hAnsi="仿宋_GB2312" w:eastAsia="仿宋_GB2312"/>
          <w:b w:val="0"/>
          <w:sz w:val="32"/>
        </w:rPr>
        <w:t>差异车辆8辆，为其他业务用车，预算未安排公务用车运行维护费。</w:t>
      </w:r>
    </w:p>
    <w:p w14:paraId="265C716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E03F91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1.55万元，决算数1.55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1.55万元，决算数1.55万元，预决算差异率0.00%，主要原因是：严格按照预算执行，预决算无差异。公务接待费全年预算数0.00万元，决算数0.00万元，预决算差异率0.00%，主要原因是：本单位无公务接待费。</w:t>
      </w:r>
    </w:p>
    <w:p w14:paraId="04A2616E">
      <w:pPr>
        <w:spacing w:line="640" w:lineRule="exact"/>
        <w:ind w:firstLine="640"/>
        <w:jc w:val="both"/>
        <w:outlineLvl w:val="2"/>
      </w:pPr>
      <w:r>
        <w:rPr>
          <w:rFonts w:ascii="黑体" w:hAnsi="黑体" w:eastAsia="黑体"/>
          <w:sz w:val="32"/>
        </w:rPr>
        <w:t>十、其他重要事项的情况说明</w:t>
      </w:r>
    </w:p>
    <w:p w14:paraId="2F2EFA8F">
      <w:pPr>
        <w:spacing w:line="640" w:lineRule="exact"/>
        <w:ind w:firstLine="640"/>
        <w:jc w:val="both"/>
        <w:outlineLvl w:val="3"/>
      </w:pPr>
      <w:r>
        <w:rPr>
          <w:rFonts w:ascii="楷体_GB2312" w:hAnsi="楷体_GB2312" w:eastAsia="楷体_GB2312"/>
          <w:b/>
          <w:sz w:val="32"/>
        </w:rPr>
        <w:t>（一）机关运行经费及公用经费支出情况</w:t>
      </w:r>
    </w:p>
    <w:p w14:paraId="19FB9AFD">
      <w:pPr>
        <w:spacing w:line="580" w:lineRule="exact"/>
        <w:ind w:firstLine="640"/>
        <w:jc w:val="both"/>
      </w:pPr>
      <w:r>
        <w:rPr>
          <w:rFonts w:ascii="仿宋_GB2312" w:hAnsi="仿宋_GB2312" w:eastAsia="仿宋_GB2312"/>
          <w:b w:val="0"/>
          <w:sz w:val="32"/>
        </w:rPr>
        <w:t>2024年度疏勒县罕南力克镇人民政府（行政单位和参照公务员法管理事业单位）机关运行经费支出52.06万元，比上年减少0.49万元，下降0.93%，主要原因是：严控经费支出，厉行节约，减少经费支出。</w:t>
      </w:r>
    </w:p>
    <w:p w14:paraId="7AF08C39">
      <w:pPr>
        <w:spacing w:line="640" w:lineRule="exact"/>
        <w:ind w:firstLine="640"/>
        <w:jc w:val="both"/>
        <w:outlineLvl w:val="3"/>
      </w:pPr>
      <w:r>
        <w:rPr>
          <w:rFonts w:ascii="楷体_GB2312" w:hAnsi="楷体_GB2312" w:eastAsia="楷体_GB2312"/>
          <w:b/>
          <w:sz w:val="32"/>
        </w:rPr>
        <w:t>（二）政府采购情况</w:t>
      </w:r>
    </w:p>
    <w:p w14:paraId="0F554564">
      <w:pPr>
        <w:spacing w:line="580" w:lineRule="exact"/>
        <w:ind w:firstLine="640"/>
        <w:jc w:val="both"/>
      </w:pPr>
      <w:r>
        <w:rPr>
          <w:rFonts w:ascii="仿宋_GB2312" w:hAnsi="仿宋_GB2312" w:eastAsia="仿宋_GB2312"/>
          <w:b w:val="0"/>
          <w:sz w:val="32"/>
        </w:rPr>
        <w:t>2024年度政府采购支出总额1,025.49万元，其中：政府采购货物支出252.01万元、政府采购工程支出721.69万元、政府采购服务支出51.79万元。</w:t>
      </w:r>
    </w:p>
    <w:p w14:paraId="39C356B6">
      <w:pPr>
        <w:spacing w:line="580" w:lineRule="exact"/>
        <w:ind w:firstLine="640"/>
        <w:jc w:val="both"/>
      </w:pPr>
      <w:r>
        <w:rPr>
          <w:rFonts w:ascii="仿宋_GB2312" w:hAnsi="仿宋_GB2312" w:eastAsia="仿宋_GB2312"/>
          <w:b w:val="0"/>
          <w:sz w:val="32"/>
        </w:rPr>
        <w:t>授予中小企业合同金额1,025.49万元，占政府采购支出总额的100.00%，其中：授予小微企业合同金额938.59万元，占政府采购支出总额的91.53%。</w:t>
      </w:r>
    </w:p>
    <w:p w14:paraId="26F12A36">
      <w:pPr>
        <w:spacing w:line="640" w:lineRule="exact"/>
        <w:ind w:firstLine="640"/>
        <w:jc w:val="both"/>
        <w:outlineLvl w:val="3"/>
      </w:pPr>
      <w:r>
        <w:rPr>
          <w:rFonts w:ascii="楷体_GB2312" w:hAnsi="楷体_GB2312" w:eastAsia="楷体_GB2312"/>
          <w:b/>
          <w:sz w:val="32"/>
        </w:rPr>
        <w:t>（三）国有资产占用情况说明</w:t>
      </w:r>
    </w:p>
    <w:p w14:paraId="57350B98">
      <w:pPr>
        <w:spacing w:line="580" w:lineRule="exact"/>
        <w:ind w:firstLine="640"/>
        <w:jc w:val="both"/>
      </w:pPr>
      <w:r>
        <w:rPr>
          <w:rFonts w:ascii="仿宋_GB2312" w:hAnsi="仿宋_GB2312" w:eastAsia="仿宋_GB2312"/>
          <w:b w:val="0"/>
          <w:sz w:val="32"/>
        </w:rPr>
        <w:t>截至2024年12月31日，房屋35,481.05平方米，价值3,985.72万元。车辆10辆，价值358.58万元，其中：副部（省）级及以上领导用车0辆、主要负责人用车0辆、机要通信用车0辆、应急保障用车0辆、执法执勤用车0辆、特种专业技术用车0辆、离退休干部服务用车0辆、其他用车10辆，其他用车主要是：一般公务用车和单位业务用车。单价100万元（含）以上设备（不含车辆）7台（套）。</w:t>
      </w:r>
    </w:p>
    <w:p w14:paraId="7CB22D79">
      <w:pPr>
        <w:spacing w:line="640" w:lineRule="exact"/>
        <w:ind w:firstLine="640"/>
        <w:jc w:val="both"/>
        <w:outlineLvl w:val="2"/>
      </w:pPr>
      <w:r>
        <w:rPr>
          <w:rFonts w:ascii="黑体" w:hAnsi="黑体" w:eastAsia="黑体"/>
          <w:sz w:val="32"/>
        </w:rPr>
        <w:t>十一、预算绩效的情况说明</w:t>
      </w:r>
    </w:p>
    <w:p w14:paraId="2DA4924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根据预算绩效管理要求，本单位2024年度预算绩效管理形成整体支出绩效自评表1个，全年预算总额5,651.29万元，实际执行总额5,600.29万元；预算绩效评价项目</w:t>
      </w:r>
      <w:r>
        <w:rPr>
          <w:rFonts w:hint="eastAsia" w:ascii="仿宋_GB2312" w:hAnsi="仿宋_GB2312" w:eastAsia="仿宋_GB2312"/>
          <w:b w:val="0"/>
          <w:sz w:val="32"/>
        </w:rPr>
        <w:t>10</w:t>
      </w:r>
      <w:r>
        <w:rPr>
          <w:rFonts w:ascii="仿宋_GB2312" w:hAnsi="仿宋_GB2312" w:eastAsia="仿宋_GB2312"/>
          <w:b w:val="0"/>
          <w:sz w:val="32"/>
        </w:rPr>
        <w:t>个，全年预算数</w:t>
      </w:r>
      <w:r>
        <w:rPr>
          <w:rFonts w:hint="eastAsia" w:ascii="仿宋_GB2312" w:hAnsi="仿宋_GB2312" w:eastAsia="仿宋_GB2312"/>
          <w:b w:val="0"/>
          <w:sz w:val="32"/>
        </w:rPr>
        <w:t>2</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228.77</w:t>
      </w:r>
      <w:r>
        <w:rPr>
          <w:rFonts w:ascii="仿宋_GB2312" w:hAnsi="仿宋_GB2312" w:eastAsia="仿宋_GB2312"/>
          <w:b w:val="0"/>
          <w:sz w:val="32"/>
        </w:rPr>
        <w:t>万元，全年执行数</w:t>
      </w:r>
      <w:r>
        <w:rPr>
          <w:rFonts w:hint="eastAsia" w:ascii="仿宋_GB2312" w:hAnsi="仿宋_GB2312" w:eastAsia="仿宋_GB2312"/>
          <w:b w:val="0"/>
          <w:sz w:val="32"/>
        </w:rPr>
        <w:t>2</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228.77</w:t>
      </w:r>
      <w:r>
        <w:rPr>
          <w:rFonts w:ascii="仿宋_GB2312" w:hAnsi="仿宋_GB2312" w:eastAsia="仿宋_GB2312"/>
          <w:b w:val="0"/>
          <w:sz w:val="32"/>
        </w:rPr>
        <w:t>万元。预算绩效管理取得的成效：一是通过认真梳理2024年资金使用情况和项目实施规模，根据各项目实际存档资料，就项目工作计划与部门职能和规划内容、与科室和项目之间的对应关系、重点工作安排与重点项目安排情况等，与相关科室的管理人员进行了沟通和交流，深入了解本单位涉及项目资金的使用情况和项目完成情况；二是项目资金不存在截留、挪用，支付审批合规、不存在用途改变、范围超支和虚列项目支出等情况；三是项目实施符合专项管理办法，流程和管理制度合规。发现的问题及原因：绩效管理专业人员匮乏，规范管理有盲点。预算绩效管理工作的覆盖面广、专业性强，预算单位在开展日常管理，需要具备一定专业素养和实战经验的人。下一步改进措施：一是在以后年度，</w:t>
      </w:r>
      <w:r>
        <w:rPr>
          <w:rFonts w:hint="eastAsia" w:ascii="仿宋_GB2312" w:hAnsi="仿宋_GB2312" w:eastAsia="仿宋_GB2312"/>
          <w:b w:val="0"/>
          <w:sz w:val="32"/>
          <w:lang w:eastAsia="zh-CN"/>
        </w:rPr>
        <w:t>本单位</w:t>
      </w:r>
      <w:r>
        <w:rPr>
          <w:rFonts w:ascii="仿宋_GB2312" w:hAnsi="仿宋_GB2312" w:eastAsia="仿宋_GB2312"/>
          <w:b w:val="0"/>
          <w:sz w:val="32"/>
        </w:rPr>
        <w:t>会充分考虑、预测实际情况来进行预算的填报，提高预算数据的准确度；二是加强对以前年度资金使用情况的分析和总结，加强预算编制科学化、精细化管理，增强预算编制的严肃性和权威性。具体附整体支出绩效自评表，项目支出绩效自评表</w:t>
      </w:r>
      <w:bookmarkStart w:id="0" w:name="_GoBack"/>
      <w:bookmarkEnd w:id="0"/>
      <w:r>
        <w:rPr>
          <w:rFonts w:ascii="仿宋_GB2312" w:hAnsi="仿宋_GB2312" w:eastAsia="仿宋_GB2312"/>
          <w:b w:val="0"/>
          <w:sz w:val="32"/>
        </w:rPr>
        <w:t>。</w:t>
      </w:r>
    </w:p>
    <w:p w14:paraId="54D669B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0807426">
        <w:tblPrEx>
          <w:tblCellMar>
            <w:top w:w="0" w:type="dxa"/>
            <w:left w:w="108" w:type="dxa"/>
            <w:bottom w:w="0" w:type="dxa"/>
            <w:right w:w="108" w:type="dxa"/>
          </w:tblCellMar>
        </w:tblPrEx>
        <w:tc>
          <w:tcPr>
            <w:tcW w:w="8847" w:type="dxa"/>
            <w:gridSpan w:val="9"/>
            <w:vAlign w:val="center"/>
          </w:tcPr>
          <w:p w14:paraId="077CF587">
            <w:pPr>
              <w:jc w:val="center"/>
            </w:pPr>
            <w:r>
              <w:rPr>
                <w:rFonts w:ascii="宋体" w:hAnsi="宋体" w:eastAsia="宋体"/>
                <w:sz w:val="24"/>
              </w:rPr>
              <w:t>单位整体支出绩效自评表</w:t>
            </w:r>
          </w:p>
        </w:tc>
      </w:tr>
      <w:tr w14:paraId="7B8B13FC">
        <w:tblPrEx>
          <w:tblCellMar>
            <w:top w:w="0" w:type="dxa"/>
            <w:left w:w="108" w:type="dxa"/>
            <w:bottom w:w="0" w:type="dxa"/>
            <w:right w:w="108" w:type="dxa"/>
          </w:tblCellMar>
        </w:tblPrEx>
        <w:tc>
          <w:tcPr>
            <w:tcW w:w="8847" w:type="dxa"/>
            <w:gridSpan w:val="9"/>
            <w:vAlign w:val="center"/>
          </w:tcPr>
          <w:p w14:paraId="045DB741">
            <w:pPr>
              <w:jc w:val="center"/>
            </w:pPr>
            <w:r>
              <w:rPr>
                <w:rFonts w:ascii="宋体" w:hAnsi="宋体" w:eastAsia="宋体"/>
                <w:sz w:val="24"/>
              </w:rPr>
              <w:t>（2024年度）</w:t>
            </w:r>
          </w:p>
        </w:tc>
      </w:tr>
      <w:tr w14:paraId="4F779EA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51215">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B0A1EFF">
            <w:pPr>
              <w:jc w:val="center"/>
            </w:pPr>
            <w:r>
              <w:rPr>
                <w:rFonts w:ascii="宋体" w:hAnsi="宋体" w:eastAsia="宋体"/>
                <w:sz w:val="16"/>
              </w:rPr>
              <w:t>疏勒县罕南力克镇人民政府</w:t>
            </w:r>
          </w:p>
        </w:tc>
      </w:tr>
      <w:tr w14:paraId="66BAF66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5D5065">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5E7F1">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8106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D368C">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54BD2">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C606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FBE84">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6958D">
            <w:pPr>
              <w:jc w:val="center"/>
            </w:pPr>
            <w:r>
              <w:rPr>
                <w:rFonts w:ascii="宋体" w:hAnsi="宋体" w:eastAsia="宋体"/>
                <w:sz w:val="16"/>
              </w:rPr>
              <w:t>得分</w:t>
            </w:r>
          </w:p>
        </w:tc>
      </w:tr>
      <w:tr w14:paraId="797ECA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369E0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1F85E">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B0F89">
            <w:pPr>
              <w:jc w:val="center"/>
            </w:pPr>
            <w:r>
              <w:rPr>
                <w:rFonts w:ascii="宋体" w:hAnsi="宋体" w:eastAsia="宋体"/>
                <w:sz w:val="16"/>
              </w:rPr>
              <w:t>2,475.46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FEBCE">
            <w:pPr>
              <w:jc w:val="center"/>
            </w:pPr>
            <w:r>
              <w:rPr>
                <w:rFonts w:ascii="宋体" w:hAnsi="宋体" w:eastAsia="宋体"/>
                <w:sz w:val="16"/>
              </w:rPr>
              <w:t>5,651.29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675F2">
            <w:pPr>
              <w:jc w:val="center"/>
            </w:pPr>
            <w:r>
              <w:rPr>
                <w:rFonts w:ascii="宋体" w:hAnsi="宋体" w:eastAsia="宋体"/>
                <w:sz w:val="16"/>
              </w:rPr>
              <w:t>5,600.29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3791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BA531">
            <w:pPr>
              <w:jc w:val="center"/>
            </w:pPr>
            <w:r>
              <w:rPr>
                <w:rFonts w:ascii="宋体" w:hAnsi="宋体" w:eastAsia="宋体"/>
                <w:sz w:val="16"/>
              </w:rPr>
              <w:t>99.10%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D4AAD">
            <w:pPr>
              <w:jc w:val="center"/>
            </w:pPr>
            <w:r>
              <w:rPr>
                <w:rFonts w:ascii="宋体" w:hAnsi="宋体" w:eastAsia="宋体"/>
                <w:sz w:val="16"/>
              </w:rPr>
              <w:t>9.91</w:t>
            </w:r>
          </w:p>
        </w:tc>
      </w:tr>
      <w:tr w14:paraId="3CCC26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4E18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3082E">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C6A6E">
            <w:pPr>
              <w:jc w:val="center"/>
            </w:pPr>
            <w:r>
              <w:rPr>
                <w:rFonts w:ascii="宋体" w:hAnsi="宋体" w:eastAsia="宋体"/>
                <w:sz w:val="16"/>
              </w:rPr>
              <w:t>521.51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8CE43">
            <w:pPr>
              <w:jc w:val="center"/>
            </w:pPr>
            <w:r>
              <w:rPr>
                <w:rFonts w:ascii="宋体" w:hAnsi="宋体" w:eastAsia="宋体"/>
                <w:sz w:val="16"/>
              </w:rPr>
              <w:t>3,027.08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5DCC9">
            <w:pPr>
              <w:jc w:val="center"/>
            </w:pPr>
            <w:r>
              <w:rPr>
                <w:rFonts w:ascii="宋体" w:hAnsi="宋体" w:eastAsia="宋体"/>
                <w:sz w:val="16"/>
              </w:rPr>
              <w:t>3,027.08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A689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8354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F564C">
            <w:pPr>
              <w:jc w:val="center"/>
            </w:pPr>
            <w:r>
              <w:rPr>
                <w:rFonts w:ascii="宋体" w:hAnsi="宋体" w:eastAsia="宋体"/>
                <w:sz w:val="16"/>
              </w:rPr>
              <w:t>—</w:t>
            </w:r>
          </w:p>
        </w:tc>
      </w:tr>
      <w:tr w14:paraId="7598A2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277F0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C6F04">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61690">
            <w:pPr>
              <w:jc w:val="center"/>
            </w:pPr>
            <w:r>
              <w:rPr>
                <w:rFonts w:ascii="宋体" w:hAnsi="宋体" w:eastAsia="宋体"/>
                <w:sz w:val="16"/>
              </w:rPr>
              <w:t>1,953.95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28A62">
            <w:pPr>
              <w:jc w:val="center"/>
            </w:pPr>
            <w:r>
              <w:rPr>
                <w:rFonts w:ascii="宋体" w:hAnsi="宋体" w:eastAsia="宋体"/>
                <w:sz w:val="16"/>
              </w:rPr>
              <w:t>2,347.10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359FE">
            <w:pPr>
              <w:jc w:val="center"/>
            </w:pPr>
            <w:r>
              <w:rPr>
                <w:rFonts w:ascii="宋体" w:hAnsi="宋体" w:eastAsia="宋体"/>
                <w:sz w:val="16"/>
              </w:rPr>
              <w:t>2,296.10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4CDE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960A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7DB5F">
            <w:pPr>
              <w:jc w:val="center"/>
            </w:pPr>
            <w:r>
              <w:rPr>
                <w:rFonts w:ascii="宋体" w:hAnsi="宋体" w:eastAsia="宋体"/>
                <w:sz w:val="16"/>
              </w:rPr>
              <w:t>—</w:t>
            </w:r>
          </w:p>
        </w:tc>
      </w:tr>
      <w:tr w14:paraId="7F86EF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1FDEC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883E2">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D3A46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BB1C5">
            <w:pPr>
              <w:jc w:val="center"/>
            </w:pPr>
            <w:r>
              <w:rPr>
                <w:rFonts w:ascii="宋体" w:hAnsi="宋体" w:eastAsia="宋体"/>
                <w:sz w:val="16"/>
              </w:rPr>
              <w:t>277.11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FF021">
            <w:pPr>
              <w:jc w:val="center"/>
            </w:pPr>
            <w:r>
              <w:rPr>
                <w:rFonts w:ascii="宋体" w:hAnsi="宋体" w:eastAsia="宋体"/>
                <w:sz w:val="16"/>
              </w:rPr>
              <w:t>277.11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4A75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3D0A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CEA14">
            <w:pPr>
              <w:jc w:val="center"/>
            </w:pPr>
            <w:r>
              <w:rPr>
                <w:rFonts w:ascii="宋体" w:hAnsi="宋体" w:eastAsia="宋体"/>
                <w:sz w:val="16"/>
              </w:rPr>
              <w:t>—</w:t>
            </w:r>
          </w:p>
        </w:tc>
      </w:tr>
      <w:tr w14:paraId="72A34B7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33F6E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B346C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9C3277">
            <w:pPr>
              <w:jc w:val="center"/>
            </w:pPr>
            <w:r>
              <w:rPr>
                <w:rFonts w:ascii="宋体" w:hAnsi="宋体" w:eastAsia="宋体"/>
                <w:sz w:val="16"/>
              </w:rPr>
              <w:t>实际完成情况</w:t>
            </w:r>
          </w:p>
        </w:tc>
      </w:tr>
      <w:tr w14:paraId="659D40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B00DD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2EC0A2">
            <w:pPr>
              <w:jc w:val="both"/>
            </w:pPr>
            <w:r>
              <w:rPr>
                <w:rFonts w:ascii="宋体" w:hAnsi="宋体" w:eastAsia="宋体"/>
                <w:sz w:val="16"/>
              </w:rPr>
              <w:t>1、坚定不移贯彻习近平法治思想，全力维护社会大局持续稳定。深刻学习领会习近平法治思想，不断提高运用法治思维和法治方式深化改革、推动发展、化解矛盾、应对风险的能力。2、坚定不移完整准确贯彻新发展理念，积极培养经济发展新动能。紧紧围绕镇党委关于经济高质量发展工作思路，充分发挥“两县三镇四乡”中心区位优势，树立特色品牌意识，持续巩固“五个一万”产业发展成效，大力打造“五个特色小镇”。3、坚定不移推进乡村振兴，加快乡村建设全面升级。严格落实“四个不摘”要求，运行好防止返贫动态监测和帮扶机制，守住不发生规模性返贫底线，让脱贫基础更加稳固、成效更可持续。</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FDF988">
            <w:pPr>
              <w:jc w:val="both"/>
            </w:pPr>
            <w:r>
              <w:rPr>
                <w:rFonts w:ascii="宋体" w:hAnsi="宋体" w:eastAsia="宋体"/>
                <w:sz w:val="16"/>
              </w:rPr>
              <w:t>本年度罕南力克镇坚定不移贯彻习近平法治思想，宣传文件精神涉及行政村23个，全力维护社会大局持续稳定。干部全年备勤，成立8个畜牧专业合作社，验收完毕11公里防渗渠，100%化解困难诉求及纠纷，深刻学习领会习近平法治思想，不断提高运用法治思维和法治方式深化改革、推动发展、化解矛盾、应对风险的能力。坚定不移完整准确贯彻新发展理念，积极培养经济发展新动能。紧紧围绕镇党委关于经济高质量发展工作思路，充分发挥“两县三镇四乡”中心区位优势，树立特色品牌意识，持续巩固“五个一万”产业发展成效，大力打造“五个特色小镇”。坚定不移推进乡村振兴，加快乡村建设全面升级。严格落实“四个不摘”要求，运行好防止返贫动态监测和帮扶机制，守住不发生规模性返贫底线，让脱贫基础更加稳固、成效更可持续。</w:t>
            </w:r>
          </w:p>
        </w:tc>
      </w:tr>
      <w:tr w14:paraId="4B2EEB5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8DC2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A259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6F0D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61D9E">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D86CE">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8EE8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40FC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93C6F">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E2E13">
            <w:pPr>
              <w:jc w:val="center"/>
            </w:pPr>
            <w:r>
              <w:rPr>
                <w:rFonts w:ascii="宋体" w:hAnsi="宋体" w:eastAsia="宋体"/>
                <w:sz w:val="16"/>
              </w:rPr>
              <w:t>得分</w:t>
            </w:r>
          </w:p>
        </w:tc>
      </w:tr>
      <w:tr w14:paraId="500C31D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A65733">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4ABC1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33F5B">
            <w:pPr>
              <w:jc w:val="center"/>
            </w:pPr>
            <w:r>
              <w:rPr>
                <w:rFonts w:ascii="宋体" w:hAnsi="宋体" w:eastAsia="宋体"/>
                <w:sz w:val="16"/>
              </w:rPr>
              <w:t>乡镇干部备勤天数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376DA">
            <w:pPr>
              <w:jc w:val="center"/>
            </w:pPr>
            <w:r>
              <w:rPr>
                <w:rFonts w:ascii="宋体" w:hAnsi="宋体" w:eastAsia="宋体"/>
                <w:sz w:val="16"/>
              </w:rPr>
              <w:t>=365天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16371">
            <w:pPr>
              <w:jc w:val="center"/>
            </w:pPr>
            <w:r>
              <w:rPr>
                <w:rFonts w:ascii="宋体" w:hAnsi="宋体" w:eastAsia="宋体"/>
                <w:sz w:val="16"/>
              </w:rPr>
              <w:t>24年政府工作报告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0421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64524">
            <w:pPr>
              <w:jc w:val="center"/>
            </w:pPr>
            <w:r>
              <w:rPr>
                <w:rFonts w:ascii="宋体" w:hAnsi="宋体" w:eastAsia="宋体"/>
                <w:sz w:val="16"/>
              </w:rPr>
              <w:t>365天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36E7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B391A">
            <w:pPr>
              <w:jc w:val="center"/>
            </w:pPr>
            <w:r>
              <w:rPr>
                <w:rFonts w:ascii="宋体" w:hAnsi="宋体" w:eastAsia="宋体"/>
                <w:sz w:val="16"/>
              </w:rPr>
              <w:t>15</w:t>
            </w:r>
          </w:p>
        </w:tc>
      </w:tr>
      <w:tr w14:paraId="68378A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5FEA1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B9F21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FFCAD">
            <w:pPr>
              <w:jc w:val="center"/>
            </w:pPr>
            <w:r>
              <w:rPr>
                <w:rFonts w:ascii="宋体" w:hAnsi="宋体" w:eastAsia="宋体"/>
                <w:sz w:val="16"/>
              </w:rPr>
              <w:t>建设畜牧养殖合作社个数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B657D">
            <w:pPr>
              <w:jc w:val="center"/>
            </w:pPr>
            <w:r>
              <w:rPr>
                <w:rFonts w:ascii="宋体" w:hAnsi="宋体" w:eastAsia="宋体"/>
                <w:sz w:val="16"/>
              </w:rPr>
              <w:t>&gt;=8个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8F0E6">
            <w:pPr>
              <w:jc w:val="center"/>
            </w:pPr>
            <w:r>
              <w:rPr>
                <w:rFonts w:ascii="宋体" w:hAnsi="宋体" w:eastAsia="宋体"/>
                <w:sz w:val="16"/>
              </w:rPr>
              <w:t>24年政府工作报告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5164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705E7">
            <w:pPr>
              <w:jc w:val="center"/>
            </w:pPr>
            <w:r>
              <w:rPr>
                <w:rFonts w:ascii="宋体" w:hAnsi="宋体" w:eastAsia="宋体"/>
                <w:sz w:val="16"/>
              </w:rPr>
              <w:t>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87E9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72ED5">
            <w:pPr>
              <w:jc w:val="center"/>
            </w:pPr>
            <w:r>
              <w:rPr>
                <w:rFonts w:ascii="宋体" w:hAnsi="宋体" w:eastAsia="宋体"/>
                <w:sz w:val="16"/>
              </w:rPr>
              <w:t>15</w:t>
            </w:r>
          </w:p>
        </w:tc>
      </w:tr>
      <w:tr w14:paraId="095B0D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51B6D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832DF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6081C">
            <w:pPr>
              <w:jc w:val="center"/>
            </w:pPr>
            <w:r>
              <w:rPr>
                <w:rFonts w:ascii="宋体" w:hAnsi="宋体" w:eastAsia="宋体"/>
                <w:sz w:val="16"/>
              </w:rPr>
              <w:t>改造防渗渠公里数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FDC90">
            <w:pPr>
              <w:jc w:val="center"/>
            </w:pPr>
            <w:r>
              <w:rPr>
                <w:rFonts w:ascii="宋体" w:hAnsi="宋体" w:eastAsia="宋体"/>
                <w:sz w:val="16"/>
              </w:rPr>
              <w:t>&gt;=11公里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C7ACE">
            <w:pPr>
              <w:jc w:val="center"/>
            </w:pPr>
            <w:r>
              <w:rPr>
                <w:rFonts w:ascii="宋体" w:hAnsi="宋体" w:eastAsia="宋体"/>
                <w:sz w:val="16"/>
              </w:rPr>
              <w:t>24年政府工作报告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3DDF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79E3D">
            <w:pPr>
              <w:jc w:val="center"/>
            </w:pPr>
            <w:r>
              <w:rPr>
                <w:rFonts w:ascii="宋体" w:hAnsi="宋体" w:eastAsia="宋体"/>
                <w:sz w:val="16"/>
              </w:rPr>
              <w:t>11公里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062B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87D47">
            <w:pPr>
              <w:jc w:val="center"/>
            </w:pPr>
            <w:r>
              <w:rPr>
                <w:rFonts w:ascii="宋体" w:hAnsi="宋体" w:eastAsia="宋体"/>
                <w:sz w:val="16"/>
              </w:rPr>
              <w:t>15</w:t>
            </w:r>
          </w:p>
        </w:tc>
      </w:tr>
      <w:tr w14:paraId="4C8847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AC35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9FC8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F2DE03">
            <w:pPr>
              <w:jc w:val="center"/>
            </w:pPr>
            <w:r>
              <w:rPr>
                <w:rFonts w:ascii="宋体" w:hAnsi="宋体" w:eastAsia="宋体"/>
                <w:sz w:val="16"/>
              </w:rPr>
              <w:t>劳动人员转移就业人数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D2C0A">
            <w:pPr>
              <w:jc w:val="center"/>
            </w:pPr>
            <w:r>
              <w:rPr>
                <w:rFonts w:ascii="宋体" w:hAnsi="宋体" w:eastAsia="宋体"/>
                <w:sz w:val="16"/>
              </w:rPr>
              <w:t>&gt;=100人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477B8">
            <w:pPr>
              <w:jc w:val="center"/>
            </w:pPr>
            <w:r>
              <w:rPr>
                <w:rFonts w:ascii="宋体" w:hAnsi="宋体" w:eastAsia="宋体"/>
                <w:sz w:val="16"/>
              </w:rPr>
              <w:t>24年政府工作报告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5E21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D0414">
            <w:pPr>
              <w:jc w:val="center"/>
            </w:pPr>
            <w:r>
              <w:rPr>
                <w:rFonts w:ascii="宋体" w:hAnsi="宋体" w:eastAsia="宋体"/>
                <w:sz w:val="16"/>
              </w:rPr>
              <w:t>100人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C93E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44C1A">
            <w:pPr>
              <w:jc w:val="center"/>
            </w:pPr>
            <w:r>
              <w:rPr>
                <w:rFonts w:ascii="宋体" w:hAnsi="宋体" w:eastAsia="宋体"/>
                <w:sz w:val="16"/>
              </w:rPr>
              <w:t>15</w:t>
            </w:r>
          </w:p>
        </w:tc>
      </w:tr>
      <w:tr w14:paraId="557F49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2362F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A78C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E4DE7">
            <w:pPr>
              <w:jc w:val="center"/>
            </w:pPr>
            <w:r>
              <w:rPr>
                <w:rFonts w:ascii="宋体" w:hAnsi="宋体" w:eastAsia="宋体"/>
                <w:sz w:val="16"/>
              </w:rPr>
              <w:t>宣传文件精神涉及行政村数量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F2AB9">
            <w:pPr>
              <w:jc w:val="center"/>
            </w:pPr>
            <w:r>
              <w:rPr>
                <w:rFonts w:ascii="宋体" w:hAnsi="宋体" w:eastAsia="宋体"/>
                <w:sz w:val="16"/>
              </w:rPr>
              <w:t>=23个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23F30">
            <w:pPr>
              <w:jc w:val="center"/>
            </w:pPr>
            <w:r>
              <w:rPr>
                <w:rFonts w:ascii="宋体" w:hAnsi="宋体" w:eastAsia="宋体"/>
                <w:sz w:val="16"/>
              </w:rPr>
              <w:t>24年政府工作报告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F1E9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DEFC8">
            <w:pPr>
              <w:jc w:val="center"/>
            </w:pPr>
            <w:r>
              <w:rPr>
                <w:rFonts w:ascii="宋体" w:hAnsi="宋体" w:eastAsia="宋体"/>
                <w:sz w:val="16"/>
              </w:rPr>
              <w:t>23个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00E3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B4F12">
            <w:pPr>
              <w:jc w:val="center"/>
            </w:pPr>
            <w:r>
              <w:rPr>
                <w:rFonts w:ascii="宋体" w:hAnsi="宋体" w:eastAsia="宋体"/>
                <w:sz w:val="16"/>
              </w:rPr>
              <w:t>15</w:t>
            </w:r>
          </w:p>
        </w:tc>
      </w:tr>
      <w:tr w14:paraId="6F7F9A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9156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5DD4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C2E3D">
            <w:pPr>
              <w:jc w:val="center"/>
            </w:pPr>
            <w:r>
              <w:rPr>
                <w:rFonts w:ascii="宋体" w:hAnsi="宋体" w:eastAsia="宋体"/>
                <w:sz w:val="16"/>
              </w:rPr>
              <w:t>化解纠纷诉求收集率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885F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CEB93">
            <w:pPr>
              <w:jc w:val="center"/>
            </w:pPr>
            <w:r>
              <w:rPr>
                <w:rFonts w:ascii="宋体" w:hAnsi="宋体" w:eastAsia="宋体"/>
                <w:sz w:val="16"/>
              </w:rPr>
              <w:t>24年政府工作报告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A200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2587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4AB9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294B6">
            <w:pPr>
              <w:jc w:val="center"/>
            </w:pPr>
            <w:r>
              <w:rPr>
                <w:rFonts w:ascii="宋体" w:hAnsi="宋体" w:eastAsia="宋体"/>
                <w:sz w:val="16"/>
              </w:rPr>
              <w:t>15</w:t>
            </w:r>
          </w:p>
        </w:tc>
      </w:tr>
    </w:tbl>
    <w:p w14:paraId="2727FCF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07333D6">
        <w:tblPrEx>
          <w:tblCellMar>
            <w:top w:w="0" w:type="dxa"/>
            <w:left w:w="108" w:type="dxa"/>
            <w:bottom w:w="0" w:type="dxa"/>
            <w:right w:w="108" w:type="dxa"/>
          </w:tblCellMar>
        </w:tblPrEx>
        <w:tc>
          <w:tcPr>
            <w:tcW w:w="8848" w:type="dxa"/>
            <w:gridSpan w:val="14"/>
            <w:vAlign w:val="center"/>
          </w:tcPr>
          <w:p w14:paraId="1339DA56">
            <w:pPr>
              <w:jc w:val="center"/>
            </w:pPr>
            <w:r>
              <w:rPr>
                <w:rFonts w:ascii="宋体" w:hAnsi="宋体" w:eastAsia="宋体"/>
                <w:sz w:val="24"/>
              </w:rPr>
              <w:t>项目支出绩效自评表</w:t>
            </w:r>
          </w:p>
        </w:tc>
      </w:tr>
      <w:tr w14:paraId="5444A63F">
        <w:tblPrEx>
          <w:tblCellMar>
            <w:top w:w="0" w:type="dxa"/>
            <w:left w:w="108" w:type="dxa"/>
            <w:bottom w:w="0" w:type="dxa"/>
            <w:right w:w="108" w:type="dxa"/>
          </w:tblCellMar>
        </w:tblPrEx>
        <w:tc>
          <w:tcPr>
            <w:tcW w:w="8848" w:type="dxa"/>
            <w:gridSpan w:val="14"/>
            <w:vAlign w:val="center"/>
          </w:tcPr>
          <w:p w14:paraId="289EFD86">
            <w:pPr>
              <w:jc w:val="center"/>
            </w:pPr>
            <w:r>
              <w:rPr>
                <w:rFonts w:ascii="宋体" w:hAnsi="宋体" w:eastAsia="宋体"/>
                <w:sz w:val="24"/>
              </w:rPr>
              <w:t>(2024年度)</w:t>
            </w:r>
          </w:p>
        </w:tc>
      </w:tr>
      <w:tr w14:paraId="33EE29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0F25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62C99A">
            <w:pPr>
              <w:jc w:val="center"/>
            </w:pPr>
            <w:r>
              <w:rPr>
                <w:rFonts w:ascii="宋体" w:hAnsi="宋体" w:eastAsia="宋体"/>
                <w:sz w:val="16"/>
              </w:rPr>
              <w:t>2024年化债类项目</w:t>
            </w:r>
          </w:p>
        </w:tc>
      </w:tr>
      <w:tr w14:paraId="3629CF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5D1B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543852">
            <w:pPr>
              <w:jc w:val="center"/>
            </w:pPr>
            <w:r>
              <w:rPr>
                <w:rFonts w:ascii="宋体" w:hAnsi="宋体" w:eastAsia="宋体"/>
                <w:sz w:val="16"/>
              </w:rPr>
              <w:t>疏勒县罕南力克镇人民政府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5CF3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1AA558">
            <w:pPr>
              <w:jc w:val="center"/>
            </w:pPr>
            <w:r>
              <w:rPr>
                <w:rFonts w:ascii="宋体" w:hAnsi="宋体" w:eastAsia="宋体"/>
                <w:sz w:val="16"/>
              </w:rPr>
              <w:t>疏勒县罕南力克镇人民政府</w:t>
            </w:r>
          </w:p>
        </w:tc>
      </w:tr>
      <w:tr w14:paraId="7FC1B5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2A0A3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7BD7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7C1E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D637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7EB0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EAA7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F8AE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18178">
            <w:pPr>
              <w:jc w:val="center"/>
            </w:pPr>
            <w:r>
              <w:rPr>
                <w:rFonts w:ascii="宋体" w:hAnsi="宋体" w:eastAsia="宋体"/>
                <w:sz w:val="16"/>
              </w:rPr>
              <w:t>得分</w:t>
            </w:r>
          </w:p>
        </w:tc>
      </w:tr>
      <w:tr w14:paraId="59BB92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D0C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9733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B874A">
            <w:pPr>
              <w:jc w:val="center"/>
            </w:pPr>
            <w:r>
              <w:rPr>
                <w:rFonts w:ascii="宋体" w:hAnsi="宋体" w:eastAsia="宋体"/>
                <w:sz w:val="16"/>
              </w:rPr>
              <w:t>200.22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AC2AD">
            <w:pPr>
              <w:jc w:val="center"/>
            </w:pPr>
            <w:r>
              <w:rPr>
                <w:rFonts w:ascii="宋体" w:hAnsi="宋体" w:eastAsia="宋体"/>
                <w:sz w:val="16"/>
              </w:rPr>
              <w:t>160.22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B539F">
            <w:pPr>
              <w:jc w:val="center"/>
            </w:pPr>
            <w:r>
              <w:rPr>
                <w:rFonts w:ascii="宋体" w:hAnsi="宋体" w:eastAsia="宋体"/>
                <w:sz w:val="16"/>
              </w:rPr>
              <w:t>160.22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D66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DFCF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81506">
            <w:pPr>
              <w:jc w:val="center"/>
            </w:pPr>
            <w:r>
              <w:rPr>
                <w:rFonts w:ascii="宋体" w:hAnsi="宋体" w:eastAsia="宋体"/>
                <w:sz w:val="16"/>
              </w:rPr>
              <w:t>10.00分</w:t>
            </w:r>
          </w:p>
        </w:tc>
      </w:tr>
      <w:tr w14:paraId="1C5B49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DD2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A9B5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015CC">
            <w:pPr>
              <w:jc w:val="center"/>
            </w:pPr>
            <w:r>
              <w:rPr>
                <w:rFonts w:ascii="宋体" w:hAnsi="宋体" w:eastAsia="宋体"/>
                <w:sz w:val="16"/>
              </w:rPr>
              <w:t>200.22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AD027">
            <w:pPr>
              <w:jc w:val="center"/>
            </w:pPr>
            <w:r>
              <w:rPr>
                <w:rFonts w:ascii="宋体" w:hAnsi="宋体" w:eastAsia="宋体"/>
                <w:sz w:val="16"/>
              </w:rPr>
              <w:t>160.22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D0395">
            <w:pPr>
              <w:jc w:val="center"/>
            </w:pPr>
            <w:r>
              <w:rPr>
                <w:rFonts w:ascii="宋体" w:hAnsi="宋体" w:eastAsia="宋体"/>
                <w:sz w:val="16"/>
              </w:rPr>
              <w:t>160.22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A50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943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0F385">
            <w:pPr>
              <w:jc w:val="center"/>
            </w:pPr>
            <w:r>
              <w:rPr>
                <w:rFonts w:ascii="宋体" w:hAnsi="宋体" w:eastAsia="宋体"/>
                <w:sz w:val="16"/>
              </w:rPr>
              <w:t>—</w:t>
            </w:r>
          </w:p>
        </w:tc>
      </w:tr>
      <w:tr w14:paraId="1D1D2F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D6D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8453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88C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AD0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DD0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090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76A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C6772">
            <w:pPr>
              <w:jc w:val="center"/>
            </w:pPr>
            <w:r>
              <w:rPr>
                <w:rFonts w:ascii="宋体" w:hAnsi="宋体" w:eastAsia="宋体"/>
                <w:sz w:val="16"/>
              </w:rPr>
              <w:t>—</w:t>
            </w:r>
          </w:p>
        </w:tc>
      </w:tr>
      <w:tr w14:paraId="382FEF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8FE7A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B901B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1E8EA6">
            <w:pPr>
              <w:jc w:val="center"/>
            </w:pPr>
            <w:r>
              <w:rPr>
                <w:rFonts w:ascii="宋体" w:hAnsi="宋体" w:eastAsia="宋体"/>
                <w:sz w:val="16"/>
              </w:rPr>
              <w:t>实际完成情况</w:t>
            </w:r>
          </w:p>
        </w:tc>
      </w:tr>
      <w:tr w14:paraId="3549FA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CCD8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168C91">
            <w:pPr>
              <w:jc w:val="both"/>
            </w:pPr>
            <w:r>
              <w:rPr>
                <w:rFonts w:ascii="宋体" w:hAnsi="宋体" w:eastAsia="宋体"/>
                <w:sz w:val="16"/>
              </w:rPr>
              <w:t>项目计划总投资160.22万元，计划用于化解我镇6个项目债务，其中：罕南力克镇监控设备1.89万元、罕南力克镇水土保持补偿费1.61万元、罕南力克镇6村村委会周转房后地面硬化46.72万元，罕南力克镇马加8村路口商铺建设2.5万元，21年特色小镇二期项目100</w:t>
            </w:r>
            <w:r>
              <w:rPr>
                <w:rFonts w:hint="eastAsia" w:ascii="宋体" w:hAnsi="宋体"/>
                <w:sz w:val="16"/>
                <w:lang w:eastAsia="zh-CN"/>
              </w:rPr>
              <w:t>万元</w:t>
            </w:r>
            <w:r>
              <w:rPr>
                <w:rFonts w:ascii="宋体" w:hAnsi="宋体" w:eastAsia="宋体"/>
                <w:sz w:val="16"/>
              </w:rPr>
              <w:t>，煤改电前期费7.5万元。通过实施本项目，有效缓解政府资金不足的现状，有效规范地方政府债务管理，严格控制政府债务风险，不断提升政府公信力。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38630D">
            <w:pPr>
              <w:jc w:val="both"/>
            </w:pPr>
            <w:r>
              <w:rPr>
                <w:rFonts w:hint="eastAsia" w:ascii="宋体" w:hAnsi="宋体"/>
                <w:sz w:val="16"/>
                <w:lang w:eastAsia="zh-CN"/>
              </w:rPr>
              <w:t>截至2024</w:t>
            </w:r>
            <w:r>
              <w:rPr>
                <w:rFonts w:ascii="宋体" w:hAnsi="宋体" w:eastAsia="宋体"/>
                <w:sz w:val="16"/>
              </w:rPr>
              <w:t>年12月31日，项目实际投资总额为160.22万元，成功化解我镇6个项目债务，其中：罕南力克镇监控设备1.89万元、罕南力克镇水土保持补偿费1.61万元、罕南力克镇6村村委会周转房后地面硬化46.72万元，罕南力克镇马加8村路口商铺建设2.5万元，21年特色小镇二期项目100万，煤改电前期费7.5万元，项目实施后，有效缓解政府资金不足的现状，有效规范地方政府债务管理，严格控制政府债务风险，不断提升政府公信力，债权人满意度100%。</w:t>
            </w:r>
          </w:p>
        </w:tc>
      </w:tr>
      <w:tr w14:paraId="6571DB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E2B0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2D37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1945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7182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FB84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56DE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45E0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457B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1C60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CD25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D5B3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177D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91C4C">
            <w:pPr>
              <w:jc w:val="center"/>
            </w:pPr>
            <w:r>
              <w:rPr>
                <w:rFonts w:ascii="宋体" w:hAnsi="宋体" w:eastAsia="宋体"/>
                <w:sz w:val="16"/>
              </w:rPr>
              <w:t>偏差原因分析及改进措施</w:t>
            </w:r>
          </w:p>
        </w:tc>
      </w:tr>
      <w:tr w14:paraId="0788CD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DC460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72B9F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367F3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7D96B">
            <w:pPr>
              <w:jc w:val="center"/>
            </w:pPr>
            <w:r>
              <w:rPr>
                <w:rFonts w:ascii="宋体" w:hAnsi="宋体" w:eastAsia="宋体"/>
                <w:sz w:val="16"/>
              </w:rPr>
              <w:t>化解债务项目数量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176F6">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C45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615C8">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3FF7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AB0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15A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ACE5A">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74A9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24282">
            <w:pPr>
              <w:jc w:val="center"/>
            </w:pPr>
          </w:p>
        </w:tc>
      </w:tr>
      <w:tr w14:paraId="2705A0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55E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67D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9B1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1EEBD">
            <w:pPr>
              <w:jc w:val="center"/>
            </w:pPr>
            <w:r>
              <w:rPr>
                <w:rFonts w:ascii="宋体" w:hAnsi="宋体" w:eastAsia="宋体"/>
                <w:sz w:val="16"/>
              </w:rPr>
              <w:t>涉及债权人数量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E76C3">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5DF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E8124">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AC0C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CC3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407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12E25">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E76C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6E332">
            <w:pPr>
              <w:jc w:val="center"/>
            </w:pPr>
          </w:p>
        </w:tc>
      </w:tr>
      <w:tr w14:paraId="0402A1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DE6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36FC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EF38A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618D4">
            <w:pPr>
              <w:jc w:val="center"/>
            </w:pPr>
            <w:r>
              <w:rPr>
                <w:rFonts w:ascii="宋体" w:hAnsi="宋体" w:eastAsia="宋体"/>
                <w:sz w:val="16"/>
              </w:rPr>
              <w:t>债务化解成功率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FE0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84D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75F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FE6C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0D3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E83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13F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F8FA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F56B4">
            <w:pPr>
              <w:jc w:val="center"/>
            </w:pPr>
          </w:p>
        </w:tc>
      </w:tr>
      <w:tr w14:paraId="3A1A4F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D09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9A6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092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9023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E06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165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5FF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D4E9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75F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156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20E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EEEE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DEEAA">
            <w:pPr>
              <w:jc w:val="center"/>
            </w:pPr>
          </w:p>
        </w:tc>
      </w:tr>
      <w:tr w14:paraId="1C8751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852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C17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80C11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C23F2">
            <w:pPr>
              <w:jc w:val="center"/>
            </w:pPr>
            <w:r>
              <w:rPr>
                <w:rFonts w:ascii="宋体" w:hAnsi="宋体" w:eastAsia="宋体"/>
                <w:sz w:val="16"/>
              </w:rPr>
              <w:t>债务偿还及时率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83A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ED2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032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CF7D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A3E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A3D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670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B610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04F94">
            <w:pPr>
              <w:jc w:val="center"/>
            </w:pPr>
          </w:p>
        </w:tc>
      </w:tr>
      <w:tr w14:paraId="7C365D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E71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C9E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4A1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F480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B4746">
            <w:pPr>
              <w:jc w:val="center"/>
            </w:pPr>
            <w:r>
              <w:rPr>
                <w:rFonts w:ascii="宋体" w:hAnsi="宋体" w:eastAsia="宋体"/>
                <w:sz w:val="16"/>
              </w:rPr>
              <w:t>=2024年12月12日前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BF8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574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2272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E40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727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5A6CC">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D6B6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0C00A">
            <w:pPr>
              <w:jc w:val="center"/>
            </w:pPr>
          </w:p>
        </w:tc>
      </w:tr>
      <w:tr w14:paraId="6449ED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023B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21ACC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D761B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304FE">
            <w:pPr>
              <w:jc w:val="center"/>
            </w:pPr>
            <w:r>
              <w:rPr>
                <w:rFonts w:ascii="宋体" w:hAnsi="宋体" w:eastAsia="宋体"/>
                <w:sz w:val="16"/>
              </w:rPr>
              <w:t>罕南力克镇监控设备支出成本控制数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E5E06">
            <w:pPr>
              <w:jc w:val="center"/>
            </w:pPr>
            <w:r>
              <w:rPr>
                <w:rFonts w:ascii="宋体" w:hAnsi="宋体" w:eastAsia="宋体"/>
                <w:sz w:val="16"/>
              </w:rPr>
              <w:t>&lt;=1.89万元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B50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0B6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B54D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BF4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A0ED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AFD08">
            <w:pPr>
              <w:jc w:val="center"/>
            </w:pPr>
            <w:r>
              <w:rPr>
                <w:rFonts w:ascii="宋体" w:hAnsi="宋体" w:eastAsia="宋体"/>
                <w:sz w:val="16"/>
              </w:rPr>
              <w:t>=1.89万元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3EE3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D3C33">
            <w:pPr>
              <w:jc w:val="center"/>
            </w:pPr>
          </w:p>
        </w:tc>
      </w:tr>
      <w:tr w14:paraId="4ECF5C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E8F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A72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A34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F1476">
            <w:pPr>
              <w:jc w:val="center"/>
            </w:pPr>
            <w:r>
              <w:rPr>
                <w:rFonts w:ascii="宋体" w:hAnsi="宋体" w:eastAsia="宋体"/>
                <w:sz w:val="16"/>
              </w:rPr>
              <w:t>罕南力克镇水土保持补偿费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31801">
            <w:pPr>
              <w:jc w:val="center"/>
            </w:pPr>
            <w:r>
              <w:rPr>
                <w:rFonts w:ascii="宋体" w:hAnsi="宋体" w:eastAsia="宋体"/>
                <w:sz w:val="16"/>
              </w:rPr>
              <w:t>&lt;=1.61万元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EA5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D12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F43F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489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E87E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A69AB">
            <w:pPr>
              <w:jc w:val="center"/>
            </w:pPr>
            <w:r>
              <w:rPr>
                <w:rFonts w:ascii="宋体" w:hAnsi="宋体" w:eastAsia="宋体"/>
                <w:sz w:val="16"/>
              </w:rPr>
              <w:t>=1.61万元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3723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E0391">
            <w:pPr>
              <w:jc w:val="center"/>
            </w:pPr>
          </w:p>
        </w:tc>
      </w:tr>
      <w:tr w14:paraId="58D35E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8C4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0E4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F6E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B3FCE">
            <w:pPr>
              <w:jc w:val="center"/>
            </w:pPr>
            <w:r>
              <w:rPr>
                <w:rFonts w:ascii="宋体" w:hAnsi="宋体" w:eastAsia="宋体"/>
                <w:sz w:val="16"/>
              </w:rPr>
              <w:t>罕南力克镇6村村委会周转房后地面硬化支出成本控制数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2673B">
            <w:pPr>
              <w:jc w:val="center"/>
            </w:pPr>
            <w:r>
              <w:rPr>
                <w:rFonts w:ascii="宋体" w:hAnsi="宋体" w:eastAsia="宋体"/>
                <w:sz w:val="16"/>
              </w:rPr>
              <w:t>&lt;=46.72万元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AD67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972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44DE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A8A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B603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9BC98">
            <w:pPr>
              <w:jc w:val="center"/>
            </w:pPr>
            <w:r>
              <w:rPr>
                <w:rFonts w:ascii="宋体" w:hAnsi="宋体" w:eastAsia="宋体"/>
                <w:sz w:val="16"/>
              </w:rPr>
              <w:t>=46.72万元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67B36">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635E0">
            <w:pPr>
              <w:jc w:val="center"/>
            </w:pPr>
          </w:p>
        </w:tc>
      </w:tr>
      <w:tr w14:paraId="7FE328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E0A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DD4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120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D1F7F">
            <w:pPr>
              <w:jc w:val="center"/>
            </w:pPr>
            <w:r>
              <w:rPr>
                <w:rFonts w:ascii="宋体" w:hAnsi="宋体" w:eastAsia="宋体"/>
                <w:sz w:val="16"/>
              </w:rPr>
              <w:t>罕南力克镇21年特色小镇建设二期项目成本控制室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CF425">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765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F3C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02AC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4E1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64E2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0C32B">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79BF7">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78541">
            <w:pPr>
              <w:jc w:val="center"/>
            </w:pPr>
          </w:p>
        </w:tc>
      </w:tr>
      <w:tr w14:paraId="034DEC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5B7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97B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76A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7FDB2">
            <w:pPr>
              <w:jc w:val="center"/>
            </w:pPr>
            <w:r>
              <w:rPr>
                <w:rFonts w:ascii="宋体" w:hAnsi="宋体" w:eastAsia="宋体"/>
                <w:sz w:val="16"/>
              </w:rPr>
              <w:t>罕南力克镇马加8村路口商铺建设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34967">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16C6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384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C0D3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E02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3E41F">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2F7B9">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60E9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53B35">
            <w:pPr>
              <w:jc w:val="center"/>
            </w:pPr>
          </w:p>
        </w:tc>
      </w:tr>
      <w:tr w14:paraId="645225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CD5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43A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01B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9254C">
            <w:pPr>
              <w:jc w:val="center"/>
            </w:pPr>
            <w:r>
              <w:rPr>
                <w:rFonts w:ascii="宋体" w:hAnsi="宋体" w:eastAsia="宋体"/>
                <w:sz w:val="16"/>
              </w:rPr>
              <w:t>煤改电前期费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3D1DF">
            <w:pPr>
              <w:jc w:val="center"/>
            </w:pPr>
            <w:r>
              <w:rPr>
                <w:rFonts w:ascii="宋体" w:hAnsi="宋体" w:eastAsia="宋体"/>
                <w:sz w:val="16"/>
              </w:rPr>
              <w:t>&lt;=7.50万元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459B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B59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99A0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F4E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583F0">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2A907">
            <w:pPr>
              <w:jc w:val="center"/>
            </w:pPr>
            <w:r>
              <w:rPr>
                <w:rFonts w:ascii="宋体" w:hAnsi="宋体" w:eastAsia="宋体"/>
                <w:sz w:val="16"/>
              </w:rPr>
              <w:t>=7.5万元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04DC8">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58B1A">
            <w:pPr>
              <w:jc w:val="center"/>
            </w:pPr>
          </w:p>
        </w:tc>
      </w:tr>
      <w:tr w14:paraId="46FA21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7425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7045E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57C8B">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A35D1">
            <w:pPr>
              <w:jc w:val="center"/>
            </w:pPr>
            <w:r>
              <w:rPr>
                <w:rFonts w:ascii="宋体" w:hAnsi="宋体" w:eastAsia="宋体"/>
                <w:sz w:val="16"/>
              </w:rPr>
              <w:t>债务风险控制率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A71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EAA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E0F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01B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5FA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CDE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E02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2AC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E7292">
            <w:pPr>
              <w:jc w:val="center"/>
            </w:pPr>
          </w:p>
        </w:tc>
      </w:tr>
      <w:tr w14:paraId="24BDD1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22E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BC3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7F08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19D82">
            <w:pPr>
              <w:jc w:val="center"/>
            </w:pPr>
            <w:r>
              <w:rPr>
                <w:rFonts w:ascii="宋体" w:hAnsi="宋体" w:eastAsia="宋体"/>
                <w:sz w:val="16"/>
              </w:rPr>
              <w:t>规范地方政府债务管理程度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F22BB">
            <w:pPr>
              <w:jc w:val="center"/>
            </w:pPr>
            <w:r>
              <w:rPr>
                <w:rFonts w:ascii="宋体" w:hAnsi="宋体" w:eastAsia="宋体"/>
                <w:sz w:val="16"/>
              </w:rPr>
              <w:t>有效规范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C64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D5E82">
            <w:pPr>
              <w:jc w:val="center"/>
            </w:pPr>
            <w:r>
              <w:rPr>
                <w:rFonts w:ascii="宋体" w:hAnsi="宋体" w:eastAsia="宋体"/>
                <w:sz w:val="16"/>
              </w:rPr>
              <w:t>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928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FA8A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DC6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F65C3">
            <w:pPr>
              <w:jc w:val="center"/>
            </w:pPr>
            <w:r>
              <w:rPr>
                <w:rFonts w:ascii="宋体" w:hAnsi="宋体" w:eastAsia="宋体"/>
                <w:sz w:val="16"/>
              </w:rPr>
              <w:t>有效规范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5A0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1A50C">
            <w:pPr>
              <w:jc w:val="center"/>
            </w:pPr>
          </w:p>
        </w:tc>
      </w:tr>
      <w:tr w14:paraId="74CA4F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81B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C47A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581D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4C009">
            <w:pPr>
              <w:jc w:val="center"/>
            </w:pPr>
            <w:r>
              <w:rPr>
                <w:rFonts w:ascii="宋体" w:hAnsi="宋体" w:eastAsia="宋体"/>
                <w:sz w:val="16"/>
              </w:rPr>
              <w:t>债权人满意度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889E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BA4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464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365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DEDA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61A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F36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1AD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6DBD7">
            <w:pPr>
              <w:jc w:val="center"/>
            </w:pPr>
            <w:r>
              <w:rPr>
                <w:rFonts w:ascii="宋体" w:hAnsi="宋体" w:eastAsia="宋体"/>
                <w:sz w:val="16"/>
              </w:rPr>
              <w:t>债权人满意度≥95%，因该目标实际问卷调查满意度为100%，故存在5.26%偏差，改进措施：根据项目实施情况，合理设置预期指标值，使完成值与预期目标值一致。</w:t>
            </w:r>
          </w:p>
        </w:tc>
      </w:tr>
      <w:tr w14:paraId="1B508A5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4AA10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2776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7488E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42DE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35A1393"/>
        </w:tc>
      </w:tr>
    </w:tbl>
    <w:p w14:paraId="4B2B9C5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4947773">
        <w:tblPrEx>
          <w:tblCellMar>
            <w:top w:w="0" w:type="dxa"/>
            <w:left w:w="108" w:type="dxa"/>
            <w:bottom w:w="0" w:type="dxa"/>
            <w:right w:w="108" w:type="dxa"/>
          </w:tblCellMar>
        </w:tblPrEx>
        <w:tc>
          <w:tcPr>
            <w:tcW w:w="8848" w:type="dxa"/>
            <w:gridSpan w:val="14"/>
            <w:vAlign w:val="center"/>
          </w:tcPr>
          <w:p w14:paraId="4DD11AC9">
            <w:pPr>
              <w:jc w:val="center"/>
            </w:pPr>
            <w:r>
              <w:rPr>
                <w:rFonts w:ascii="宋体" w:hAnsi="宋体" w:eastAsia="宋体"/>
                <w:sz w:val="24"/>
              </w:rPr>
              <w:t>项目支出绩效自评表</w:t>
            </w:r>
          </w:p>
        </w:tc>
      </w:tr>
      <w:tr w14:paraId="50AE2985">
        <w:tblPrEx>
          <w:tblCellMar>
            <w:top w:w="0" w:type="dxa"/>
            <w:left w:w="108" w:type="dxa"/>
            <w:bottom w:w="0" w:type="dxa"/>
            <w:right w:w="108" w:type="dxa"/>
          </w:tblCellMar>
        </w:tblPrEx>
        <w:tc>
          <w:tcPr>
            <w:tcW w:w="8848" w:type="dxa"/>
            <w:gridSpan w:val="14"/>
            <w:vAlign w:val="center"/>
          </w:tcPr>
          <w:p w14:paraId="7A872E74">
            <w:pPr>
              <w:jc w:val="center"/>
            </w:pPr>
            <w:r>
              <w:rPr>
                <w:rFonts w:ascii="宋体" w:hAnsi="宋体" w:eastAsia="宋体"/>
                <w:sz w:val="24"/>
              </w:rPr>
              <w:t>(2024年度)</w:t>
            </w:r>
          </w:p>
        </w:tc>
      </w:tr>
      <w:tr w14:paraId="481751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C422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EACF36">
            <w:pPr>
              <w:jc w:val="center"/>
            </w:pPr>
            <w:r>
              <w:rPr>
                <w:rFonts w:ascii="宋体" w:hAnsi="宋体" w:eastAsia="宋体"/>
                <w:sz w:val="16"/>
              </w:rPr>
              <w:t>乡镇聘用保安工资项目</w:t>
            </w:r>
          </w:p>
        </w:tc>
      </w:tr>
      <w:tr w14:paraId="2083AF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F55A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AF4D31">
            <w:pPr>
              <w:jc w:val="center"/>
            </w:pPr>
            <w:r>
              <w:rPr>
                <w:rFonts w:ascii="宋体" w:hAnsi="宋体" w:eastAsia="宋体"/>
                <w:sz w:val="16"/>
              </w:rPr>
              <w:t>疏勒县罕南力克镇人民政府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43F3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2425AB">
            <w:pPr>
              <w:jc w:val="center"/>
            </w:pPr>
            <w:r>
              <w:rPr>
                <w:rFonts w:ascii="宋体" w:hAnsi="宋体" w:eastAsia="宋体"/>
                <w:sz w:val="16"/>
              </w:rPr>
              <w:t>疏勒县罕南力克镇人民政府</w:t>
            </w:r>
          </w:p>
        </w:tc>
      </w:tr>
      <w:tr w14:paraId="3AD71C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E35CC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9238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7E9A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FE9D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C22C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C1F7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F32A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FEA9D">
            <w:pPr>
              <w:jc w:val="center"/>
            </w:pPr>
            <w:r>
              <w:rPr>
                <w:rFonts w:ascii="宋体" w:hAnsi="宋体" w:eastAsia="宋体"/>
                <w:sz w:val="16"/>
              </w:rPr>
              <w:t>得分</w:t>
            </w:r>
          </w:p>
        </w:tc>
      </w:tr>
      <w:tr w14:paraId="0F6011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73E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05CD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2BCDC">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65B73">
            <w:pPr>
              <w:jc w:val="center"/>
            </w:pPr>
            <w:r>
              <w:rPr>
                <w:rFonts w:ascii="宋体" w:hAnsi="宋体" w:eastAsia="宋体"/>
                <w:sz w:val="16"/>
              </w:rPr>
              <w:t>11.16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3C12F">
            <w:pPr>
              <w:jc w:val="center"/>
            </w:pPr>
            <w:r>
              <w:rPr>
                <w:rFonts w:ascii="宋体" w:hAnsi="宋体" w:eastAsia="宋体"/>
                <w:sz w:val="16"/>
              </w:rPr>
              <w:t>11.16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8DD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D989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0B749">
            <w:pPr>
              <w:jc w:val="center"/>
            </w:pPr>
            <w:r>
              <w:rPr>
                <w:rFonts w:ascii="宋体" w:hAnsi="宋体" w:eastAsia="宋体"/>
                <w:sz w:val="16"/>
              </w:rPr>
              <w:t>10.00分</w:t>
            </w:r>
          </w:p>
        </w:tc>
      </w:tr>
      <w:tr w14:paraId="54EB89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2F1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B6E8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8B7DE">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23CD6">
            <w:pPr>
              <w:jc w:val="center"/>
            </w:pPr>
            <w:r>
              <w:rPr>
                <w:rFonts w:ascii="宋体" w:hAnsi="宋体" w:eastAsia="宋体"/>
                <w:sz w:val="16"/>
              </w:rPr>
              <w:t>11.16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A5ECF">
            <w:pPr>
              <w:jc w:val="center"/>
            </w:pPr>
            <w:r>
              <w:rPr>
                <w:rFonts w:ascii="宋体" w:hAnsi="宋体" w:eastAsia="宋体"/>
                <w:sz w:val="16"/>
              </w:rPr>
              <w:t>11.16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C92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157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2F6DF">
            <w:pPr>
              <w:jc w:val="center"/>
            </w:pPr>
            <w:r>
              <w:rPr>
                <w:rFonts w:ascii="宋体" w:hAnsi="宋体" w:eastAsia="宋体"/>
                <w:sz w:val="16"/>
              </w:rPr>
              <w:t>—</w:t>
            </w:r>
          </w:p>
        </w:tc>
      </w:tr>
      <w:tr w14:paraId="4FBEFF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646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09ED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652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2AE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5CE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D7D7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B59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50347">
            <w:pPr>
              <w:jc w:val="center"/>
            </w:pPr>
            <w:r>
              <w:rPr>
                <w:rFonts w:ascii="宋体" w:hAnsi="宋体" w:eastAsia="宋体"/>
                <w:sz w:val="16"/>
              </w:rPr>
              <w:t>—</w:t>
            </w:r>
          </w:p>
        </w:tc>
      </w:tr>
      <w:tr w14:paraId="44E08E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13298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584DC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FE93AB">
            <w:pPr>
              <w:jc w:val="center"/>
            </w:pPr>
            <w:r>
              <w:rPr>
                <w:rFonts w:ascii="宋体" w:hAnsi="宋体" w:eastAsia="宋体"/>
                <w:sz w:val="16"/>
              </w:rPr>
              <w:t>实际完成情况</w:t>
            </w:r>
          </w:p>
        </w:tc>
      </w:tr>
      <w:tr w14:paraId="3190CB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FCDF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457C91">
            <w:pPr>
              <w:jc w:val="both"/>
            </w:pPr>
            <w:r>
              <w:rPr>
                <w:rFonts w:ascii="宋体" w:hAnsi="宋体" w:eastAsia="宋体"/>
                <w:sz w:val="16"/>
              </w:rPr>
              <w:t>项目计划总投资11.16万元，本项目主要实施内容为镇级聘用保安合计7人，聘用人员工资标准为1200元/人/月，发放工资月数为13个月，通过实施本项目不仅能有效促进就业困难户再就业，还能为干部群众提供24小时全天候的值班服务，如期完成重大维护任务，创建和谐发展乡镇，确保干部群众安心工作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1AD194">
            <w:pPr>
              <w:jc w:val="both"/>
            </w:pPr>
            <w:r>
              <w:rPr>
                <w:rFonts w:hint="eastAsia" w:ascii="宋体" w:hAnsi="宋体"/>
                <w:sz w:val="16"/>
                <w:lang w:eastAsia="zh-CN"/>
              </w:rPr>
              <w:t>截至2024</w:t>
            </w:r>
            <w:r>
              <w:rPr>
                <w:rFonts w:ascii="宋体" w:hAnsi="宋体" w:eastAsia="宋体"/>
                <w:sz w:val="16"/>
              </w:rPr>
              <w:t>年12月31日，项目实际投资总额为11.16万元，通过实施本项目有效促进就业困难户再就业，为干部群众提供24小时全天候的值班服务，如期完成重大维护任务，创建和谐发展乡镇，确保干部群众安心工作生活。</w:t>
            </w:r>
          </w:p>
        </w:tc>
      </w:tr>
      <w:tr w14:paraId="7216EF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D56E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474B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E8F5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A42E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C612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9D7F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0BBC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D5F5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5AD4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014F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6515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3756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2C416">
            <w:pPr>
              <w:jc w:val="center"/>
            </w:pPr>
            <w:r>
              <w:rPr>
                <w:rFonts w:ascii="宋体" w:hAnsi="宋体" w:eastAsia="宋体"/>
                <w:sz w:val="16"/>
              </w:rPr>
              <w:t>偏差原因分析及改进措施</w:t>
            </w:r>
          </w:p>
        </w:tc>
      </w:tr>
      <w:tr w14:paraId="6A8B73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09D6C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2B6CB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CAD7F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13660">
            <w:pPr>
              <w:jc w:val="center"/>
            </w:pPr>
            <w:r>
              <w:rPr>
                <w:rFonts w:ascii="宋体" w:hAnsi="宋体" w:eastAsia="宋体"/>
                <w:sz w:val="16"/>
              </w:rPr>
              <w:t>发放工资人数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684D6">
            <w:pPr>
              <w:jc w:val="center"/>
            </w:pPr>
            <w:r>
              <w:rPr>
                <w:rFonts w:ascii="宋体" w:hAnsi="宋体" w:eastAsia="宋体"/>
                <w:sz w:val="16"/>
              </w:rPr>
              <w:t>&gt;=7人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0C9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E6FCB">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BCA1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9BD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A49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43663">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6596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B965C">
            <w:pPr>
              <w:jc w:val="center"/>
            </w:pPr>
          </w:p>
        </w:tc>
      </w:tr>
      <w:tr w14:paraId="44D01B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6DE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946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399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90EF1">
            <w:pPr>
              <w:jc w:val="center"/>
            </w:pPr>
            <w:r>
              <w:rPr>
                <w:rFonts w:ascii="宋体" w:hAnsi="宋体" w:eastAsia="宋体"/>
                <w:sz w:val="16"/>
              </w:rPr>
              <w:t>累计发放工资月数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AB1E8">
            <w:pPr>
              <w:jc w:val="center"/>
            </w:pPr>
            <w:r>
              <w:rPr>
                <w:rFonts w:ascii="宋体" w:hAnsi="宋体" w:eastAsia="宋体"/>
                <w:sz w:val="16"/>
              </w:rPr>
              <w:t>=13个月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367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A8D13">
            <w:pPr>
              <w:jc w:val="center"/>
            </w:pPr>
            <w:r>
              <w:rPr>
                <w:rFonts w:ascii="宋体" w:hAnsi="宋体" w:eastAsia="宋体"/>
                <w:sz w:val="16"/>
              </w:rPr>
              <w: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78EA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917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3C1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E3269">
            <w:pPr>
              <w:jc w:val="center"/>
            </w:pPr>
            <w:r>
              <w:rPr>
                <w:rFonts w:ascii="宋体" w:hAnsi="宋体" w:eastAsia="宋体"/>
                <w:sz w:val="16"/>
              </w:rPr>
              <w:t>=13个月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B7DE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7C1AE">
            <w:pPr>
              <w:jc w:val="center"/>
            </w:pPr>
          </w:p>
        </w:tc>
      </w:tr>
      <w:tr w14:paraId="51275F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941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2F4F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D817C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ADD6A">
            <w:pPr>
              <w:jc w:val="center"/>
            </w:pPr>
            <w:r>
              <w:rPr>
                <w:rFonts w:ascii="宋体" w:hAnsi="宋体" w:eastAsia="宋体"/>
                <w:sz w:val="16"/>
              </w:rPr>
              <w:t>聘用保安出勤率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4B6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2CF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A08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87A9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745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5EF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B94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4B1C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935E3">
            <w:pPr>
              <w:jc w:val="center"/>
            </w:pPr>
          </w:p>
        </w:tc>
      </w:tr>
      <w:tr w14:paraId="461622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3AE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85D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9C4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075F7">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7BB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8BD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E64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F548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286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B4E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CEC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CCBC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79EF6">
            <w:pPr>
              <w:jc w:val="center"/>
            </w:pPr>
          </w:p>
        </w:tc>
      </w:tr>
      <w:tr w14:paraId="250819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9C4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6AA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6E936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31290">
            <w:pPr>
              <w:jc w:val="center"/>
            </w:pPr>
            <w:r>
              <w:rPr>
                <w:rFonts w:ascii="宋体" w:hAnsi="宋体" w:eastAsia="宋体"/>
                <w:sz w:val="16"/>
              </w:rPr>
              <w:t>工资发放及时率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051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75A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FD8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4A9D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591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FA0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2EC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7AEF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8CED8">
            <w:pPr>
              <w:jc w:val="center"/>
            </w:pPr>
          </w:p>
        </w:tc>
      </w:tr>
      <w:tr w14:paraId="598940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D2A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46B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B7B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1168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2D161">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76C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B23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0B33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D83F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BA8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F533D">
            <w:pPr>
              <w:jc w:val="center"/>
            </w:pPr>
            <w:r>
              <w:rPr>
                <w:rFonts w:ascii="宋体" w:hAnsi="宋体" w:eastAsia="宋体"/>
                <w:sz w:val="16"/>
              </w:rPr>
              <w:t>=2024年11月12日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78E0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E18D3">
            <w:pPr>
              <w:jc w:val="center"/>
            </w:pPr>
          </w:p>
        </w:tc>
      </w:tr>
      <w:tr w14:paraId="5035D2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F64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F7C5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F5B7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80AFE">
            <w:pPr>
              <w:jc w:val="center"/>
            </w:pPr>
            <w:r>
              <w:rPr>
                <w:rFonts w:ascii="宋体" w:hAnsi="宋体" w:eastAsia="宋体"/>
                <w:sz w:val="16"/>
              </w:rPr>
              <w:t>聘用保安工资月标准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D4171">
            <w:pPr>
              <w:jc w:val="center"/>
            </w:pPr>
            <w:r>
              <w:rPr>
                <w:rFonts w:ascii="宋体" w:hAnsi="宋体" w:eastAsia="宋体"/>
                <w:sz w:val="16"/>
              </w:rPr>
              <w:t>=1200元/人/月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3FF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9C912">
            <w:pPr>
              <w:jc w:val="center"/>
            </w:pPr>
            <w:r>
              <w:rPr>
                <w:rFonts w:ascii="宋体" w:hAnsi="宋体" w:eastAsia="宋体"/>
                <w:sz w:val="16"/>
              </w:rPr>
              <w:t>1200元/人/月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B4AA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393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124C9">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768E8">
            <w:pPr>
              <w:jc w:val="center"/>
            </w:pPr>
            <w:r>
              <w:rPr>
                <w:rFonts w:ascii="宋体" w:hAnsi="宋体" w:eastAsia="宋体"/>
                <w:sz w:val="16"/>
              </w:rPr>
              <w:t>=1200元/人/月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B937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C862A">
            <w:pPr>
              <w:jc w:val="center"/>
            </w:pPr>
          </w:p>
        </w:tc>
      </w:tr>
      <w:tr w14:paraId="2CA9CC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3E9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62BB2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B2E91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41625">
            <w:pPr>
              <w:jc w:val="center"/>
            </w:pPr>
            <w:r>
              <w:rPr>
                <w:rFonts w:ascii="宋体" w:hAnsi="宋体" w:eastAsia="宋体"/>
                <w:sz w:val="16"/>
              </w:rPr>
              <w:t>就业困难户再就业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02BDA">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DBD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D36F1">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502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53FA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314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FC0D4">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3EB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0E884">
            <w:pPr>
              <w:jc w:val="center"/>
            </w:pPr>
          </w:p>
        </w:tc>
      </w:tr>
      <w:tr w14:paraId="7D6ECA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DB1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7E6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336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800B0">
            <w:pPr>
              <w:jc w:val="center"/>
            </w:pPr>
            <w:r>
              <w:rPr>
                <w:rFonts w:ascii="宋体" w:hAnsi="宋体" w:eastAsia="宋体"/>
                <w:sz w:val="16"/>
              </w:rPr>
              <w:t>镇机关日常安全保障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7E67C">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EA4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FCC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D29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D6C0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E7C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11290">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2DC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C7E67">
            <w:pPr>
              <w:jc w:val="center"/>
            </w:pPr>
          </w:p>
        </w:tc>
      </w:tr>
      <w:tr w14:paraId="348AC6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E87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3A88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E61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C7E91">
            <w:pPr>
              <w:jc w:val="center"/>
            </w:pPr>
            <w:r>
              <w:rPr>
                <w:rFonts w:ascii="宋体" w:hAnsi="宋体" w:eastAsia="宋体"/>
                <w:sz w:val="16"/>
              </w:rPr>
              <w:t>聘用保安满意度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C765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DDC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446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FF8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B91D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E8C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2C008">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DE9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15A13">
            <w:pPr>
              <w:jc w:val="center"/>
            </w:pPr>
            <w:r>
              <w:rPr>
                <w:rFonts w:ascii="宋体" w:hAnsi="宋体" w:eastAsia="宋体"/>
                <w:sz w:val="16"/>
              </w:rPr>
              <w:t>聘用保安满意度≥95%，因该目标实际问卷调查满意度为96%，故存在1.05%偏差，改进措施：根据项目实施情况，合理设置预期指标值，使完成值与预期目标值一致。</w:t>
            </w:r>
          </w:p>
        </w:tc>
      </w:tr>
      <w:tr w14:paraId="3551962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82056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0E4A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4DC7D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E02A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0D74123"/>
        </w:tc>
      </w:tr>
    </w:tbl>
    <w:p w14:paraId="114577F0">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776"/>
        <w:gridCol w:w="625"/>
        <w:gridCol w:w="625"/>
        <w:gridCol w:w="627"/>
        <w:gridCol w:w="625"/>
        <w:gridCol w:w="627"/>
        <w:gridCol w:w="696"/>
        <w:gridCol w:w="633"/>
        <w:gridCol w:w="618"/>
        <w:gridCol w:w="633"/>
      </w:tblGrid>
      <w:tr w14:paraId="28C71025">
        <w:tblPrEx>
          <w:tblCellMar>
            <w:top w:w="0" w:type="dxa"/>
            <w:left w:w="108" w:type="dxa"/>
            <w:bottom w:w="0" w:type="dxa"/>
            <w:right w:w="108" w:type="dxa"/>
          </w:tblCellMar>
        </w:tblPrEx>
        <w:tc>
          <w:tcPr>
            <w:tcW w:w="8848" w:type="dxa"/>
            <w:gridSpan w:val="14"/>
            <w:vAlign w:val="center"/>
          </w:tcPr>
          <w:p w14:paraId="78FE3210">
            <w:pPr>
              <w:jc w:val="center"/>
            </w:pPr>
            <w:r>
              <w:rPr>
                <w:rFonts w:ascii="宋体" w:hAnsi="宋体" w:eastAsia="宋体"/>
                <w:sz w:val="24"/>
              </w:rPr>
              <w:t>项目支出绩效自评表</w:t>
            </w:r>
          </w:p>
        </w:tc>
      </w:tr>
      <w:tr w14:paraId="02263770">
        <w:tblPrEx>
          <w:tblCellMar>
            <w:top w:w="0" w:type="dxa"/>
            <w:left w:w="108" w:type="dxa"/>
            <w:bottom w:w="0" w:type="dxa"/>
            <w:right w:w="108" w:type="dxa"/>
          </w:tblCellMar>
        </w:tblPrEx>
        <w:tc>
          <w:tcPr>
            <w:tcW w:w="8848" w:type="dxa"/>
            <w:gridSpan w:val="14"/>
            <w:vAlign w:val="center"/>
          </w:tcPr>
          <w:p w14:paraId="60624908">
            <w:pPr>
              <w:jc w:val="center"/>
            </w:pPr>
            <w:r>
              <w:rPr>
                <w:rFonts w:ascii="宋体" w:hAnsi="宋体" w:eastAsia="宋体"/>
                <w:sz w:val="24"/>
              </w:rPr>
              <w:t>(2024年度)</w:t>
            </w:r>
          </w:p>
        </w:tc>
      </w:tr>
      <w:tr w14:paraId="0E4E73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3795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60D6942">
            <w:pPr>
              <w:jc w:val="center"/>
            </w:pPr>
            <w:r>
              <w:rPr>
                <w:rFonts w:ascii="宋体" w:hAnsi="宋体" w:eastAsia="宋体"/>
                <w:sz w:val="16"/>
              </w:rPr>
              <w:t>疏勒县2024年农村综合改革转移支付（农村公益事业财政奖补）项目</w:t>
            </w:r>
          </w:p>
        </w:tc>
      </w:tr>
      <w:tr w14:paraId="6268A0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999E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24F3AA">
            <w:pPr>
              <w:jc w:val="center"/>
            </w:pPr>
            <w:r>
              <w:rPr>
                <w:rFonts w:ascii="宋体" w:hAnsi="宋体" w:eastAsia="宋体"/>
                <w:sz w:val="16"/>
              </w:rPr>
              <w:t>疏勒县罕南力克镇人民政府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7511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7992A6">
            <w:pPr>
              <w:jc w:val="center"/>
            </w:pPr>
            <w:r>
              <w:rPr>
                <w:rFonts w:ascii="宋体" w:hAnsi="宋体" w:eastAsia="宋体"/>
                <w:sz w:val="16"/>
              </w:rPr>
              <w:t>疏勒县罕南力克镇人民政府</w:t>
            </w:r>
          </w:p>
        </w:tc>
      </w:tr>
      <w:tr w14:paraId="60D4D9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F00C0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753C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024F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DD36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6DC0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856C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1909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92A66">
            <w:pPr>
              <w:jc w:val="center"/>
            </w:pPr>
            <w:r>
              <w:rPr>
                <w:rFonts w:ascii="宋体" w:hAnsi="宋体" w:eastAsia="宋体"/>
                <w:sz w:val="16"/>
              </w:rPr>
              <w:t>得分</w:t>
            </w:r>
          </w:p>
        </w:tc>
      </w:tr>
      <w:tr w14:paraId="3D422F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338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CA07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54961">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0B287">
            <w:pPr>
              <w:jc w:val="center"/>
            </w:pPr>
            <w:r>
              <w:rPr>
                <w:rFonts w:ascii="宋体" w:hAnsi="宋体" w:eastAsia="宋体"/>
                <w:sz w:val="16"/>
              </w:rPr>
              <w:t>49.85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52901">
            <w:pPr>
              <w:jc w:val="center"/>
            </w:pPr>
            <w:r>
              <w:rPr>
                <w:rFonts w:ascii="宋体" w:hAnsi="宋体" w:eastAsia="宋体"/>
                <w:sz w:val="16"/>
              </w:rPr>
              <w:t>49.85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239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FAA5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87DDA">
            <w:pPr>
              <w:jc w:val="center"/>
            </w:pPr>
            <w:r>
              <w:rPr>
                <w:rFonts w:ascii="宋体" w:hAnsi="宋体" w:eastAsia="宋体"/>
                <w:sz w:val="16"/>
              </w:rPr>
              <w:t>10.00分</w:t>
            </w:r>
          </w:p>
        </w:tc>
      </w:tr>
      <w:tr w14:paraId="56E57B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D89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4484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C1995">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9CE87">
            <w:pPr>
              <w:jc w:val="center"/>
            </w:pPr>
            <w:r>
              <w:rPr>
                <w:rFonts w:ascii="宋体" w:hAnsi="宋体" w:eastAsia="宋体"/>
                <w:sz w:val="16"/>
              </w:rPr>
              <w:t>49.85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07E54">
            <w:pPr>
              <w:jc w:val="center"/>
            </w:pPr>
            <w:r>
              <w:rPr>
                <w:rFonts w:ascii="宋体" w:hAnsi="宋体" w:eastAsia="宋体"/>
                <w:sz w:val="16"/>
              </w:rPr>
              <w:t>49.85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254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966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4969A">
            <w:pPr>
              <w:jc w:val="center"/>
            </w:pPr>
            <w:r>
              <w:rPr>
                <w:rFonts w:ascii="宋体" w:hAnsi="宋体" w:eastAsia="宋体"/>
                <w:sz w:val="16"/>
              </w:rPr>
              <w:t>—</w:t>
            </w:r>
          </w:p>
        </w:tc>
      </w:tr>
      <w:tr w14:paraId="3BBE93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D7B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4A44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4C3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23F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1A6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D42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0F5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652AD">
            <w:pPr>
              <w:jc w:val="center"/>
            </w:pPr>
            <w:r>
              <w:rPr>
                <w:rFonts w:ascii="宋体" w:hAnsi="宋体" w:eastAsia="宋体"/>
                <w:sz w:val="16"/>
              </w:rPr>
              <w:t>—</w:t>
            </w:r>
          </w:p>
        </w:tc>
      </w:tr>
      <w:tr w14:paraId="3BE3A2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03DDC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D62C4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0B68FB">
            <w:pPr>
              <w:jc w:val="center"/>
            </w:pPr>
            <w:r>
              <w:rPr>
                <w:rFonts w:ascii="宋体" w:hAnsi="宋体" w:eastAsia="宋体"/>
                <w:sz w:val="16"/>
              </w:rPr>
              <w:t>实际完成情况</w:t>
            </w:r>
          </w:p>
        </w:tc>
      </w:tr>
      <w:tr w14:paraId="197100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009F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A17879">
            <w:pPr>
              <w:jc w:val="both"/>
            </w:pPr>
            <w:r>
              <w:rPr>
                <w:rFonts w:ascii="宋体" w:hAnsi="宋体" w:eastAsia="宋体"/>
                <w:sz w:val="16"/>
              </w:rPr>
              <w:t>项目计划总投资49.85万元，本项目主要实施内容在罕南力克镇11村（巴扎村）省道两边新建34盏中华灯，高度12米，灯杆上口220mm，下口280mm，厚度4mm，喷塑烤漆。预计项目实施后，有效提高城市道路安全，保障人员照明安全人口数2135人及以上，受益脱贫人口满意度达95%及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D8DCAE">
            <w:pPr>
              <w:jc w:val="both"/>
            </w:pPr>
            <w:r>
              <w:rPr>
                <w:rFonts w:hint="eastAsia" w:ascii="宋体" w:hAnsi="宋体"/>
                <w:sz w:val="16"/>
                <w:lang w:eastAsia="zh-CN"/>
              </w:rPr>
              <w:t>截至2024</w:t>
            </w:r>
            <w:r>
              <w:rPr>
                <w:rFonts w:ascii="宋体" w:hAnsi="宋体" w:eastAsia="宋体"/>
                <w:sz w:val="16"/>
              </w:rPr>
              <w:t>年12月31日，项目实际投资总额为49.85万元，项目实施后，有效提高城市道路安全，保障人员照明安全人口数2135人及以上，受益脱贫人口满意度达95%及以上。</w:t>
            </w:r>
          </w:p>
        </w:tc>
      </w:tr>
      <w:tr w14:paraId="333EF3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E550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90EB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9EF8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EA1E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547A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7E32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0985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1A80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560F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76A7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2D12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6462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51EF2">
            <w:pPr>
              <w:jc w:val="center"/>
            </w:pPr>
            <w:r>
              <w:rPr>
                <w:rFonts w:ascii="宋体" w:hAnsi="宋体" w:eastAsia="宋体"/>
                <w:sz w:val="16"/>
              </w:rPr>
              <w:t>偏差原因分析及改进措施</w:t>
            </w:r>
          </w:p>
        </w:tc>
      </w:tr>
      <w:tr w14:paraId="6C559E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46D1D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581B2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31FA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7E02B">
            <w:pPr>
              <w:jc w:val="center"/>
            </w:pPr>
            <w:r>
              <w:rPr>
                <w:rFonts w:ascii="宋体" w:hAnsi="宋体" w:eastAsia="宋体"/>
                <w:sz w:val="16"/>
              </w:rPr>
              <w:t>中华灯数量（盏）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EE095">
            <w:pPr>
              <w:jc w:val="center"/>
            </w:pPr>
            <w:r>
              <w:rPr>
                <w:rFonts w:ascii="宋体" w:hAnsi="宋体" w:eastAsia="宋体"/>
                <w:sz w:val="16"/>
              </w:rPr>
              <w:t>&gt;=34盏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EF3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9E9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34F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2D7F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426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39012">
            <w:pPr>
              <w:jc w:val="center"/>
            </w:pPr>
            <w:r>
              <w:rPr>
                <w:rFonts w:ascii="宋体" w:hAnsi="宋体" w:eastAsia="宋体"/>
                <w:sz w:val="16"/>
              </w:rPr>
              <w:t>=34盏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851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C26D3">
            <w:pPr>
              <w:jc w:val="center"/>
            </w:pPr>
          </w:p>
        </w:tc>
      </w:tr>
      <w:tr w14:paraId="2B01C4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226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BA6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C93E6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1D2A2">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EAF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CCA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69D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A25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543F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715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859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8F8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10FC2">
            <w:pPr>
              <w:jc w:val="center"/>
            </w:pPr>
          </w:p>
        </w:tc>
      </w:tr>
      <w:tr w14:paraId="337ADA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CA4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34F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ABC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3370D">
            <w:pPr>
              <w:jc w:val="center"/>
            </w:pPr>
            <w:r>
              <w:rPr>
                <w:rFonts w:ascii="宋体" w:hAnsi="宋体" w:eastAsia="宋体"/>
                <w:sz w:val="16"/>
              </w:rPr>
              <w:t>资金规范管理使用率（%）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3EB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612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C8C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795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7CE5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50A0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771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EFE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7FA2E">
            <w:pPr>
              <w:jc w:val="center"/>
            </w:pPr>
          </w:p>
        </w:tc>
      </w:tr>
      <w:tr w14:paraId="547B79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283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A35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68C6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F51A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D44A6">
            <w:pPr>
              <w:jc w:val="center"/>
            </w:pPr>
            <w:r>
              <w:rPr>
                <w:rFonts w:ascii="宋体" w:hAnsi="宋体" w:eastAsia="宋体"/>
                <w:sz w:val="16"/>
              </w:rPr>
              <w:t>=2024年7月31日前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149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ED3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CF2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CF3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E984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127AA">
            <w:pPr>
              <w:jc w:val="center"/>
            </w:pPr>
            <w:r>
              <w:rPr>
                <w:rFonts w:ascii="宋体" w:hAnsi="宋体" w:eastAsia="宋体"/>
                <w:sz w:val="16"/>
              </w:rPr>
              <w:t>=2024年6月11日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86E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8F262">
            <w:pPr>
              <w:jc w:val="center"/>
            </w:pPr>
          </w:p>
        </w:tc>
      </w:tr>
      <w:tr w14:paraId="7C6049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808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37A7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C356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A69F3">
            <w:pPr>
              <w:jc w:val="center"/>
            </w:pPr>
            <w:r>
              <w:rPr>
                <w:rFonts w:ascii="宋体" w:hAnsi="宋体" w:eastAsia="宋体"/>
                <w:sz w:val="16"/>
              </w:rPr>
              <w:t>项目路灯采购成本（万元）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CE80A">
            <w:pPr>
              <w:jc w:val="center"/>
            </w:pPr>
            <w:r>
              <w:rPr>
                <w:rFonts w:ascii="宋体" w:hAnsi="宋体" w:eastAsia="宋体"/>
                <w:sz w:val="16"/>
              </w:rPr>
              <w:t>&lt;=49.85万元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04E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0F5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6E9F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9B0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8CCF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34234">
            <w:pPr>
              <w:jc w:val="center"/>
            </w:pPr>
            <w:r>
              <w:rPr>
                <w:rFonts w:ascii="宋体" w:hAnsi="宋体" w:eastAsia="宋体"/>
                <w:sz w:val="16"/>
              </w:rPr>
              <w:t>=49.85万元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FDFA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BF2B4">
            <w:pPr>
              <w:jc w:val="center"/>
            </w:pPr>
          </w:p>
        </w:tc>
      </w:tr>
      <w:tr w14:paraId="3643DF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7447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BDCDB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A6B52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6991F">
            <w:pPr>
              <w:jc w:val="center"/>
            </w:pPr>
            <w:r>
              <w:rPr>
                <w:rFonts w:ascii="宋体" w:hAnsi="宋体" w:eastAsia="宋体"/>
                <w:sz w:val="16"/>
              </w:rPr>
              <w:t>提高城市道路安全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24FE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91A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F56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10B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39D0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6AE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25BA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05F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AC304">
            <w:pPr>
              <w:jc w:val="center"/>
            </w:pPr>
          </w:p>
        </w:tc>
      </w:tr>
      <w:tr w14:paraId="063A4A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E40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CB4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D68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78ECD">
            <w:pPr>
              <w:jc w:val="center"/>
            </w:pPr>
            <w:r>
              <w:rPr>
                <w:rFonts w:ascii="宋体" w:hAnsi="宋体" w:eastAsia="宋体"/>
                <w:sz w:val="16"/>
              </w:rPr>
              <w:t>受益保障安全人口数（人）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5C73C">
            <w:pPr>
              <w:jc w:val="center"/>
            </w:pPr>
            <w:r>
              <w:rPr>
                <w:rFonts w:ascii="宋体" w:hAnsi="宋体" w:eastAsia="宋体"/>
                <w:sz w:val="16"/>
              </w:rPr>
              <w:t>&gt;=2135人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590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05C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7DF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6F62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0DF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0C6B0">
            <w:pPr>
              <w:jc w:val="center"/>
            </w:pPr>
            <w:r>
              <w:rPr>
                <w:rFonts w:ascii="宋体" w:hAnsi="宋体" w:eastAsia="宋体"/>
                <w:sz w:val="16"/>
              </w:rPr>
              <w:t>=2135人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B69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B10BB">
            <w:pPr>
              <w:jc w:val="center"/>
            </w:pPr>
          </w:p>
        </w:tc>
      </w:tr>
      <w:tr w14:paraId="76DAE6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86A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4572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FB72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5676F">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6989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BC3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088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CA6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F272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4F8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E92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407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56816">
            <w:pPr>
              <w:jc w:val="center"/>
            </w:pPr>
            <w:r>
              <w:rPr>
                <w:rFonts w:ascii="宋体" w:hAnsi="宋体" w:eastAsia="宋体"/>
                <w:sz w:val="16"/>
              </w:rPr>
              <w:t>做好单位内部控受益村民满意度（%）95%，因该目标实际问卷调查满意度为100%，故存在5.26%偏差，改进措施：根据项目实施情况，合理设置预期指标值，使完成值与预期目标值一致。</w:t>
            </w:r>
          </w:p>
        </w:tc>
      </w:tr>
      <w:tr w14:paraId="7B97F7D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4C914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19CD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7E1A1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516D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41B80C9"/>
        </w:tc>
      </w:tr>
    </w:tbl>
    <w:p w14:paraId="4188A0D0">
      <w:r>
        <w:br w:type="page"/>
      </w:r>
    </w:p>
    <w:tbl>
      <w:tblPr>
        <w:tblStyle w:val="9"/>
        <w:tblW w:w="0" w:type="auto"/>
        <w:tblInd w:w="0" w:type="dxa"/>
        <w:tblLayout w:type="autofit"/>
        <w:tblCellMar>
          <w:top w:w="0" w:type="dxa"/>
          <w:left w:w="108" w:type="dxa"/>
          <w:bottom w:w="0" w:type="dxa"/>
          <w:right w:w="108" w:type="dxa"/>
        </w:tblCellMar>
      </w:tblPr>
      <w:tblGrid>
        <w:gridCol w:w="623"/>
        <w:gridCol w:w="608"/>
        <w:gridCol w:w="608"/>
        <w:gridCol w:w="608"/>
        <w:gridCol w:w="856"/>
        <w:gridCol w:w="608"/>
        <w:gridCol w:w="608"/>
        <w:gridCol w:w="616"/>
        <w:gridCol w:w="608"/>
        <w:gridCol w:w="616"/>
        <w:gridCol w:w="856"/>
        <w:gridCol w:w="632"/>
        <w:gridCol w:w="581"/>
        <w:gridCol w:w="632"/>
      </w:tblGrid>
      <w:tr w14:paraId="10B88D2D">
        <w:tblPrEx>
          <w:tblCellMar>
            <w:top w:w="0" w:type="dxa"/>
            <w:left w:w="108" w:type="dxa"/>
            <w:bottom w:w="0" w:type="dxa"/>
            <w:right w:w="108" w:type="dxa"/>
          </w:tblCellMar>
        </w:tblPrEx>
        <w:tc>
          <w:tcPr>
            <w:tcW w:w="8848" w:type="dxa"/>
            <w:gridSpan w:val="14"/>
            <w:vAlign w:val="center"/>
          </w:tcPr>
          <w:p w14:paraId="2A466937">
            <w:pPr>
              <w:jc w:val="center"/>
            </w:pPr>
            <w:r>
              <w:rPr>
                <w:rFonts w:ascii="宋体" w:hAnsi="宋体" w:eastAsia="宋体"/>
                <w:sz w:val="24"/>
              </w:rPr>
              <w:t>项目支出绩效自评表</w:t>
            </w:r>
          </w:p>
        </w:tc>
      </w:tr>
      <w:tr w14:paraId="000B20F8">
        <w:tblPrEx>
          <w:tblCellMar>
            <w:top w:w="0" w:type="dxa"/>
            <w:left w:w="108" w:type="dxa"/>
            <w:bottom w:w="0" w:type="dxa"/>
            <w:right w:w="108" w:type="dxa"/>
          </w:tblCellMar>
        </w:tblPrEx>
        <w:tc>
          <w:tcPr>
            <w:tcW w:w="8848" w:type="dxa"/>
            <w:gridSpan w:val="14"/>
            <w:vAlign w:val="center"/>
          </w:tcPr>
          <w:p w14:paraId="3770CAA8">
            <w:pPr>
              <w:jc w:val="center"/>
            </w:pPr>
            <w:r>
              <w:rPr>
                <w:rFonts w:ascii="宋体" w:hAnsi="宋体" w:eastAsia="宋体"/>
                <w:sz w:val="24"/>
              </w:rPr>
              <w:t>(2024年度)</w:t>
            </w:r>
          </w:p>
        </w:tc>
      </w:tr>
      <w:tr w14:paraId="12EB5D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2D53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5C403B8">
            <w:pPr>
              <w:jc w:val="center"/>
            </w:pPr>
            <w:r>
              <w:rPr>
                <w:rFonts w:ascii="宋体" w:hAnsi="宋体" w:eastAsia="宋体"/>
                <w:sz w:val="16"/>
              </w:rPr>
              <w:t>疏勒县罕南力克镇2024年乡镇工作经费项目</w:t>
            </w:r>
          </w:p>
        </w:tc>
      </w:tr>
      <w:tr w14:paraId="1D9EE8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AD25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E2CA21">
            <w:pPr>
              <w:jc w:val="center"/>
            </w:pPr>
            <w:r>
              <w:rPr>
                <w:rFonts w:ascii="宋体" w:hAnsi="宋体" w:eastAsia="宋体"/>
                <w:sz w:val="16"/>
              </w:rPr>
              <w:t>疏勒县罕南力克镇人民政府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5EC7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2B0DDA">
            <w:pPr>
              <w:jc w:val="center"/>
            </w:pPr>
            <w:r>
              <w:rPr>
                <w:rFonts w:ascii="宋体" w:hAnsi="宋体" w:eastAsia="宋体"/>
                <w:sz w:val="16"/>
              </w:rPr>
              <w:t>疏勒县罕南力克镇人民政府</w:t>
            </w:r>
          </w:p>
        </w:tc>
      </w:tr>
      <w:tr w14:paraId="23EFBF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08F92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8C61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E89C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E349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6F0A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8CBB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286B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0E5E2">
            <w:pPr>
              <w:jc w:val="center"/>
            </w:pPr>
            <w:r>
              <w:rPr>
                <w:rFonts w:ascii="宋体" w:hAnsi="宋体" w:eastAsia="宋体"/>
                <w:sz w:val="16"/>
              </w:rPr>
              <w:t>得分</w:t>
            </w:r>
          </w:p>
        </w:tc>
      </w:tr>
      <w:tr w14:paraId="4FD597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24CE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EAA1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7CE15">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3E7BE">
            <w:pPr>
              <w:jc w:val="center"/>
            </w:pPr>
            <w:r>
              <w:rPr>
                <w:rFonts w:ascii="宋体" w:hAnsi="宋体" w:eastAsia="宋体"/>
                <w:sz w:val="16"/>
              </w:rPr>
              <w:t>20.93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76276">
            <w:pPr>
              <w:jc w:val="center"/>
            </w:pPr>
            <w:r>
              <w:rPr>
                <w:rFonts w:ascii="宋体" w:hAnsi="宋体" w:eastAsia="宋体"/>
                <w:sz w:val="16"/>
              </w:rPr>
              <w:t>20.93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8E3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0A59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DB7AB">
            <w:pPr>
              <w:jc w:val="center"/>
            </w:pPr>
            <w:r>
              <w:rPr>
                <w:rFonts w:ascii="宋体" w:hAnsi="宋体" w:eastAsia="宋体"/>
                <w:sz w:val="16"/>
              </w:rPr>
              <w:t>10.00分</w:t>
            </w:r>
          </w:p>
        </w:tc>
      </w:tr>
      <w:tr w14:paraId="17F9D6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42D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C7AC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94E3F">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CA3FF">
            <w:pPr>
              <w:jc w:val="center"/>
            </w:pPr>
            <w:r>
              <w:rPr>
                <w:rFonts w:ascii="宋体" w:hAnsi="宋体" w:eastAsia="宋体"/>
                <w:sz w:val="16"/>
              </w:rPr>
              <w:t>20.93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B7F62">
            <w:pPr>
              <w:jc w:val="center"/>
            </w:pPr>
            <w:r>
              <w:rPr>
                <w:rFonts w:ascii="宋体" w:hAnsi="宋体" w:eastAsia="宋体"/>
                <w:sz w:val="16"/>
              </w:rPr>
              <w:t>20.93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8E36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789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9283A">
            <w:pPr>
              <w:jc w:val="center"/>
            </w:pPr>
            <w:r>
              <w:rPr>
                <w:rFonts w:ascii="宋体" w:hAnsi="宋体" w:eastAsia="宋体"/>
                <w:sz w:val="16"/>
              </w:rPr>
              <w:t>—</w:t>
            </w:r>
          </w:p>
        </w:tc>
      </w:tr>
      <w:tr w14:paraId="4BD2FD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1DE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998B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22E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97D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9DE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A779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705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CE997">
            <w:pPr>
              <w:jc w:val="center"/>
            </w:pPr>
            <w:r>
              <w:rPr>
                <w:rFonts w:ascii="宋体" w:hAnsi="宋体" w:eastAsia="宋体"/>
                <w:sz w:val="16"/>
              </w:rPr>
              <w:t>—</w:t>
            </w:r>
          </w:p>
        </w:tc>
      </w:tr>
      <w:tr w14:paraId="62405B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6BCBD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CDE46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138B1A">
            <w:pPr>
              <w:jc w:val="center"/>
            </w:pPr>
            <w:r>
              <w:rPr>
                <w:rFonts w:ascii="宋体" w:hAnsi="宋体" w:eastAsia="宋体"/>
                <w:sz w:val="16"/>
              </w:rPr>
              <w:t>实际完成情况</w:t>
            </w:r>
          </w:p>
        </w:tc>
      </w:tr>
      <w:tr w14:paraId="54F022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3DEA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4511B8">
            <w:pPr>
              <w:jc w:val="both"/>
            </w:pPr>
            <w:r>
              <w:rPr>
                <w:rFonts w:ascii="宋体" w:hAnsi="宋体" w:eastAsia="宋体"/>
                <w:sz w:val="16"/>
              </w:rPr>
              <w:t>本项目资金计划投入20.93万元，用于保障镇政府冬季2635.49平方米取暖，保障乡镇干部125人的工作正常开展，通过有效保障充分调动工作人员的积极性，营造和谐、舒适的工作生活环境，确保干部安心工作生活。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472F4F">
            <w:pPr>
              <w:jc w:val="both"/>
            </w:pPr>
            <w:r>
              <w:rPr>
                <w:rFonts w:hint="eastAsia" w:ascii="宋体" w:hAnsi="宋体"/>
                <w:sz w:val="16"/>
                <w:lang w:eastAsia="zh-CN"/>
              </w:rPr>
              <w:t>截至2024</w:t>
            </w:r>
            <w:r>
              <w:rPr>
                <w:rFonts w:ascii="宋体" w:hAnsi="宋体" w:eastAsia="宋体"/>
                <w:sz w:val="16"/>
              </w:rPr>
              <w:t>年12月31日，项目实际投资总额为20.93万元，用于保障镇政府冬季2635.49平方米取暖，保障乡镇干部125人的工作正常开展，项目实施后，有效提高各科室办公正常运转能力，充分调动工作人员的积极性，营造和谐、舒适的工作生活环境，确保干部安心工作生活。</w:t>
            </w:r>
          </w:p>
        </w:tc>
      </w:tr>
      <w:tr w14:paraId="6E64A4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A5327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26BF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2C6F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C909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AFAA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7A49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13C0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91CA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A770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3632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6D41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81AF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0CB25">
            <w:pPr>
              <w:jc w:val="center"/>
            </w:pPr>
            <w:r>
              <w:rPr>
                <w:rFonts w:ascii="宋体" w:hAnsi="宋体" w:eastAsia="宋体"/>
                <w:sz w:val="16"/>
              </w:rPr>
              <w:t>偏差原因分析及改进措施</w:t>
            </w:r>
          </w:p>
        </w:tc>
      </w:tr>
      <w:tr w14:paraId="5DD99B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6074E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0AFE0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5422A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D6DD8">
            <w:pPr>
              <w:jc w:val="center"/>
            </w:pPr>
            <w:r>
              <w:rPr>
                <w:rFonts w:ascii="宋体" w:hAnsi="宋体" w:eastAsia="宋体"/>
                <w:sz w:val="16"/>
              </w:rPr>
              <w:t>保障干部人数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E615A">
            <w:pPr>
              <w:jc w:val="center"/>
            </w:pPr>
            <w:r>
              <w:rPr>
                <w:rFonts w:ascii="宋体" w:hAnsi="宋体" w:eastAsia="宋体"/>
                <w:sz w:val="16"/>
              </w:rPr>
              <w:t>=125人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6BD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5D5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345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042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2E5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353F5">
            <w:pPr>
              <w:jc w:val="center"/>
            </w:pPr>
            <w:r>
              <w:rPr>
                <w:rFonts w:ascii="宋体" w:hAnsi="宋体" w:eastAsia="宋体"/>
                <w:sz w:val="16"/>
              </w:rPr>
              <w:t>=125人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AEF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B4C46">
            <w:pPr>
              <w:jc w:val="center"/>
            </w:pPr>
          </w:p>
        </w:tc>
      </w:tr>
      <w:tr w14:paraId="3F0D48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D7D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056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936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6A505">
            <w:pPr>
              <w:jc w:val="center"/>
            </w:pPr>
            <w:r>
              <w:rPr>
                <w:rFonts w:ascii="宋体" w:hAnsi="宋体" w:eastAsia="宋体"/>
                <w:sz w:val="16"/>
              </w:rPr>
              <w:t>冬季取暖面积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09828">
            <w:pPr>
              <w:jc w:val="center"/>
            </w:pPr>
            <w:r>
              <w:rPr>
                <w:rFonts w:ascii="宋体" w:hAnsi="宋体" w:eastAsia="宋体"/>
                <w:sz w:val="16"/>
              </w:rPr>
              <w:t>=2635.49平方米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714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49D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B41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046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3FA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2BEF2">
            <w:pPr>
              <w:jc w:val="center"/>
            </w:pPr>
            <w:r>
              <w:rPr>
                <w:rFonts w:ascii="宋体" w:hAnsi="宋体" w:eastAsia="宋体"/>
                <w:sz w:val="16"/>
              </w:rPr>
              <w:t>=2635.49平方米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9D8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208E6">
            <w:pPr>
              <w:jc w:val="center"/>
            </w:pPr>
          </w:p>
        </w:tc>
      </w:tr>
      <w:tr w14:paraId="0C73FF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BAE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CD0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01FA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E1C7F">
            <w:pPr>
              <w:jc w:val="center"/>
            </w:pPr>
            <w:r>
              <w:rPr>
                <w:rFonts w:ascii="宋体" w:hAnsi="宋体" w:eastAsia="宋体"/>
                <w:sz w:val="16"/>
              </w:rPr>
              <w:t>资金支付合规性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18E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E99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143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9BB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5A5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204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374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9EE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C3043">
            <w:pPr>
              <w:jc w:val="center"/>
            </w:pPr>
          </w:p>
        </w:tc>
      </w:tr>
      <w:tr w14:paraId="08AFCB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0C4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A858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80807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3746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DB39F">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F9E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A07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72BC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969C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B9C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50FC1">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C7EC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C2E62">
            <w:pPr>
              <w:jc w:val="center"/>
            </w:pPr>
          </w:p>
        </w:tc>
      </w:tr>
      <w:tr w14:paraId="08A1C6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D04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874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A83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5CC4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0A7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8CA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047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CE3A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D56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0BA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7A1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BD21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45D63">
            <w:pPr>
              <w:jc w:val="center"/>
            </w:pPr>
          </w:p>
        </w:tc>
      </w:tr>
      <w:tr w14:paraId="0A6E63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8A7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B7FA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5ADD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03950">
            <w:pPr>
              <w:jc w:val="center"/>
            </w:pPr>
            <w:r>
              <w:rPr>
                <w:rFonts w:ascii="宋体" w:hAnsi="宋体" w:eastAsia="宋体"/>
                <w:sz w:val="16"/>
              </w:rPr>
              <w:t>机关取暖电费支出成本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96CF3">
            <w:pPr>
              <w:jc w:val="center"/>
            </w:pPr>
            <w:r>
              <w:rPr>
                <w:rFonts w:ascii="宋体" w:hAnsi="宋体" w:eastAsia="宋体"/>
                <w:sz w:val="16"/>
              </w:rPr>
              <w:t>=79.42元/平方米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F1A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430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84AA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331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B93C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8B1BD">
            <w:pPr>
              <w:jc w:val="center"/>
            </w:pPr>
            <w:r>
              <w:rPr>
                <w:rFonts w:ascii="宋体" w:hAnsi="宋体" w:eastAsia="宋体"/>
                <w:sz w:val="16"/>
              </w:rPr>
              <w:t>=79.42元/平方米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444F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85B7A">
            <w:pPr>
              <w:jc w:val="center"/>
            </w:pPr>
          </w:p>
        </w:tc>
      </w:tr>
      <w:tr w14:paraId="6FE797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E16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03D6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8F73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10653">
            <w:pPr>
              <w:jc w:val="center"/>
            </w:pPr>
            <w:r>
              <w:rPr>
                <w:rFonts w:ascii="宋体" w:hAnsi="宋体" w:eastAsia="宋体"/>
                <w:sz w:val="16"/>
              </w:rPr>
              <w:t>各科室办公正常运转能力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2D63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09E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E4C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1BF79">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5B94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B36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199C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00D6A">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A7A89">
            <w:pPr>
              <w:jc w:val="center"/>
            </w:pPr>
          </w:p>
        </w:tc>
      </w:tr>
      <w:tr w14:paraId="6BFA202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9C463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BEC6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8DC5C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1DA1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529575F"/>
        </w:tc>
      </w:tr>
    </w:tbl>
    <w:p w14:paraId="396113B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27ED8EB">
        <w:tblPrEx>
          <w:tblCellMar>
            <w:top w:w="0" w:type="dxa"/>
            <w:left w:w="108" w:type="dxa"/>
            <w:bottom w:w="0" w:type="dxa"/>
            <w:right w:w="108" w:type="dxa"/>
          </w:tblCellMar>
        </w:tblPrEx>
        <w:tc>
          <w:tcPr>
            <w:tcW w:w="8848" w:type="dxa"/>
            <w:gridSpan w:val="14"/>
            <w:vAlign w:val="center"/>
          </w:tcPr>
          <w:p w14:paraId="6666DA7E">
            <w:pPr>
              <w:jc w:val="center"/>
            </w:pPr>
            <w:r>
              <w:rPr>
                <w:rFonts w:ascii="宋体" w:hAnsi="宋体" w:eastAsia="宋体"/>
                <w:sz w:val="24"/>
              </w:rPr>
              <w:t>项目支出绩效自评表</w:t>
            </w:r>
          </w:p>
        </w:tc>
      </w:tr>
      <w:tr w14:paraId="203E2556">
        <w:tblPrEx>
          <w:tblCellMar>
            <w:top w:w="0" w:type="dxa"/>
            <w:left w:w="108" w:type="dxa"/>
            <w:bottom w:w="0" w:type="dxa"/>
            <w:right w:w="108" w:type="dxa"/>
          </w:tblCellMar>
        </w:tblPrEx>
        <w:tc>
          <w:tcPr>
            <w:tcW w:w="8848" w:type="dxa"/>
            <w:gridSpan w:val="14"/>
            <w:vAlign w:val="center"/>
          </w:tcPr>
          <w:p w14:paraId="4BE8F33F">
            <w:pPr>
              <w:jc w:val="center"/>
            </w:pPr>
            <w:r>
              <w:rPr>
                <w:rFonts w:ascii="宋体" w:hAnsi="宋体" w:eastAsia="宋体"/>
                <w:sz w:val="24"/>
              </w:rPr>
              <w:t>(2024年度)</w:t>
            </w:r>
          </w:p>
        </w:tc>
      </w:tr>
      <w:tr w14:paraId="0AD6AF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5311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0618DD">
            <w:pPr>
              <w:jc w:val="center"/>
            </w:pPr>
            <w:r>
              <w:rPr>
                <w:rFonts w:ascii="宋体" w:hAnsi="宋体" w:eastAsia="宋体"/>
                <w:sz w:val="16"/>
              </w:rPr>
              <w:t>罕南力克镇特色蔬菜种植基地项目</w:t>
            </w:r>
          </w:p>
        </w:tc>
      </w:tr>
      <w:tr w14:paraId="11DE0C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F38D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DA5310">
            <w:pPr>
              <w:jc w:val="center"/>
            </w:pPr>
            <w:r>
              <w:rPr>
                <w:rFonts w:ascii="宋体" w:hAnsi="宋体" w:eastAsia="宋体"/>
                <w:sz w:val="16"/>
              </w:rPr>
              <w:t>疏勒县罕南力克镇人民政府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F616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C3B9EB">
            <w:pPr>
              <w:jc w:val="center"/>
            </w:pPr>
            <w:r>
              <w:rPr>
                <w:rFonts w:ascii="宋体" w:hAnsi="宋体" w:eastAsia="宋体"/>
                <w:sz w:val="16"/>
              </w:rPr>
              <w:t>疏勒县罕南力克镇人民政府</w:t>
            </w:r>
          </w:p>
        </w:tc>
      </w:tr>
      <w:tr w14:paraId="106B25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78E03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4661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2BBB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7716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D674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F970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DAB7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8F2FF">
            <w:pPr>
              <w:jc w:val="center"/>
            </w:pPr>
            <w:r>
              <w:rPr>
                <w:rFonts w:ascii="宋体" w:hAnsi="宋体" w:eastAsia="宋体"/>
                <w:sz w:val="16"/>
              </w:rPr>
              <w:t>得分</w:t>
            </w:r>
          </w:p>
        </w:tc>
      </w:tr>
      <w:tr w14:paraId="3E058D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AF6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A90A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4D567">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76FA8">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FE73E">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362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8A30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58B4E">
            <w:pPr>
              <w:jc w:val="center"/>
            </w:pPr>
            <w:r>
              <w:rPr>
                <w:rFonts w:ascii="宋体" w:hAnsi="宋体" w:eastAsia="宋体"/>
                <w:sz w:val="16"/>
              </w:rPr>
              <w:t>10.00分</w:t>
            </w:r>
          </w:p>
        </w:tc>
      </w:tr>
      <w:tr w14:paraId="05F195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2AC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D32F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FF9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493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E46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2A3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2C7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CED8C">
            <w:pPr>
              <w:jc w:val="center"/>
            </w:pPr>
            <w:r>
              <w:rPr>
                <w:rFonts w:ascii="宋体" w:hAnsi="宋体" w:eastAsia="宋体"/>
                <w:sz w:val="16"/>
              </w:rPr>
              <w:t>—</w:t>
            </w:r>
          </w:p>
        </w:tc>
      </w:tr>
      <w:tr w14:paraId="753305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CE1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5C95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E5B18">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CA63A">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6BB79">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B24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3F7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4DF71">
            <w:pPr>
              <w:jc w:val="center"/>
            </w:pPr>
            <w:r>
              <w:rPr>
                <w:rFonts w:ascii="宋体" w:hAnsi="宋体" w:eastAsia="宋体"/>
                <w:sz w:val="16"/>
              </w:rPr>
              <w:t>—</w:t>
            </w:r>
          </w:p>
        </w:tc>
      </w:tr>
      <w:tr w14:paraId="350A94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9EB38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0EDEB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C49106">
            <w:pPr>
              <w:jc w:val="center"/>
            </w:pPr>
            <w:r>
              <w:rPr>
                <w:rFonts w:ascii="宋体" w:hAnsi="宋体" w:eastAsia="宋体"/>
                <w:sz w:val="16"/>
              </w:rPr>
              <w:t>实际完成情况</w:t>
            </w:r>
          </w:p>
        </w:tc>
      </w:tr>
      <w:tr w14:paraId="5C3012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D2F8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292AB1">
            <w:pPr>
              <w:jc w:val="both"/>
            </w:pPr>
            <w:r>
              <w:rPr>
                <w:rFonts w:ascii="宋体" w:hAnsi="宋体" w:eastAsia="宋体"/>
                <w:sz w:val="16"/>
              </w:rPr>
              <w:t>该项目总投资44万元，计划对罕南力克镇恰恰甫20村和达也克22村各种植100亩土豆，通过实施本项目，可提高村集体收入，丰富农村村集体农业发展产业，促进村集体经济发展，合理规划产业结构，提高村民积极性，促进乡村振兴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739A86">
            <w:pPr>
              <w:jc w:val="both"/>
            </w:pPr>
            <w:r>
              <w:rPr>
                <w:rFonts w:hint="eastAsia" w:ascii="宋体" w:hAnsi="宋体"/>
                <w:sz w:val="16"/>
                <w:lang w:eastAsia="zh-CN"/>
              </w:rPr>
              <w:t>截至</w:t>
            </w:r>
            <w:r>
              <w:rPr>
                <w:rFonts w:ascii="宋体" w:hAnsi="宋体" w:eastAsia="宋体"/>
                <w:sz w:val="16"/>
              </w:rPr>
              <w:t>2024年12月31日，项目实际投资总额为44万元，通过实施本项目，可提高村集体收入，丰富农村村集体农业发展产业，促进村集体经济发展，合理规划产业结构，提高村民积极性，促进乡村振兴发展。</w:t>
            </w:r>
          </w:p>
        </w:tc>
      </w:tr>
      <w:tr w14:paraId="1B6F92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B1ED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39F1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5CD8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6746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7635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1CF3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C64B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B12A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CDF0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D32D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8CDF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3F07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FC919">
            <w:pPr>
              <w:jc w:val="center"/>
            </w:pPr>
            <w:r>
              <w:rPr>
                <w:rFonts w:ascii="宋体" w:hAnsi="宋体" w:eastAsia="宋体"/>
                <w:sz w:val="16"/>
              </w:rPr>
              <w:t>偏差原因分析及改进措施</w:t>
            </w:r>
          </w:p>
        </w:tc>
      </w:tr>
      <w:tr w14:paraId="21B7B8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D43A4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AF6B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597EC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5230C">
            <w:pPr>
              <w:jc w:val="center"/>
            </w:pPr>
            <w:r>
              <w:rPr>
                <w:rFonts w:ascii="宋体" w:hAnsi="宋体" w:eastAsia="宋体"/>
                <w:sz w:val="16"/>
              </w:rPr>
              <w:t>涉及行政村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14E37">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706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EBF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BAD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229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3FC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2D22C">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F10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3867F">
            <w:pPr>
              <w:jc w:val="center"/>
            </w:pPr>
          </w:p>
        </w:tc>
      </w:tr>
      <w:tr w14:paraId="7E309C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62E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5F2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129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22BBA">
            <w:pPr>
              <w:jc w:val="center"/>
            </w:pPr>
            <w:r>
              <w:rPr>
                <w:rFonts w:ascii="宋体" w:hAnsi="宋体" w:eastAsia="宋体"/>
                <w:sz w:val="16"/>
              </w:rPr>
              <w:t>土豆种植面积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B1A6E">
            <w:pPr>
              <w:jc w:val="center"/>
            </w:pPr>
            <w:r>
              <w:rPr>
                <w:rFonts w:ascii="宋体" w:hAnsi="宋体" w:eastAsia="宋体"/>
                <w:sz w:val="16"/>
              </w:rPr>
              <w:t>=200亩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53A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4C5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9C5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408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36D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B3BEB">
            <w:pPr>
              <w:jc w:val="center"/>
            </w:pPr>
            <w:r>
              <w:rPr>
                <w:rFonts w:ascii="宋体" w:hAnsi="宋体" w:eastAsia="宋体"/>
                <w:sz w:val="16"/>
              </w:rPr>
              <w:t>=200亩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1BB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1765D">
            <w:pPr>
              <w:jc w:val="center"/>
            </w:pPr>
          </w:p>
        </w:tc>
      </w:tr>
      <w:tr w14:paraId="181433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3FB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1A20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E963A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CFCE0">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614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567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58C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2176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56B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DDD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39B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00B5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54958">
            <w:pPr>
              <w:jc w:val="center"/>
            </w:pPr>
          </w:p>
        </w:tc>
      </w:tr>
      <w:tr w14:paraId="18D99D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4F6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C90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DCC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A1973">
            <w:pPr>
              <w:jc w:val="center"/>
            </w:pPr>
            <w:r>
              <w:rPr>
                <w:rFonts w:ascii="宋体" w:hAnsi="宋体" w:eastAsia="宋体"/>
                <w:sz w:val="16"/>
              </w:rPr>
              <w:t>资金规范管理使用率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209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F62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491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7275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97C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E3A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058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6E00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14EC7">
            <w:pPr>
              <w:jc w:val="center"/>
            </w:pPr>
          </w:p>
        </w:tc>
      </w:tr>
      <w:tr w14:paraId="7B0975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BB4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679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9DCA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A201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89AE5">
            <w:pPr>
              <w:jc w:val="center"/>
            </w:pPr>
            <w:r>
              <w:rPr>
                <w:rFonts w:ascii="宋体" w:hAnsi="宋体" w:eastAsia="宋体"/>
                <w:sz w:val="16"/>
              </w:rPr>
              <w:t>=2024年12月10日前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563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D8E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3C6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5ADE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6A7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D53FE">
            <w:pPr>
              <w:jc w:val="center"/>
            </w:pPr>
            <w:r>
              <w:rPr>
                <w:rFonts w:ascii="宋体" w:hAnsi="宋体" w:eastAsia="宋体"/>
                <w:sz w:val="16"/>
              </w:rPr>
              <w:t>=2024年11月19日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F6A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49151">
            <w:pPr>
              <w:jc w:val="center"/>
            </w:pPr>
          </w:p>
        </w:tc>
      </w:tr>
      <w:tr w14:paraId="5285AC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7E9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44434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9846E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4A226">
            <w:pPr>
              <w:jc w:val="center"/>
            </w:pPr>
            <w:r>
              <w:rPr>
                <w:rFonts w:ascii="宋体" w:hAnsi="宋体" w:eastAsia="宋体"/>
                <w:sz w:val="16"/>
              </w:rPr>
              <w:t>22村土豆种植成本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32153">
            <w:pPr>
              <w:jc w:val="center"/>
            </w:pPr>
            <w:r>
              <w:rPr>
                <w:rFonts w:ascii="宋体" w:hAnsi="宋体" w:eastAsia="宋体"/>
                <w:sz w:val="16"/>
              </w:rPr>
              <w: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D71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246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1B9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2F0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8C906">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18AF9">
            <w:pPr>
              <w:jc w:val="center"/>
            </w:pPr>
            <w:r>
              <w:rPr>
                <w:rFonts w:ascii="宋体" w:hAnsi="宋体" w:eastAsia="宋体"/>
                <w:sz w:val="16"/>
              </w:rPr>
              <w: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3FB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83FB8">
            <w:pPr>
              <w:jc w:val="center"/>
            </w:pPr>
          </w:p>
        </w:tc>
      </w:tr>
      <w:tr w14:paraId="0F38AA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FC2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274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A26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1D47F">
            <w:pPr>
              <w:jc w:val="center"/>
            </w:pPr>
            <w:r>
              <w:rPr>
                <w:rFonts w:ascii="宋体" w:hAnsi="宋体" w:eastAsia="宋体"/>
                <w:sz w:val="16"/>
              </w:rPr>
              <w:t>20</w:t>
            </w:r>
            <w:r>
              <w:rPr>
                <w:rFonts w:hint="eastAsia" w:ascii="宋体" w:hAnsi="宋体"/>
                <w:sz w:val="16"/>
                <w:lang w:eastAsia="zh-CN"/>
              </w:rPr>
              <w:t>吨</w:t>
            </w:r>
            <w:r>
              <w:rPr>
                <w:rFonts w:ascii="宋体" w:hAnsi="宋体" w:eastAsia="宋体"/>
                <w:sz w:val="16"/>
              </w:rPr>
              <w:t>土豆种植成本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76244">
            <w:pPr>
              <w:jc w:val="center"/>
            </w:pPr>
            <w:r>
              <w:rPr>
                <w:rFonts w:ascii="宋体" w:hAnsi="宋体" w:eastAsia="宋体"/>
                <w:sz w:val="16"/>
              </w:rPr>
              <w: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E7F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5C0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F8B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73B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440C1">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15DE1">
            <w:pPr>
              <w:jc w:val="center"/>
            </w:pPr>
            <w:r>
              <w:rPr>
                <w:rFonts w:ascii="宋体" w:hAnsi="宋体" w:eastAsia="宋体"/>
                <w:sz w:val="16"/>
              </w:rPr>
              <w: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CAF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0B2EA">
            <w:pPr>
              <w:jc w:val="center"/>
            </w:pPr>
          </w:p>
        </w:tc>
      </w:tr>
      <w:tr w14:paraId="2F833702">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52E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DF64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A4F2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BB657">
            <w:pPr>
              <w:jc w:val="center"/>
            </w:pPr>
            <w:r>
              <w:rPr>
                <w:rFonts w:ascii="宋体" w:hAnsi="宋体" w:eastAsia="宋体"/>
                <w:sz w:val="16"/>
              </w:rPr>
              <w:t>丰富村集体产业，促进乡村振兴发展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236B4">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DDF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F93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1CC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39D1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218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7B8CB">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F467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741D0">
            <w:pPr>
              <w:jc w:val="center"/>
            </w:pPr>
          </w:p>
        </w:tc>
      </w:tr>
      <w:tr w14:paraId="384971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91F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9198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CC6D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FD1C8">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96F3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B74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99C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3FF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4A20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F44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949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EAA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C546B">
            <w:pPr>
              <w:jc w:val="center"/>
            </w:pPr>
            <w:r>
              <w:rPr>
                <w:rFonts w:ascii="宋体" w:hAnsi="宋体" w:eastAsia="宋体"/>
                <w:sz w:val="16"/>
              </w:rPr>
              <w:t>受益村民满意度（%）≥95%，因该目标实际问卷调查满意度为100%，故存在5.26%偏差，改进措施：根据项目实施情况，合理设置预期指标值，使完成值与预期目标值一致。</w:t>
            </w:r>
          </w:p>
        </w:tc>
      </w:tr>
      <w:tr w14:paraId="377F1C2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68F44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E4F6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03D13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F9FD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2748A88"/>
        </w:tc>
      </w:tr>
    </w:tbl>
    <w:p w14:paraId="275BDC9F">
      <w:r>
        <w:br w:type="page"/>
      </w:r>
    </w:p>
    <w:p w14:paraId="0144F4F8">
      <w:pPr>
        <w:spacing w:line="640" w:lineRule="exact"/>
        <w:ind w:firstLine="640"/>
        <w:jc w:val="both"/>
        <w:outlineLvl w:val="2"/>
      </w:pPr>
      <w:r>
        <w:rPr>
          <w:rFonts w:ascii="黑体" w:hAnsi="黑体" w:eastAsia="黑体"/>
          <w:sz w:val="32"/>
        </w:rPr>
        <w:t>十二、其他需说明的事项</w:t>
      </w:r>
    </w:p>
    <w:p w14:paraId="07A19E5B">
      <w:pPr>
        <w:spacing w:line="580" w:lineRule="exact"/>
        <w:ind w:firstLine="640"/>
        <w:jc w:val="both"/>
      </w:pPr>
      <w:r>
        <w:rPr>
          <w:rFonts w:ascii="仿宋_GB2312" w:hAnsi="仿宋_GB2312" w:eastAsia="仿宋_GB2312"/>
          <w:b w:val="0"/>
          <w:sz w:val="32"/>
        </w:rPr>
        <w:t>本单位无其他需说明的事项。</w:t>
      </w:r>
    </w:p>
    <w:p w14:paraId="28583FD4">
      <w:r>
        <w:br w:type="page"/>
      </w:r>
    </w:p>
    <w:p w14:paraId="58B4C751">
      <w:pPr>
        <w:spacing w:line="240" w:lineRule="auto"/>
        <w:jc w:val="center"/>
        <w:outlineLvl w:val="1"/>
      </w:pPr>
      <w:r>
        <w:rPr>
          <w:rFonts w:ascii="黑体" w:hAnsi="黑体" w:eastAsia="黑体"/>
          <w:sz w:val="32"/>
        </w:rPr>
        <w:t>第三部分 专业名词解释</w:t>
      </w:r>
    </w:p>
    <w:p w14:paraId="4F22100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2970EB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251B16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9F53E3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01D60F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E7F6B6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44B610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FF06F6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8C56EF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0AE409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38BB1C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51C87E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72569B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24A7F6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0EF6D56">
      <w:r>
        <w:br w:type="page"/>
      </w:r>
    </w:p>
    <w:p w14:paraId="70CF6A40">
      <w:pPr>
        <w:spacing w:line="240" w:lineRule="auto"/>
        <w:jc w:val="center"/>
        <w:outlineLvl w:val="1"/>
      </w:pPr>
      <w:r>
        <w:rPr>
          <w:rFonts w:ascii="黑体" w:hAnsi="黑体" w:eastAsia="黑体"/>
          <w:sz w:val="32"/>
        </w:rPr>
        <w:t>第四部分 部门决算报表（见附表）</w:t>
      </w:r>
    </w:p>
    <w:p w14:paraId="3F10ABB5">
      <w:pPr>
        <w:spacing w:line="240" w:lineRule="auto"/>
        <w:ind w:firstLine="640"/>
        <w:jc w:val="both"/>
      </w:pPr>
      <w:r>
        <w:rPr>
          <w:rFonts w:ascii="仿宋_GB2312" w:hAnsi="仿宋_GB2312" w:eastAsia="仿宋_GB2312"/>
          <w:b w:val="0"/>
          <w:sz w:val="32"/>
        </w:rPr>
        <w:t>一、《收入支出决算总表》</w:t>
      </w:r>
    </w:p>
    <w:p w14:paraId="264418CE">
      <w:pPr>
        <w:spacing w:line="240" w:lineRule="auto"/>
        <w:ind w:firstLine="640"/>
        <w:jc w:val="both"/>
      </w:pPr>
      <w:r>
        <w:rPr>
          <w:rFonts w:ascii="仿宋_GB2312" w:hAnsi="仿宋_GB2312" w:eastAsia="仿宋_GB2312"/>
          <w:b w:val="0"/>
          <w:sz w:val="32"/>
        </w:rPr>
        <w:t>二、《收入决算表》</w:t>
      </w:r>
    </w:p>
    <w:p w14:paraId="09FD0936">
      <w:pPr>
        <w:spacing w:line="240" w:lineRule="auto"/>
        <w:ind w:firstLine="640"/>
        <w:jc w:val="both"/>
      </w:pPr>
      <w:r>
        <w:rPr>
          <w:rFonts w:ascii="仿宋_GB2312" w:hAnsi="仿宋_GB2312" w:eastAsia="仿宋_GB2312"/>
          <w:b w:val="0"/>
          <w:sz w:val="32"/>
        </w:rPr>
        <w:t>三、《支出决算表》</w:t>
      </w:r>
    </w:p>
    <w:p w14:paraId="69214266">
      <w:pPr>
        <w:spacing w:line="240" w:lineRule="auto"/>
        <w:ind w:firstLine="640"/>
        <w:jc w:val="both"/>
      </w:pPr>
      <w:r>
        <w:rPr>
          <w:rFonts w:ascii="仿宋_GB2312" w:hAnsi="仿宋_GB2312" w:eastAsia="仿宋_GB2312"/>
          <w:b w:val="0"/>
          <w:sz w:val="32"/>
        </w:rPr>
        <w:t>四、《财政拨款收入支出决算总表》</w:t>
      </w:r>
    </w:p>
    <w:p w14:paraId="377638BE">
      <w:pPr>
        <w:spacing w:line="240" w:lineRule="auto"/>
        <w:ind w:firstLine="640"/>
        <w:jc w:val="both"/>
      </w:pPr>
      <w:r>
        <w:rPr>
          <w:rFonts w:ascii="仿宋_GB2312" w:hAnsi="仿宋_GB2312" w:eastAsia="仿宋_GB2312"/>
          <w:b w:val="0"/>
          <w:sz w:val="32"/>
        </w:rPr>
        <w:t>五、《一般公共预算财政拨款支出决算表》</w:t>
      </w:r>
    </w:p>
    <w:p w14:paraId="074AEC9A">
      <w:pPr>
        <w:spacing w:line="240" w:lineRule="auto"/>
        <w:ind w:firstLine="640"/>
        <w:jc w:val="both"/>
      </w:pPr>
      <w:r>
        <w:rPr>
          <w:rFonts w:ascii="仿宋_GB2312" w:hAnsi="仿宋_GB2312" w:eastAsia="仿宋_GB2312"/>
          <w:b w:val="0"/>
          <w:sz w:val="32"/>
        </w:rPr>
        <w:t>六、《一般公共预算财政拨款基本支出决算表》</w:t>
      </w:r>
    </w:p>
    <w:p w14:paraId="21222C77">
      <w:pPr>
        <w:spacing w:line="240" w:lineRule="auto"/>
        <w:ind w:firstLine="640"/>
        <w:jc w:val="both"/>
      </w:pPr>
      <w:r>
        <w:rPr>
          <w:rFonts w:ascii="仿宋_GB2312" w:hAnsi="仿宋_GB2312" w:eastAsia="仿宋_GB2312"/>
          <w:b w:val="0"/>
          <w:sz w:val="32"/>
        </w:rPr>
        <w:t>七、《政府性基金预算财政拨款收入支出决算表》</w:t>
      </w:r>
    </w:p>
    <w:p w14:paraId="360BD8DA">
      <w:pPr>
        <w:spacing w:line="240" w:lineRule="auto"/>
        <w:ind w:firstLine="640"/>
        <w:jc w:val="both"/>
      </w:pPr>
      <w:r>
        <w:rPr>
          <w:rFonts w:ascii="仿宋_GB2312" w:hAnsi="仿宋_GB2312" w:eastAsia="仿宋_GB2312"/>
          <w:b w:val="0"/>
          <w:sz w:val="32"/>
        </w:rPr>
        <w:t>八、《国有资本经营预算财政拨款收入支出决算表》</w:t>
      </w:r>
    </w:p>
    <w:p w14:paraId="2D1D459B">
      <w:pPr>
        <w:spacing w:line="240" w:lineRule="auto"/>
        <w:ind w:firstLine="640"/>
        <w:jc w:val="both"/>
      </w:pPr>
      <w:r>
        <w:rPr>
          <w:rFonts w:ascii="仿宋_GB2312" w:hAnsi="仿宋_GB2312" w:eastAsia="仿宋_GB2312"/>
          <w:b w:val="0"/>
          <w:sz w:val="32"/>
        </w:rPr>
        <w:t>九、《财政拨款“三公”经费支出决算表》</w:t>
      </w:r>
    </w:p>
    <w:p w14:paraId="3C4EDDEB">
      <w:pPr>
        <w:spacing w:line="240" w:lineRule="auto"/>
        <w:ind w:firstLine="640"/>
        <w:jc w:val="both"/>
      </w:pPr>
    </w:p>
    <w:p w14:paraId="3B6C5959">
      <w:pPr>
        <w:spacing w:line="240" w:lineRule="auto"/>
        <w:ind w:firstLine="640"/>
        <w:jc w:val="both"/>
      </w:pPr>
    </w:p>
    <w:p w14:paraId="1FEC3413">
      <w:pPr>
        <w:spacing w:line="240" w:lineRule="auto"/>
        <w:ind w:firstLine="640"/>
        <w:jc w:val="both"/>
      </w:pPr>
    </w:p>
    <w:p w14:paraId="6FE0A08D">
      <w:pPr>
        <w:spacing w:line="240" w:lineRule="auto"/>
        <w:ind w:firstLine="640"/>
        <w:jc w:val="both"/>
      </w:pPr>
    </w:p>
    <w:p w14:paraId="7D92A31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
    <w:panose1 w:val="02000000000000000000"/>
    <w:charset w:val="86"/>
    <w:family w:val="auto"/>
    <w:pitch w:val="default"/>
    <w:sig w:usb0="A00002BF" w:usb1="38CF7CFA" w:usb2="00082016"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7D7060D"/>
    <w:rsid w:val="09A729D8"/>
    <w:rsid w:val="0A3C58E8"/>
    <w:rsid w:val="0A7B4867"/>
    <w:rsid w:val="0B8C3ECC"/>
    <w:rsid w:val="0C3613A3"/>
    <w:rsid w:val="0C7227A7"/>
    <w:rsid w:val="0DCA6EF7"/>
    <w:rsid w:val="0E4B1576"/>
    <w:rsid w:val="0EA04331"/>
    <w:rsid w:val="0F9811B3"/>
    <w:rsid w:val="11E15093"/>
    <w:rsid w:val="120E0809"/>
    <w:rsid w:val="155F6D41"/>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2FDE0825"/>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9891669"/>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EB02F99"/>
    <w:rsid w:val="71473612"/>
    <w:rsid w:val="718F7F65"/>
    <w:rsid w:val="73423603"/>
    <w:rsid w:val="737A5923"/>
    <w:rsid w:val="73DE4104"/>
    <w:rsid w:val="73FB6630"/>
    <w:rsid w:val="74966599"/>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7787</Words>
  <Characters>8911</Characters>
  <Lines>0</Lines>
  <Paragraphs>0</Paragraphs>
  <TotalTime>17</TotalTime>
  <ScaleCrop>false</ScaleCrop>
  <LinksUpToDate>false</LinksUpToDate>
  <CharactersWithSpaces>8919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2025-09-26T08:22:14Z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