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6F6482">
      <w:pPr>
        <w:shd w:val="clear"/>
        <w:rPr>
          <w:color w:val="auto"/>
        </w:rPr>
      </w:pPr>
    </w:p>
    <w:p w14:paraId="0C2D1618">
      <w:pPr>
        <w:shd w:val="clear"/>
        <w:spacing w:line="570" w:lineRule="exact"/>
        <w:jc w:val="center"/>
        <w:rPr>
          <w:rFonts w:ascii="华文中宋" w:hAnsi="华文中宋" w:eastAsia="华文中宋" w:cs="宋体"/>
          <w:b/>
          <w:color w:val="auto"/>
          <w:kern w:val="0"/>
          <w:sz w:val="52"/>
          <w:szCs w:val="52"/>
        </w:rPr>
      </w:pPr>
    </w:p>
    <w:p w14:paraId="41D3CEBA">
      <w:pPr>
        <w:shd w:val="clear"/>
        <w:spacing w:line="570" w:lineRule="exact"/>
        <w:jc w:val="center"/>
        <w:rPr>
          <w:rFonts w:ascii="华文中宋" w:hAnsi="华文中宋" w:eastAsia="华文中宋" w:cs="宋体"/>
          <w:b/>
          <w:color w:val="auto"/>
          <w:kern w:val="0"/>
          <w:sz w:val="52"/>
          <w:szCs w:val="52"/>
        </w:rPr>
      </w:pPr>
    </w:p>
    <w:p w14:paraId="74BE3A6F">
      <w:pPr>
        <w:shd w:val="clear"/>
        <w:spacing w:line="570" w:lineRule="exact"/>
        <w:jc w:val="center"/>
        <w:rPr>
          <w:rFonts w:ascii="华文中宋" w:hAnsi="华文中宋" w:eastAsia="华文中宋" w:cs="宋体"/>
          <w:b/>
          <w:color w:val="auto"/>
          <w:kern w:val="0"/>
          <w:sz w:val="52"/>
          <w:szCs w:val="52"/>
        </w:rPr>
      </w:pPr>
    </w:p>
    <w:p w14:paraId="5A447554">
      <w:pPr>
        <w:shd w:val="clear"/>
        <w:spacing w:line="570" w:lineRule="exact"/>
        <w:jc w:val="center"/>
        <w:rPr>
          <w:rFonts w:ascii="华文中宋" w:hAnsi="华文中宋" w:eastAsia="华文中宋" w:cs="宋体"/>
          <w:b/>
          <w:color w:val="auto"/>
          <w:kern w:val="0"/>
          <w:sz w:val="52"/>
          <w:szCs w:val="52"/>
        </w:rPr>
      </w:pPr>
    </w:p>
    <w:p w14:paraId="2D37168C">
      <w:pPr>
        <w:shd w:val="clear"/>
        <w:spacing w:line="570" w:lineRule="exact"/>
        <w:jc w:val="both"/>
        <w:rPr>
          <w:rFonts w:ascii="华文中宋" w:hAnsi="华文中宋" w:eastAsia="华文中宋" w:cs="宋体"/>
          <w:b/>
          <w:color w:val="auto"/>
          <w:kern w:val="0"/>
          <w:sz w:val="52"/>
          <w:szCs w:val="52"/>
        </w:rPr>
      </w:pPr>
    </w:p>
    <w:p w14:paraId="3DA0F5D1">
      <w:pPr>
        <w:shd w:val="clear"/>
        <w:spacing w:line="570" w:lineRule="exact"/>
        <w:jc w:val="center"/>
        <w:rPr>
          <w:rFonts w:ascii="华文中宋" w:hAnsi="华文中宋" w:eastAsia="华文中宋" w:cs="宋体"/>
          <w:b/>
          <w:color w:val="auto"/>
          <w:kern w:val="0"/>
          <w:sz w:val="52"/>
          <w:szCs w:val="52"/>
        </w:rPr>
      </w:pPr>
    </w:p>
    <w:p w14:paraId="5263A79A">
      <w:pPr>
        <w:shd w:val="clear"/>
        <w:spacing w:line="570" w:lineRule="exact"/>
        <w:jc w:val="center"/>
        <w:rPr>
          <w:rFonts w:ascii="方正小标宋_GBK" w:hAnsi="华文中宋" w:eastAsia="方正小标宋_GBK" w:cs="宋体"/>
          <w:b/>
          <w:color w:val="auto"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color w:val="auto"/>
          <w:kern w:val="0"/>
          <w:sz w:val="44"/>
          <w:szCs w:val="44"/>
        </w:rPr>
        <w:t xml:space="preserve"> 部门单位项目支出绩效评价报告</w:t>
      </w:r>
    </w:p>
    <w:p w14:paraId="0F8A3FC9">
      <w:pPr>
        <w:shd w:val="clear"/>
        <w:spacing w:line="570" w:lineRule="exact"/>
        <w:jc w:val="center"/>
        <w:rPr>
          <w:rFonts w:ascii="华文中宋" w:hAnsi="华文中宋" w:eastAsia="华文中宋" w:cs="宋体"/>
          <w:b/>
          <w:color w:val="auto"/>
          <w:kern w:val="0"/>
          <w:sz w:val="52"/>
          <w:szCs w:val="52"/>
        </w:rPr>
      </w:pPr>
    </w:p>
    <w:p w14:paraId="3BD0EC59">
      <w:pPr>
        <w:shd w:val="clear"/>
        <w:spacing w:line="570" w:lineRule="exact"/>
        <w:jc w:val="center"/>
        <w:rPr>
          <w:rFonts w:hAnsi="宋体" w:eastAsia="仿宋_GB2312" w:cs="宋体"/>
          <w:color w:val="auto"/>
          <w:kern w:val="0"/>
          <w:sz w:val="36"/>
          <w:szCs w:val="36"/>
        </w:rPr>
      </w:pPr>
      <w:r>
        <w:rPr>
          <w:rFonts w:hint="eastAsia" w:hAnsi="宋体" w:eastAsia="仿宋_GB2312" w:cs="宋体"/>
          <w:color w:val="auto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color w:val="auto"/>
          <w:kern w:val="0"/>
          <w:sz w:val="36"/>
          <w:szCs w:val="36"/>
          <w:lang w:val="en-US" w:eastAsia="zh-CN"/>
        </w:rPr>
        <w:t>2024</w:t>
      </w:r>
      <w:r>
        <w:rPr>
          <w:rFonts w:hint="eastAsia" w:hAnsi="宋体" w:eastAsia="仿宋_GB2312" w:cs="宋体"/>
          <w:color w:val="auto"/>
          <w:kern w:val="0"/>
          <w:sz w:val="36"/>
          <w:szCs w:val="36"/>
        </w:rPr>
        <w:t>年度）</w:t>
      </w:r>
    </w:p>
    <w:p w14:paraId="4F1DA3AF">
      <w:pPr>
        <w:shd w:val="clear"/>
        <w:spacing w:line="570" w:lineRule="exact"/>
        <w:jc w:val="center"/>
        <w:rPr>
          <w:rFonts w:hAnsi="宋体" w:eastAsia="仿宋_GB2312" w:cs="宋体"/>
          <w:color w:val="auto"/>
          <w:kern w:val="0"/>
          <w:sz w:val="30"/>
          <w:szCs w:val="30"/>
        </w:rPr>
      </w:pPr>
    </w:p>
    <w:p w14:paraId="79DB57DD">
      <w:pPr>
        <w:shd w:val="clear"/>
        <w:spacing w:line="570" w:lineRule="exact"/>
        <w:jc w:val="center"/>
        <w:rPr>
          <w:rFonts w:hAnsi="宋体" w:eastAsia="仿宋_GB2312" w:cs="宋体"/>
          <w:color w:val="auto"/>
          <w:kern w:val="0"/>
          <w:sz w:val="30"/>
          <w:szCs w:val="30"/>
        </w:rPr>
      </w:pPr>
    </w:p>
    <w:p w14:paraId="619063A4">
      <w:pPr>
        <w:shd w:val="clear"/>
        <w:spacing w:line="570" w:lineRule="exact"/>
        <w:jc w:val="center"/>
        <w:rPr>
          <w:rFonts w:hAnsi="宋体" w:eastAsia="仿宋_GB2312" w:cs="宋体"/>
          <w:color w:val="auto"/>
          <w:kern w:val="0"/>
          <w:sz w:val="30"/>
          <w:szCs w:val="30"/>
        </w:rPr>
      </w:pPr>
    </w:p>
    <w:p w14:paraId="347383E6">
      <w:pPr>
        <w:shd w:val="clear"/>
        <w:spacing w:line="570" w:lineRule="exact"/>
        <w:jc w:val="center"/>
        <w:rPr>
          <w:rFonts w:hAnsi="宋体" w:eastAsia="仿宋_GB2312" w:cs="宋体"/>
          <w:color w:val="auto"/>
          <w:kern w:val="0"/>
          <w:sz w:val="30"/>
          <w:szCs w:val="30"/>
        </w:rPr>
      </w:pPr>
    </w:p>
    <w:p w14:paraId="57A0B048">
      <w:pPr>
        <w:shd w:val="clear"/>
        <w:spacing w:line="570" w:lineRule="exact"/>
        <w:jc w:val="center"/>
        <w:rPr>
          <w:rFonts w:hAnsi="宋体" w:eastAsia="仿宋_GB2312" w:cs="宋体"/>
          <w:color w:val="auto"/>
          <w:kern w:val="0"/>
          <w:sz w:val="30"/>
          <w:szCs w:val="30"/>
        </w:rPr>
      </w:pPr>
    </w:p>
    <w:p w14:paraId="365E4674">
      <w:pPr>
        <w:shd w:val="clear"/>
        <w:spacing w:line="570" w:lineRule="exact"/>
        <w:jc w:val="center"/>
        <w:rPr>
          <w:rFonts w:hAnsi="宋体" w:eastAsia="仿宋_GB2312" w:cs="宋体"/>
          <w:color w:val="auto"/>
          <w:kern w:val="0"/>
          <w:sz w:val="30"/>
          <w:szCs w:val="30"/>
        </w:rPr>
      </w:pPr>
    </w:p>
    <w:p w14:paraId="0B2BFDA8">
      <w:pPr>
        <w:shd w:val="clear"/>
        <w:spacing w:line="700" w:lineRule="exact"/>
        <w:ind w:firstLine="360" w:firstLineChars="100"/>
        <w:jc w:val="left"/>
        <w:rPr>
          <w:rFonts w:hint="default" w:ascii="仿宋" w:hAnsi="仿宋" w:eastAsia="仿宋" w:cs="仿宋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6"/>
          <w:szCs w:val="36"/>
        </w:rPr>
        <w:t>项目名称：</w:t>
      </w:r>
      <w:r>
        <w:rPr>
          <w:rFonts w:hint="eastAsia" w:ascii="仿宋" w:hAnsi="仿宋" w:eastAsia="仿宋" w:cs="仿宋"/>
          <w:color w:val="auto"/>
          <w:kern w:val="0"/>
          <w:sz w:val="36"/>
          <w:szCs w:val="36"/>
          <w:lang w:val="en-US" w:eastAsia="zh-CN"/>
        </w:rPr>
        <w:t>巴仁乡拆迁补偿款项目</w:t>
      </w:r>
    </w:p>
    <w:p w14:paraId="4CC10BF2">
      <w:pPr>
        <w:shd w:val="clear"/>
        <w:spacing w:line="570" w:lineRule="exact"/>
        <w:ind w:firstLine="360" w:firstLineChars="100"/>
        <w:jc w:val="left"/>
        <w:rPr>
          <w:rFonts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6"/>
          <w:szCs w:val="36"/>
        </w:rPr>
        <w:t>实施单位（公章）：疏勒县巴仁乡人民政府</w:t>
      </w:r>
    </w:p>
    <w:p w14:paraId="1E25CFF7">
      <w:pPr>
        <w:shd w:val="clear"/>
        <w:spacing w:line="540" w:lineRule="exact"/>
        <w:ind w:firstLine="360" w:firstLineChars="100"/>
        <w:rPr>
          <w:rFonts w:hint="eastAsia" w:ascii="仿宋" w:hAnsi="仿宋" w:eastAsia="仿宋" w:cs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6"/>
          <w:szCs w:val="36"/>
        </w:rPr>
        <w:t>主管部门（公章）：疏勒县巴仁乡人民政府</w:t>
      </w:r>
    </w:p>
    <w:p w14:paraId="0E6C2074">
      <w:pPr>
        <w:shd w:val="clear"/>
        <w:spacing w:line="570" w:lineRule="exact"/>
        <w:ind w:firstLine="360" w:firstLineChars="100"/>
        <w:rPr>
          <w:rFonts w:ascii="仿宋" w:hAnsi="仿宋" w:eastAsia="仿宋" w:cs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6"/>
          <w:szCs w:val="36"/>
        </w:rPr>
        <w:t>项目负责人（签章）：俞海巧</w:t>
      </w:r>
    </w:p>
    <w:p w14:paraId="64F4BDE2">
      <w:pPr>
        <w:shd w:val="clear"/>
        <w:spacing w:line="540" w:lineRule="exact"/>
        <w:ind w:firstLine="360" w:firstLineChars="100"/>
        <w:rPr>
          <w:rStyle w:val="21"/>
          <w:rFonts w:hint="default" w:ascii="仿宋" w:hAnsi="仿宋" w:eastAsia="仿宋" w:cs="仿宋"/>
          <w:b w:val="0"/>
          <w:bCs w:val="0"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6"/>
          <w:szCs w:val="36"/>
        </w:rPr>
        <w:t>填报时间：2025年1月</w:t>
      </w:r>
      <w:r>
        <w:rPr>
          <w:rFonts w:hint="eastAsia" w:ascii="仿宋" w:hAnsi="仿宋" w:eastAsia="仿宋" w:cs="仿宋"/>
          <w:color w:val="auto"/>
          <w:kern w:val="0"/>
          <w:sz w:val="36"/>
          <w:szCs w:val="36"/>
          <w:lang w:val="en-US" w:eastAsia="zh-CN"/>
        </w:rPr>
        <w:t>5日</w:t>
      </w:r>
      <w:bookmarkStart w:id="0" w:name="_GoBack"/>
      <w:bookmarkEnd w:id="0"/>
    </w:p>
    <w:p w14:paraId="7EC4BCB5">
      <w:pPr>
        <w:shd w:val="clear"/>
        <w:rPr>
          <w:rStyle w:val="21"/>
          <w:rFonts w:hint="eastAsia" w:ascii="仿宋" w:hAnsi="仿宋" w:eastAsia="仿宋" w:cs="仿宋"/>
          <w:b w:val="0"/>
          <w:bCs w:val="0"/>
          <w:color w:val="auto"/>
          <w:spacing w:val="-4"/>
          <w:sz w:val="32"/>
          <w:szCs w:val="32"/>
        </w:rPr>
      </w:pPr>
      <w:r>
        <w:rPr>
          <w:color w:val="auto"/>
        </w:rPr>
        <w:br w:type="page"/>
      </w:r>
    </w:p>
    <w:p w14:paraId="68FD93D4">
      <w:pPr>
        <w:pStyle w:val="7"/>
        <w:keepNext w:val="0"/>
        <w:keepLines w:val="0"/>
        <w:widowControl/>
        <w:numPr>
          <w:ilvl w:val="0"/>
          <w:numId w:val="0"/>
        </w:numPr>
        <w:suppressLineNumbers w:val="0"/>
        <w:shd w:val="clear" w:color="auto"/>
        <w:spacing w:before="150" w:beforeAutospacing="0" w:after="150" w:afterAutospacing="0" w:line="17" w:lineRule="atLeast"/>
        <w:ind w:leftChars="0" w:firstLine="542" w:firstLineChars="200"/>
        <w:outlineLvl w:val="3"/>
        <w:rPr>
          <w:rFonts w:hint="default" w:ascii="sans-serif" w:hAnsi="sans-serif" w:eastAsia="sans-serif" w:cs="sans-serif"/>
          <w:i w:val="0"/>
          <w:caps w:val="0"/>
          <w:color w:val="auto"/>
          <w:spacing w:val="0"/>
          <w:sz w:val="27"/>
          <w:szCs w:val="27"/>
          <w:shd w:val="clear" w:color="auto" w:fill="FFFFFF"/>
        </w:rPr>
      </w:pPr>
      <w:r>
        <w:rPr>
          <w:rFonts w:hint="eastAsia" w:ascii="sans-serif" w:hAnsi="sans-serif" w:cs="sans-serif"/>
          <w:i w:val="0"/>
          <w:caps w:val="0"/>
          <w:color w:val="auto"/>
          <w:spacing w:val="0"/>
          <w:sz w:val="27"/>
          <w:szCs w:val="27"/>
          <w:shd w:val="clear" w:color="auto" w:fill="FFFFFF"/>
          <w:lang w:val="en-US" w:eastAsia="zh-CN"/>
        </w:rPr>
        <w:t xml:space="preserve">一、 </w:t>
      </w:r>
      <w:r>
        <w:rPr>
          <w:rFonts w:hint="default" w:ascii="sans-serif" w:hAnsi="sans-serif" w:eastAsia="sans-serif" w:cs="sans-serif"/>
          <w:i w:val="0"/>
          <w:caps w:val="0"/>
          <w:color w:val="auto"/>
          <w:spacing w:val="0"/>
          <w:sz w:val="27"/>
          <w:szCs w:val="27"/>
          <w:shd w:val="clear" w:color="auto" w:fill="FFFFFF"/>
        </w:rPr>
        <w:t>基本情况</w:t>
      </w:r>
    </w:p>
    <w:p w14:paraId="2EB09036">
      <w:pPr>
        <w:numPr>
          <w:ilvl w:val="0"/>
          <w:numId w:val="0"/>
        </w:numPr>
        <w:shd w:val="clear"/>
        <w:ind w:firstLine="562" w:firstLineChars="200"/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  <w:lang w:eastAsia="zh-CN"/>
        </w:rPr>
        <w:t>（一）</w:t>
      </w: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>项目概况。包括项目背景、主要内容及实施情况、资金投入和使用情况等</w:t>
      </w:r>
    </w:p>
    <w:p w14:paraId="71793FFC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>本项目遵循财政部《项目支出绩效评价管理办法》（财预〔2020〕10号）和自治区财政厅《自治区财政支出绩效评价管理暂行办法》（新财预〔2018〕189号）、《疏勒县巴仁乡人民政府专项资金管理办法》、《疏勒县巴仁乡人民政府专项资金使用规范》等相关政策文件与规定，投入资金2938.83万元，其中：过渡安置费244.54万元，奖励金102.6万元，货币补偿449.48万元，青苗补偿38.49万元，林木补偿698.64万元，物业补偿、垃圾处理机械费185.30万元，土地固定回报补偿费用980.84万元，一次性土地安装补偿238.94万元。通过实施该项目，保证2024年拆迁工作能够深入推进，切身保障群众的切身利益，同时推进全乡城市化建设。旨随着城市发展步伐加快，为实现城市规划目标、改善居民生活环境，[城市名称]于 2024 年启动多个拆迁补偿项目。这些项目涉及[具体区域]，旨在为基础设施建设、公共服务设施完善及城市更新改造腾出空间。项目实施对于提升城市综合竞争力、推动区域经济协调发展具有重要意义。</w:t>
      </w:r>
    </w:p>
    <w:p w14:paraId="4D8AC9EC">
      <w:pPr>
        <w:numPr>
          <w:ilvl w:val="0"/>
          <w:numId w:val="1"/>
        </w:numPr>
        <w:shd w:val="clear"/>
        <w:ind w:firstLine="562" w:firstLineChars="200"/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  <w:lang w:eastAsia="zh-CN"/>
        </w:rPr>
        <w:t>项目绩效目标。包括总体目标和阶段性目标</w:t>
      </w:r>
    </w:p>
    <w:p w14:paraId="433E56CB">
      <w:pPr>
        <w:numPr>
          <w:ilvl w:val="0"/>
          <w:numId w:val="0"/>
        </w:numPr>
        <w:shd w:val="clear"/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 xml:space="preserve"> 1.项目绩效总目标</w:t>
      </w:r>
    </w:p>
    <w:p w14:paraId="65991F67">
      <w:pPr>
        <w:numPr>
          <w:ilvl w:val="0"/>
          <w:numId w:val="0"/>
        </w:numPr>
        <w:shd w:val="clear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本次绩效评价旨在全面了解 2024 年拆迁补偿项目支出的经济性、效率性、效益性和公平性，总结项目实施过程中的经验和问题，为改进项目管理、优化资金配置提供参考依据，同时为后续拆迁补偿项目提供借鉴。</w:t>
      </w:r>
    </w:p>
    <w:p w14:paraId="6E430161">
      <w:pPr>
        <w:numPr>
          <w:ilvl w:val="0"/>
          <w:numId w:val="0"/>
        </w:numPr>
        <w:shd w:val="clear"/>
        <w:ind w:firstLine="562" w:firstLineChars="200"/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2.阶段性目标</w:t>
      </w:r>
    </w:p>
    <w:p w14:paraId="77510849">
      <w:pPr>
        <w:numPr>
          <w:ilvl w:val="0"/>
          <w:numId w:val="0"/>
        </w:numPr>
        <w:shd w:val="clear"/>
        <w:ind w:firstLine="562" w:firstLineChars="200"/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实施的前期准备工作：</w:t>
      </w:r>
    </w:p>
    <w:p w14:paraId="7142BDD5">
      <w:pPr>
        <w:numPr>
          <w:ilvl w:val="0"/>
          <w:numId w:val="0"/>
        </w:numPr>
        <w:shd w:val="clear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 xml:space="preserve">    疏勒县巴仁乡人民政府成立专项支出绩效评价小组，成员如下：伊斯然伊木江任评价组组长，绩效评价工作职责为负责全盘工作。俞海巧任评价组副组长，绩效评价工作职责为为对项目实施情况进行实地调查。周茜，木尼热·木合太任评价组成员，绩效评价工作职责为负责资料审核、填报等工作。通过与相关成员前期沟通，明确评价目标、识别重要评价事项和履行的评价责任。制定文件清单，了解项目基本情况，确认部门整体的绩效指标，梳理部门内部管理制度，确定当年整体绩效评价重点。</w:t>
      </w:r>
    </w:p>
    <w:p w14:paraId="5C60E8EE">
      <w:pPr>
        <w:numPr>
          <w:ilvl w:val="0"/>
          <w:numId w:val="0"/>
        </w:numPr>
        <w:shd w:val="clear"/>
        <w:ind w:firstLine="562" w:firstLineChars="200"/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具体实施过程：</w:t>
      </w:r>
    </w:p>
    <w:p w14:paraId="1617AFDC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根据前期沟通了解评价对象基本情况，编制评价工作方案，经评价组通过实地调研、查阅资料等方式，对数据采集、分析、处理，对项目的决策、管理、绩效进行的综合评价分析，根据《项目绩效管理办法》及单位相关项目管理制度的规定，对项目的实施进行监督管理。建立健全项目后续各项监督管理制度，确保项目正常运转，长期发挥效益。</w:t>
      </w:r>
    </w:p>
    <w:p w14:paraId="6A84AB58">
      <w:pPr>
        <w:numPr>
          <w:ilvl w:val="0"/>
          <w:numId w:val="0"/>
        </w:numPr>
        <w:shd w:val="clear"/>
        <w:ind w:firstLine="562" w:firstLineChars="200"/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项目绩效情况：</w:t>
      </w:r>
    </w:p>
    <w:p w14:paraId="62E2C3F7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一、成本控制情况，严格按照相关的专项资金管理办法，实行多重审批控制专项经费的支出。二、成本节约情况，项目根据实际情况做出合理预算，支出严格控制在预算范围内，本着节约成本，防止资源浪费的原则将项目成效最大化。</w:t>
      </w:r>
    </w:p>
    <w:p w14:paraId="6A9553CD">
      <w:pPr>
        <w:numPr>
          <w:ilvl w:val="0"/>
          <w:numId w:val="0"/>
        </w:numPr>
        <w:shd w:val="clear"/>
        <w:ind w:firstLine="562" w:firstLineChars="200"/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项目完成质量：</w:t>
      </w:r>
    </w:p>
    <w:p w14:paraId="49380CD8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项目严格按照年度预期目标执行，项目完成质量达标。通过该项目的实施，有效提升基础设施条件，有效促进基层民生改善。</w:t>
      </w:r>
    </w:p>
    <w:p w14:paraId="5F428931">
      <w:pPr>
        <w:pStyle w:val="7"/>
        <w:keepNext w:val="0"/>
        <w:keepLines w:val="0"/>
        <w:widowControl/>
        <w:numPr>
          <w:ilvl w:val="0"/>
          <w:numId w:val="0"/>
        </w:numPr>
        <w:suppressLineNumbers w:val="0"/>
        <w:shd w:val="clear" w:color="auto"/>
        <w:spacing w:before="150" w:beforeAutospacing="0" w:after="150" w:afterAutospacing="0" w:line="17" w:lineRule="atLeast"/>
        <w:ind w:leftChars="0" w:firstLine="562" w:firstLineChars="200"/>
        <w:outlineLvl w:val="3"/>
        <w:rPr>
          <w:rFonts w:hint="default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 xml:space="preserve">二、 </w:t>
      </w:r>
      <w:r>
        <w:rPr>
          <w:rFonts w:hint="default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绩效评价工作开展情况</w:t>
      </w:r>
    </w:p>
    <w:p w14:paraId="5848CD87">
      <w:pPr>
        <w:numPr>
          <w:ilvl w:val="0"/>
          <w:numId w:val="0"/>
        </w:numPr>
        <w:shd w:val="clear"/>
        <w:ind w:leftChars="0" w:firstLine="562" w:firstLineChars="200"/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1.绩效评价目的、对象、时间和范围</w:t>
      </w:r>
    </w:p>
    <w:p w14:paraId="6CA35566">
      <w:pPr>
        <w:numPr>
          <w:ilvl w:val="0"/>
          <w:numId w:val="0"/>
        </w:numPr>
        <w:shd w:val="clear"/>
        <w:ind w:leftChars="0" w:firstLine="562" w:firstLineChars="200"/>
        <w:rPr>
          <w:rFonts w:hint="default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1. 绩效评价目的</w:t>
      </w:r>
    </w:p>
    <w:p w14:paraId="7C453107">
      <w:pPr>
        <w:numPr>
          <w:ilvl w:val="0"/>
          <w:numId w:val="0"/>
        </w:numPr>
        <w:shd w:val="clear"/>
        <w:ind w:leftChars="0" w:firstLine="560" w:firstLineChars="200"/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本次绩效评价遵循财政部《项目支出绩效评价管理办法》（财预〔2020〕10号）和自治区财政厅《自治区财政支出绩效评价管理暂行办法》（新财预〔2018〕189号）等相关政策文件与规定，旨在评价财政项目实施前期、过程及效果，评价财政预算资金使用的效率及效益。</w:t>
      </w:r>
    </w:p>
    <w:p w14:paraId="0E9D0440">
      <w:pPr>
        <w:numPr>
          <w:ilvl w:val="0"/>
          <w:numId w:val="0"/>
        </w:numPr>
        <w:shd w:val="clear"/>
        <w:ind w:leftChars="0" w:firstLine="560" w:firstLineChars="200"/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为全面了解该项目预算编制合理性、资金使用合规性、项目管理的规范性、项目目标的实现情况、服务对象的满意度等，通过本次部门绩效评价来总结经验和教训，促进项目成果转化和应用，为今后类似项目的长效管理，提供可行性参考建议。也为下一年预算编制与评审提供充分有效的依据，以达到改进预算管理、优化资源配置、提高预算资金使用效益的目的。</w:t>
      </w:r>
    </w:p>
    <w:p w14:paraId="07680553">
      <w:pPr>
        <w:numPr>
          <w:ilvl w:val="0"/>
          <w:numId w:val="0"/>
        </w:numPr>
        <w:shd w:val="clear"/>
        <w:ind w:leftChars="0" w:firstLine="560" w:firstLineChars="200"/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本次绩效评价旨在全面了解 2024 年拆迁补偿项目支出的经济性、效率性、效益性和公平性，总结项目实施过程中的经验和问题，为改进项目管理、优化资金配置提供参考依据，同时为后续拆迁补偿项目提供借鉴。</w:t>
      </w:r>
    </w:p>
    <w:p w14:paraId="51D3BFF8">
      <w:pPr>
        <w:numPr>
          <w:ilvl w:val="0"/>
          <w:numId w:val="0"/>
        </w:numPr>
        <w:shd w:val="clear"/>
        <w:ind w:leftChars="0" w:firstLine="562" w:firstLineChars="200"/>
        <w:rPr>
          <w:rFonts w:hint="default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2. 绩效评价对象</w:t>
      </w:r>
    </w:p>
    <w:p w14:paraId="7B233638">
      <w:pPr>
        <w:numPr>
          <w:ilvl w:val="0"/>
          <w:numId w:val="0"/>
        </w:numPr>
        <w:shd w:val="clear"/>
        <w:ind w:leftChars="0" w:firstLine="560" w:firstLineChars="200"/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本次绩效评价遵循财政部《项目支出绩效评价管理办法》（财预〔2020〕10号）和自治区财政厅《自治区财政支出绩效评价管理暂行办法》（新财预〔2018〕189号）等相关政策文件与规定，国家和地方有关拆迁补偿的法律法规及政策文件，如《国有土地上房屋征收与补偿条例》《[地方名称]城市房屋拆迁管理办法》等。项目立项文件、可行性研究报告、项目预算批复等相关资料。项目实施过程中的合同、协议、资金支付凭证、验收报告等文件。以促进预算单位完成特定工作任务目标所组织开展的绩效评价。</w:t>
      </w:r>
    </w:p>
    <w:p w14:paraId="4CC4A347">
      <w:pPr>
        <w:numPr>
          <w:ilvl w:val="0"/>
          <w:numId w:val="0"/>
        </w:numPr>
        <w:shd w:val="clear"/>
        <w:ind w:leftChars="0" w:firstLine="562" w:firstLineChars="200"/>
        <w:rPr>
          <w:rFonts w:hint="default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3. 绩效评价范围</w:t>
      </w:r>
    </w:p>
    <w:p w14:paraId="45EF8B61">
      <w:pPr>
        <w:numPr>
          <w:ilvl w:val="0"/>
          <w:numId w:val="0"/>
        </w:numPr>
        <w:shd w:val="clear"/>
        <w:ind w:leftChars="0" w:firstLine="560" w:firstLineChars="200"/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 w14:paraId="74DD60B5">
      <w:pPr>
        <w:numPr>
          <w:ilvl w:val="0"/>
          <w:numId w:val="2"/>
        </w:numPr>
        <w:shd w:val="clear"/>
        <w:ind w:leftChars="0" w:firstLine="562" w:firstLineChars="200"/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绩效评价原则、评价指标体系（附表说明）、评价方法、评价标准等</w:t>
      </w:r>
    </w:p>
    <w:p w14:paraId="47FA7809">
      <w:pPr>
        <w:numPr>
          <w:ilvl w:val="0"/>
          <w:numId w:val="0"/>
        </w:numPr>
        <w:shd w:val="clear"/>
        <w:ind w:left="420" w:leftChars="200" w:firstLine="562" w:firstLineChars="200"/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1. 绩效评价原则</w:t>
      </w:r>
    </w:p>
    <w:p w14:paraId="51809123">
      <w:pPr>
        <w:numPr>
          <w:ilvl w:val="0"/>
          <w:numId w:val="0"/>
        </w:numPr>
        <w:shd w:val="clear"/>
        <w:ind w:left="420" w:left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本次绩效评价遵循的原则包括：</w:t>
      </w:r>
    </w:p>
    <w:p w14:paraId="3CE28779">
      <w:pPr>
        <w:numPr>
          <w:ilvl w:val="0"/>
          <w:numId w:val="0"/>
        </w:numPr>
        <w:shd w:val="clear"/>
        <w:ind w:left="420" w:leftChars="200"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（1）科学公正。绩效评价应当运用科学合理的方法，按照规范的程序，对项目绩效进行客观、公正的反映。</w:t>
      </w:r>
    </w:p>
    <w:p w14:paraId="0B23BBD4">
      <w:pPr>
        <w:numPr>
          <w:ilvl w:val="0"/>
          <w:numId w:val="0"/>
        </w:numPr>
        <w:shd w:val="clear"/>
        <w:ind w:left="420" w:leftChars="200"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</w:p>
    <w:p w14:paraId="06058CAB">
      <w:pPr>
        <w:numPr>
          <w:ilvl w:val="0"/>
          <w:numId w:val="0"/>
        </w:numPr>
        <w:shd w:val="clear"/>
        <w:ind w:left="420" w:leftChars="200"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（3）激励约束。绩效评价结果应与预算安排、政策调整、改进管理实质性挂钩，体现奖优罚劣和激励相容导向，有效要安排、低效要压减、无效要问责。</w:t>
      </w:r>
    </w:p>
    <w:p w14:paraId="536442D9">
      <w:pPr>
        <w:numPr>
          <w:ilvl w:val="0"/>
          <w:numId w:val="0"/>
        </w:numPr>
        <w:shd w:val="clear"/>
        <w:ind w:left="420" w:leftChars="200"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（4）公开透明。绩效评价结果应依法依规公开，并自觉接受社会监督。</w:t>
      </w:r>
    </w:p>
    <w:p w14:paraId="62F76814">
      <w:pPr>
        <w:numPr>
          <w:ilvl w:val="0"/>
          <w:numId w:val="0"/>
        </w:numPr>
        <w:shd w:val="clear"/>
        <w:ind w:left="420" w:leftChars="200" w:firstLine="562" w:firstLineChars="200"/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2. 绩效评价指标体系</w:t>
      </w:r>
    </w:p>
    <w:p w14:paraId="1626E848">
      <w:pPr>
        <w:numPr>
          <w:ilvl w:val="0"/>
          <w:numId w:val="0"/>
        </w:numPr>
        <w:shd w:val="clear"/>
        <w:ind w:left="420" w:left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本项目绩效评价体系为根据财预﹝2020﹞10号共性指标及个性化指标设置，本次评价指标体系分为四个一级指标，分别为投入、过程、产出和效益，下设若干二级指标和三级指标。投入指标主要包括项目立项规范性、预算执行率等；过程指标包括管理制度健全性、资金使用合规性、档案管理规范性等；产出指标涵盖拆迁补偿协议签订完成率、补偿资金发放准确率、拆迁任务完成及时率等；效益指标包括被拆迁对象满意度、对城市发展的促进作用等。具体指标及权重根据项目特点和评价重点确定，通过专家打分法和层次分析法相结合的方式确定各指标权重。项目绩效评价体系详见下表。</w:t>
      </w:r>
    </w:p>
    <w:p w14:paraId="7EF16244">
      <w:pPr>
        <w:numPr>
          <w:ilvl w:val="0"/>
          <w:numId w:val="0"/>
        </w:numPr>
        <w:shd w:val="clear"/>
        <w:ind w:left="420" w:left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巴仁乡征地拆迁补偿款项目绩效评价指标体系及综合评分表</w:t>
      </w:r>
    </w:p>
    <w:p w14:paraId="7F8FC8A2">
      <w:pPr>
        <w:pStyle w:val="2"/>
        <w:shd w:val="clear"/>
        <w:ind w:left="0" w:leftChars="0" w:firstLine="0" w:firstLineChars="0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一级指标        二级指标        三级指标               得分</w:t>
      </w:r>
    </w:p>
    <w:p w14:paraId="3B13C284">
      <w:pPr>
        <w:pStyle w:val="2"/>
        <w:shd w:val="clear"/>
        <w:ind w:left="0" w:leftChars="0" w:firstLine="0" w:firstLineChars="0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决策（20分）  项目立项（5分） 立项依据充分性（3分）         3</w:t>
      </w:r>
    </w:p>
    <w:p w14:paraId="5D74EBC0">
      <w:pPr>
        <w:pStyle w:val="2"/>
        <w:shd w:val="clear"/>
        <w:ind w:firstLine="3640" w:firstLineChars="1300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立项程序（2分）             2</w:t>
      </w:r>
    </w:p>
    <w:p w14:paraId="11F37C17">
      <w:pPr>
        <w:pStyle w:val="2"/>
        <w:shd w:val="clear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绩效目标（5分）     绩效目标合理性（3分）            3</w:t>
      </w:r>
    </w:p>
    <w:p w14:paraId="6761E23D">
      <w:pPr>
        <w:pStyle w:val="2"/>
        <w:shd w:val="clear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 xml:space="preserve">                  绩效指标明确性（2分）            2</w:t>
      </w:r>
    </w:p>
    <w:p w14:paraId="7E1316C0">
      <w:pPr>
        <w:pStyle w:val="2"/>
        <w:shd w:val="clear"/>
        <w:ind w:left="0" w:leftChars="0" w:firstLine="1120" w:firstLineChars="400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资金投入（10分）   预算编制（5分）               5</w:t>
      </w:r>
    </w:p>
    <w:p w14:paraId="6E09398F">
      <w:pPr>
        <w:pStyle w:val="2"/>
        <w:shd w:val="clear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 xml:space="preserve">                   资金分配合理性（5分）           5</w:t>
      </w:r>
    </w:p>
    <w:p w14:paraId="063D7D08">
      <w:pPr>
        <w:pStyle w:val="2"/>
        <w:shd w:val="clear"/>
        <w:ind w:left="0" w:leftChars="0" w:firstLine="0" w:firstLineChars="0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过程（20分）    资金管理（10分） 资金到位率（3分）          3</w:t>
      </w:r>
    </w:p>
    <w:p w14:paraId="7725EB9C">
      <w:pPr>
        <w:pStyle w:val="2"/>
        <w:shd w:val="clear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 xml:space="preserve">                     预算执行率（3分）             3</w:t>
      </w:r>
    </w:p>
    <w:p w14:paraId="56F97A6C">
      <w:pPr>
        <w:pStyle w:val="2"/>
        <w:shd w:val="clear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 xml:space="preserve">                     资金使用合规性（4分）         4</w:t>
      </w:r>
    </w:p>
    <w:p w14:paraId="24844B8A">
      <w:pPr>
        <w:pStyle w:val="2"/>
        <w:shd w:val="clear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 xml:space="preserve">  组织实施（10分）  管理制度健全性（5分）        5</w:t>
      </w:r>
    </w:p>
    <w:p w14:paraId="0D838936">
      <w:pPr>
        <w:pStyle w:val="2"/>
        <w:shd w:val="clear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 xml:space="preserve">                     制度执行（5分）              5</w:t>
      </w:r>
    </w:p>
    <w:p w14:paraId="3EB67F95">
      <w:pPr>
        <w:pStyle w:val="2"/>
        <w:shd w:val="clear"/>
        <w:ind w:left="0" w:leftChars="0" w:firstLine="0" w:firstLineChars="0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产出（40分）    产出数量（10分）  实际完成率（10分）          10</w:t>
      </w:r>
    </w:p>
    <w:p w14:paraId="75D94A99">
      <w:pPr>
        <w:pStyle w:val="2"/>
        <w:shd w:val="clear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ab/>
      </w:r>
      <w:r>
        <w:rPr>
          <w:rFonts w:hint="eastAsia"/>
          <w:color w:val="auto"/>
          <w:sz w:val="28"/>
          <w:szCs w:val="28"/>
          <w:lang w:val="en-US" w:eastAsia="zh-CN"/>
        </w:rPr>
        <w:tab/>
      </w:r>
      <w:r>
        <w:rPr>
          <w:rFonts w:hint="eastAsia"/>
          <w:color w:val="auto"/>
          <w:sz w:val="28"/>
          <w:szCs w:val="28"/>
          <w:lang w:val="en-US" w:eastAsia="zh-CN"/>
        </w:rPr>
        <w:t xml:space="preserve">   产出质量（10分）  质量达标率（10分）        10</w:t>
      </w:r>
    </w:p>
    <w:p w14:paraId="67EA0640">
      <w:pPr>
        <w:pStyle w:val="2"/>
        <w:shd w:val="clear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ab/>
      </w:r>
      <w:r>
        <w:rPr>
          <w:rFonts w:hint="eastAsia"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eastAsia"/>
          <w:color w:val="auto"/>
          <w:sz w:val="28"/>
          <w:szCs w:val="28"/>
          <w:lang w:val="en-US" w:eastAsia="zh-CN"/>
        </w:rPr>
        <w:tab/>
      </w:r>
      <w:r>
        <w:rPr>
          <w:rFonts w:hint="eastAsia"/>
          <w:color w:val="auto"/>
          <w:sz w:val="28"/>
          <w:szCs w:val="28"/>
          <w:lang w:val="en-US" w:eastAsia="zh-CN"/>
        </w:rPr>
        <w:t>产出时效（10分）  完成及时性（10分）        10</w:t>
      </w:r>
    </w:p>
    <w:p w14:paraId="385B0843">
      <w:pPr>
        <w:pStyle w:val="2"/>
        <w:shd w:val="clear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ab/>
      </w:r>
      <w:r>
        <w:rPr>
          <w:rFonts w:hint="eastAsia"/>
          <w:color w:val="auto"/>
          <w:sz w:val="28"/>
          <w:szCs w:val="28"/>
          <w:lang w:val="en-US" w:eastAsia="zh-CN"/>
        </w:rPr>
        <w:tab/>
      </w:r>
      <w:r>
        <w:rPr>
          <w:rFonts w:hint="eastAsia"/>
          <w:color w:val="auto"/>
          <w:sz w:val="28"/>
          <w:szCs w:val="28"/>
          <w:lang w:val="en-US" w:eastAsia="zh-CN"/>
        </w:rPr>
        <w:t xml:space="preserve">   产出成本（10分）  成本节约率（10分）        10</w:t>
      </w:r>
    </w:p>
    <w:p w14:paraId="50BC84D8">
      <w:pPr>
        <w:pStyle w:val="2"/>
        <w:shd w:val="clear"/>
        <w:ind w:left="0" w:leftChars="0" w:firstLine="0" w:firstLineChars="0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效益（10分）  项目效益（10分） 实施效益（10分）         10满意度（10分）  满意度（10分） 满意度（10分）             100</w:t>
      </w:r>
    </w:p>
    <w:p w14:paraId="61240503">
      <w:pPr>
        <w:numPr>
          <w:ilvl w:val="0"/>
          <w:numId w:val="0"/>
        </w:numPr>
        <w:shd w:val="clear"/>
        <w:ind w:left="420" w:leftChars="200"/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3. 绩效评价方法</w:t>
      </w:r>
    </w:p>
    <w:p w14:paraId="08EB4963">
      <w:pPr>
        <w:numPr>
          <w:ilvl w:val="0"/>
          <w:numId w:val="0"/>
        </w:numPr>
        <w:shd w:val="clear"/>
        <w:ind w:left="420" w:left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本次绩效评价方法的选用坚持简便有效的原则采用综合分析法。</w:t>
      </w:r>
    </w:p>
    <w:p w14:paraId="7FEF4264">
      <w:pPr>
        <w:numPr>
          <w:ilvl w:val="0"/>
          <w:numId w:val="0"/>
        </w:numPr>
        <w:shd w:val="clear"/>
        <w:ind w:left="420" w:leftChars="200"/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4. 绩效评价标准</w:t>
      </w:r>
    </w:p>
    <w:p w14:paraId="69FF2F64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绩效评价标准通常包括计划标准、行业标准、历史标准等，用于对绩效指标完成情况进行比较、分析、评价。本次评价主要采用了计划标准。</w:t>
      </w:r>
    </w:p>
    <w:p w14:paraId="1B89002B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计划标准：指以预先制定的目标、计划、预算、定额等作为评价标准。</w:t>
      </w:r>
    </w:p>
    <w:p w14:paraId="4DB9CF50">
      <w:pPr>
        <w:numPr>
          <w:ilvl w:val="0"/>
          <w:numId w:val="0"/>
        </w:numPr>
        <w:shd w:val="clear"/>
        <w:ind w:left="420" w:left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行业标准：指参照国家公布的行业指标数据制定的评价标准。</w:t>
      </w:r>
    </w:p>
    <w:p w14:paraId="6E9C3F41">
      <w:pPr>
        <w:numPr>
          <w:ilvl w:val="0"/>
          <w:numId w:val="0"/>
        </w:numPr>
        <w:shd w:val="clear"/>
        <w:ind w:left="420" w:leftChars="200"/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历史标准：指参照历史数据制定的评价标准，为体现绩效改进的原则，在可实现的条件下应当确定相对较高的评价标准。</w:t>
      </w:r>
    </w:p>
    <w:p w14:paraId="2E79E2CA">
      <w:pPr>
        <w:numPr>
          <w:ilvl w:val="0"/>
          <w:numId w:val="0"/>
        </w:numPr>
        <w:shd w:val="clear"/>
        <w:ind w:firstLine="562" w:firstLineChars="200"/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3.项目产出情况</w:t>
      </w:r>
    </w:p>
    <w:p w14:paraId="73AFE458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项目产出类指标包括产出数量、产出质量、产出时效、产出成本四方面的内容，由4个三级指标构成，权重分为40分，实际得分40分，得分率为100%。</w:t>
      </w:r>
    </w:p>
    <w:p w14:paraId="1AEA853D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（1）对于“产出数量”</w:t>
      </w:r>
    </w:p>
    <w:p w14:paraId="3DA0EDDF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拆迁安置补偿户数4152户，与预期目标一致，根据评分标准，该指标不扣分，得10分。</w:t>
      </w:r>
    </w:p>
    <w:p w14:paraId="2CDF5D58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合计得10分。</w:t>
      </w:r>
    </w:p>
    <w:p w14:paraId="33D42423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（2）对于“产出质量”：</w:t>
      </w:r>
    </w:p>
    <w:p w14:paraId="369ABE4F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资金使用合规率100%，与预期目标一致，根据评分标准，该指标不扣分，得10分。</w:t>
      </w:r>
    </w:p>
    <w:p w14:paraId="52A599B2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合计得10分。</w:t>
      </w:r>
    </w:p>
    <w:p w14:paraId="532AC9DB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（3）对于“产出时效”：</w:t>
      </w:r>
    </w:p>
    <w:p w14:paraId="0C55229A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资金发放及时率100%，与预期目标一致，根据评分标准，该指标不扣分，得5分。</w:t>
      </w:r>
    </w:p>
    <w:p w14:paraId="0E50F8D3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资项目完成时间2024年12月1日，超额完成预期目标，根据评分标准，该指标不扣分，得5分。</w:t>
      </w:r>
    </w:p>
    <w:p w14:paraId="25BAADAA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合计得10分。</w:t>
      </w:r>
    </w:p>
    <w:p w14:paraId="48915947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（4）对于“产出成本”：</w:t>
      </w:r>
    </w:p>
    <w:p w14:paraId="2B7A9250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渡安置费244.54万元，项目经费都能控制绩效目标范围内，根据评分标准，该指标不扣分，得2分。</w:t>
      </w:r>
    </w:p>
    <w:p w14:paraId="71AFAAA9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奖励金102.6万元，项目经费都能控制绩效目标范围内，根据评分标准，该指标不扣分，得2分。</w:t>
      </w:r>
    </w:p>
    <w:p w14:paraId="41FE5D1E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货币补偿449.48万元，项目经费都能控制绩效目标范围内，根据评分标准，该指标不扣分，得1分。</w:t>
      </w:r>
    </w:p>
    <w:p w14:paraId="0688C2BB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青苗补偿38.49万元，项目经费都能控制绩效目标范围内，根据评分标准，该指标不扣分，得1分。</w:t>
      </w:r>
    </w:p>
    <w:p w14:paraId="6A222F43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林木补偿698.64万元，项目经费都能控制绩效目标范围内，根据评分标准，该指标不扣分，得1分。</w:t>
      </w:r>
    </w:p>
    <w:p w14:paraId="388B7E20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物业补偿、垃圾处理机械费185.30万元，项目经费都能控制绩效目标范围内，根据评分标准，该指标不扣分，得1分。</w:t>
      </w:r>
    </w:p>
    <w:p w14:paraId="08D78764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土地固定回报补偿费用980.84万元，项目经费都能控制绩效目标范围内，根据评分标准，该指标不扣分，得1分。</w:t>
      </w:r>
    </w:p>
    <w:p w14:paraId="2284B90F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一次性土地安装补偿238.94万元，项目经费都能控制绩效目标范围内，根据评分标准，该指标不扣分，得1分。</w:t>
      </w:r>
    </w:p>
    <w:p w14:paraId="4D59D1FA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合计得10分。</w:t>
      </w:r>
    </w:p>
    <w:p w14:paraId="212BC162">
      <w:pPr>
        <w:numPr>
          <w:ilvl w:val="0"/>
          <w:numId w:val="0"/>
        </w:numPr>
        <w:shd w:val="clear"/>
        <w:ind w:firstLine="562" w:firstLineChars="200"/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4.项目效益情况</w:t>
      </w:r>
    </w:p>
    <w:p w14:paraId="7E17B62A">
      <w:pPr>
        <w:numPr>
          <w:ilvl w:val="0"/>
          <w:numId w:val="0"/>
        </w:numPr>
        <w:shd w:val="clear"/>
        <w:ind w:firstLine="560" w:firstLineChars="200"/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项目效益类指标包括项目效益1个方面的内容，由2个三级指标构成，权重分为10分，实际得分10分，得分率为100%。</w:t>
      </w:r>
    </w:p>
    <w:p w14:paraId="2C390F86">
      <w:pPr>
        <w:numPr>
          <w:ilvl w:val="0"/>
          <w:numId w:val="0"/>
        </w:numPr>
        <w:shd w:val="clear"/>
        <w:ind w:firstLine="560" w:firstLineChars="200"/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1.实施效益指标：</w:t>
      </w:r>
    </w:p>
    <w:p w14:paraId="633233E8">
      <w:pPr>
        <w:numPr>
          <w:ilvl w:val="0"/>
          <w:numId w:val="0"/>
        </w:numPr>
        <w:shd w:val="clear"/>
        <w:ind w:firstLine="560" w:firstLineChars="200"/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（1）对于“社会效益指标”：</w:t>
      </w:r>
    </w:p>
    <w:p w14:paraId="48C905C7">
      <w:pPr>
        <w:numPr>
          <w:ilvl w:val="0"/>
          <w:numId w:val="0"/>
        </w:numPr>
        <w:shd w:val="clear"/>
        <w:ind w:firstLine="560" w:firstLineChars="200"/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资金使用量重大违规违纪问题次数等于0次，与预期指标一致，根据评分标准，该指标不扣分，得5分。</w:t>
      </w:r>
    </w:p>
    <w:p w14:paraId="250E1DFD">
      <w:pPr>
        <w:numPr>
          <w:ilvl w:val="0"/>
          <w:numId w:val="0"/>
        </w:numPr>
        <w:shd w:val="clear"/>
        <w:ind w:firstLine="560" w:firstLineChars="200"/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持续优化居民居住环境，与预期指标一致，根据评分标准，该指标不扣分，得5分。</w:t>
      </w:r>
    </w:p>
    <w:p w14:paraId="2D7480D2">
      <w:pPr>
        <w:numPr>
          <w:ilvl w:val="0"/>
          <w:numId w:val="0"/>
        </w:numPr>
        <w:shd w:val="clear"/>
        <w:ind w:firstLine="560" w:firstLineChars="200"/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实施效益指标合计得10分。</w:t>
      </w:r>
    </w:p>
    <w:p w14:paraId="5E095440">
      <w:pPr>
        <w:numPr>
          <w:ilvl w:val="0"/>
          <w:numId w:val="3"/>
        </w:numPr>
        <w:shd w:val="clear"/>
        <w:ind w:firstLine="562" w:firstLineChars="200"/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满意度指标完成情况分析</w:t>
      </w:r>
    </w:p>
    <w:p w14:paraId="4ED34560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对于满意度指标：受益拆迁户满意度100%，与预期目标一致，根据评分标准，该指标不扣分,得10分。</w:t>
      </w:r>
    </w:p>
    <w:p w14:paraId="22DDEAA7">
      <w:pPr>
        <w:pStyle w:val="7"/>
        <w:keepNext w:val="0"/>
        <w:keepLines w:val="0"/>
        <w:widowControl/>
        <w:numPr>
          <w:ilvl w:val="0"/>
          <w:numId w:val="4"/>
        </w:numPr>
        <w:suppressLineNumbers w:val="0"/>
        <w:shd w:val="clear" w:color="auto"/>
        <w:spacing w:before="150" w:beforeAutospacing="0" w:after="150" w:afterAutospacing="0" w:line="17" w:lineRule="atLeast"/>
        <w:ind w:left="0" w:firstLine="540" w:firstLineChars="200"/>
        <w:rPr>
          <w:rFonts w:hint="default" w:ascii="sans-serif" w:hAnsi="sans-serif" w:eastAsia="sans-serif" w:cs="sans-serif"/>
          <w:i w:val="0"/>
          <w:caps w:val="0"/>
          <w:color w:val="auto"/>
          <w:spacing w:val="0"/>
          <w:sz w:val="27"/>
          <w:szCs w:val="27"/>
          <w:shd w:val="clear" w:color="auto" w:fill="FFFFFF"/>
        </w:rPr>
      </w:pPr>
      <w:r>
        <w:rPr>
          <w:rFonts w:hint="default" w:ascii="sans-serif" w:hAnsi="sans-serif" w:eastAsia="sans-serif" w:cs="sans-serif"/>
          <w:i w:val="0"/>
          <w:caps w:val="0"/>
          <w:color w:val="auto"/>
          <w:spacing w:val="0"/>
          <w:sz w:val="27"/>
          <w:szCs w:val="27"/>
          <w:shd w:val="clear" w:color="auto" w:fill="FFFFFF"/>
        </w:rPr>
        <w:t>预算执行进度与绩效指标偏差</w:t>
      </w:r>
    </w:p>
    <w:p w14:paraId="3CE56266">
      <w:pPr>
        <w:numPr>
          <w:ilvl w:val="0"/>
          <w:numId w:val="0"/>
        </w:numPr>
        <w:shd w:val="clear"/>
        <w:ind w:firstLine="562" w:firstLineChars="200"/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预算执行进度与绩效指标偏差：</w:t>
      </w:r>
    </w:p>
    <w:p w14:paraId="6B4F99C9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疏勒县巴仁乡2024年拆迁补偿项目投入资金2938.83万元，其中：过渡安置费244.54万元，奖励金102.6万元，货币补偿449.48万元，青苗补偿38.49万元，林木补偿698.64万元，物业补偿、垃圾处理机械费185.30万元，土地固定回报补偿费用980.84万元，一次性土地安装补偿238.94万元。通过实施该项目，保证2024年拆迁工作能够深入推进，切身保障群众的切身利益，同时推进全乡城市化建设。</w:t>
      </w:r>
    </w:p>
    <w:p w14:paraId="155CEBCE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到位资金2938.83万元，实际支出2938.83万元，预算执行率为100%，项目绩效指标总体完成率为100%，偏差率为0%。</w:t>
      </w:r>
    </w:p>
    <w:p w14:paraId="62F7405F">
      <w:pPr>
        <w:pStyle w:val="7"/>
        <w:keepNext w:val="0"/>
        <w:keepLines w:val="0"/>
        <w:widowControl/>
        <w:numPr>
          <w:ilvl w:val="0"/>
          <w:numId w:val="4"/>
        </w:numPr>
        <w:suppressLineNumbers w:val="0"/>
        <w:shd w:val="clear" w:color="auto"/>
        <w:spacing w:before="150" w:beforeAutospacing="0" w:after="150" w:afterAutospacing="0" w:line="17" w:lineRule="atLeast"/>
        <w:ind w:left="0" w:firstLine="540" w:firstLineChars="200"/>
        <w:jc w:val="left"/>
        <w:rPr>
          <w:rFonts w:hint="default" w:ascii="sans-serif" w:hAnsi="sans-serif" w:eastAsia="sans-serif" w:cs="sans-serif"/>
          <w:i w:val="0"/>
          <w:caps w:val="0"/>
          <w:color w:val="auto"/>
          <w:spacing w:val="0"/>
          <w:sz w:val="27"/>
          <w:szCs w:val="27"/>
          <w:shd w:val="clear" w:color="auto" w:fill="FFFFFF"/>
        </w:rPr>
      </w:pPr>
      <w:r>
        <w:rPr>
          <w:rFonts w:hint="default" w:ascii="sans-serif" w:hAnsi="sans-serif" w:eastAsia="sans-serif" w:cs="sans-serif"/>
          <w:i w:val="0"/>
          <w:caps w:val="0"/>
          <w:color w:val="auto"/>
          <w:spacing w:val="0"/>
          <w:sz w:val="27"/>
          <w:szCs w:val="27"/>
          <w:shd w:val="clear" w:color="auto" w:fill="FFFFFF"/>
        </w:rPr>
        <w:t>主要经验及做法、存在的问题及原因分析、下一步改进措施</w:t>
      </w:r>
    </w:p>
    <w:p w14:paraId="05193890">
      <w:pPr>
        <w:numPr>
          <w:ilvl w:val="0"/>
          <w:numId w:val="0"/>
        </w:numPr>
        <w:shd w:val="clear"/>
        <w:ind w:firstLine="562" w:firstLineChars="200"/>
        <w:rPr>
          <w:rFonts w:hint="default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主要经验及做法、存在的问题及原因分析、下一步改进措施：</w:t>
      </w:r>
    </w:p>
    <w:p w14:paraId="597136DE">
      <w:pPr>
        <w:numPr>
          <w:ilvl w:val="0"/>
          <w:numId w:val="0"/>
        </w:numPr>
        <w:shd w:val="clear"/>
        <w:ind w:firstLine="562" w:firstLineChars="200"/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（一）主要经验及做法</w:t>
      </w:r>
    </w:p>
    <w:p w14:paraId="739A5857">
      <w:pPr>
        <w:numPr>
          <w:ilvl w:val="0"/>
          <w:numId w:val="0"/>
        </w:numPr>
        <w:shd w:val="clear"/>
        <w:ind w:firstLine="562" w:firstLineChars="200"/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1、前期准备方面</w:t>
      </w:r>
    </w:p>
    <w:p w14:paraId="0456C7CD">
      <w:pPr>
        <w:numPr>
          <w:ilvl w:val="0"/>
          <w:numId w:val="0"/>
        </w:numPr>
        <w:shd w:val="clear"/>
        <w:ind w:firstLine="562" w:firstLineChars="200"/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 xml:space="preserve"> </w:t>
      </w:r>
    </w:p>
    <w:p w14:paraId="0EE4D109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（1）科学制定方案：在项目实施前，深入调研当地拆迁实际情况，结合国家相关法律法规和政策要求，制定详细、合理、可操作的拆迁补偿项目实施方案，明确补偿标准、范围、方式等关键内容。</w:t>
      </w:r>
    </w:p>
    <w:p w14:paraId="5BEBFFE3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（2）精准设定目标：依据项目特点和预期效果，从资金使用、拆迁进度、居民满意度等多维度，设定具体、量化、可衡量的绩效目标，为后续评价提供清晰的参照标准。</w:t>
      </w:r>
    </w:p>
    <w:p w14:paraId="07CECC4D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（3） 广泛宣传动员：通过多种渠道，如社区公告、宣传手册、居民座谈会等，向被拆迁居民详细解读拆迁补偿政策、项目意义和实施计划，提高居民对项目的认知度和支持度。</w:t>
      </w:r>
    </w:p>
    <w:p w14:paraId="0AC0F34D">
      <w:pPr>
        <w:numPr>
          <w:ilvl w:val="0"/>
          <w:numId w:val="0"/>
        </w:numPr>
        <w:shd w:val="clear"/>
        <w:ind w:firstLine="562" w:firstLineChars="200"/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2、项目实施过程方面</w:t>
      </w:r>
    </w:p>
    <w:p w14:paraId="3CBB6674">
      <w:pPr>
        <w:numPr>
          <w:ilvl w:val="0"/>
          <w:numId w:val="0"/>
        </w:numPr>
        <w:shd w:val="clear"/>
        <w:ind w:firstLine="562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（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1）规范资金管理：设立拆迁补偿资金专用账户，严格执行专款专用制度。资金拨付按照合同约定和工作进度进行，确保资金及时、准确发放到被拆迁人手中。同时，定期对资金使用情况进行审计和监督，防止资金挪用、截留等问题。</w:t>
      </w:r>
    </w:p>
    <w:p w14:paraId="190A3BBA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（2）严格过程监管：建立健全项目监管机制，成立专门的监督小组，对拆迁补偿工作的各个环节进行全程跟踪监督。加强对评估机构、拆迁公司等第三方服务机构的管理，确保其依法依规履行职责，保证拆迁补偿工作的公平、公正、公开。</w:t>
      </w:r>
    </w:p>
    <w:p w14:paraId="507B97F3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（3）强化沟通协调：建立多部门协同工作机制，加强拆迁部门、财政部门、审计部门、社区等相关单位之间的沟通与协调，及时解决项目实施过程中出现的问题和矛盾。同时，畅通与被拆迁居民的沟通渠道，认真听取居民的意见和建议，对合理诉求及时予以回应和解决。</w:t>
      </w:r>
    </w:p>
    <w:p w14:paraId="194D518F">
      <w:pPr>
        <w:numPr>
          <w:ilvl w:val="0"/>
          <w:numId w:val="0"/>
        </w:numPr>
        <w:shd w:val="clear"/>
        <w:ind w:firstLine="562" w:firstLineChars="200"/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 xml:space="preserve"> 3、绩效评价方面</w:t>
      </w:r>
    </w:p>
    <w:p w14:paraId="080871AA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（1）构建科学指标体系：采用“共性指标+个性指标”相结合的方式，从经济性、效率性、效益性和公平性等维度构建绩效评价指标体系。共性指标涵盖资金管理、项目管理等通用方面，个性指标则根据拆迁补偿项目的特点，如拆迁进度完成率、补偿标准执行准确率、居民满意度等进行设置。</w:t>
      </w:r>
    </w:p>
    <w:p w14:paraId="7AC96F23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（2）运用多元评价方法：综合运用成本效益分析法、比较法、因素分析法等多种评价方法，对拆迁补偿项目支出绩效进行全面、客观的评价。同时，引入第三方评价机构，保证评价结果的独立性和公正性。</w:t>
      </w:r>
    </w:p>
    <w:p w14:paraId="5D0ED2E0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（3） 注重结果应用：将绩效评价结果与项目资金分配、单位绩效考核、责任追究等挂钩。对绩效评价结果优秀的单位和个人进行表彰和奖励，对存在问题的单位责令限期整改，将评价结果作为下一年度项目预算安排和政策调整的重要依据，形成以评促管、以评促效的良好氛围。</w:t>
      </w:r>
    </w:p>
    <w:p w14:paraId="55BDF88D">
      <w:pPr>
        <w:numPr>
          <w:ilvl w:val="0"/>
          <w:numId w:val="0"/>
        </w:numPr>
        <w:shd w:val="clear"/>
        <w:ind w:firstLine="562" w:firstLineChars="200"/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（二）存在问题及原因分析</w:t>
      </w:r>
    </w:p>
    <w:p w14:paraId="6EE638CA">
      <w:pPr>
        <w:numPr>
          <w:ilvl w:val="0"/>
          <w:numId w:val="0"/>
        </w:numPr>
        <w:shd w:val="clear"/>
        <w:ind w:firstLine="562" w:firstLineChars="200"/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（一）预算编制准确性有待提高</w:t>
      </w:r>
    </w:p>
    <w:p w14:paraId="733582BC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虽然项目预算执行率总体较好，但在预算编制过程中，对部分拆迁补偿费用的预估不够准确，导致部分费用在实际执行过程中出现偏差。例如，由于对市场价格波动考虑不足，房屋及地上附着物补偿费用预算与实际支出存在一定差异。</w:t>
      </w:r>
    </w:p>
    <w:p w14:paraId="2B739808">
      <w:pPr>
        <w:numPr>
          <w:ilvl w:val="0"/>
          <w:numId w:val="0"/>
        </w:numPr>
        <w:shd w:val="clear"/>
        <w:ind w:firstLine="562" w:firstLineChars="200"/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（二）拆迁工作协调沟通机制需进一步完善</w:t>
      </w:r>
    </w:p>
    <w:p w14:paraId="0FCE91FC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在拆迁工作推进过程中，涉及多个部门和单位，如国土、住建、城管、街道办事处等。虽然各部门之间有一定的协作，但在信息共享、工作协调等方面还存在一些问题，导致工作效率不高。例如，在处理被拆迁户的异议和纠纷时，各部门之间的沟通协调不够顺畅，影响了拆迁工作的进度。</w:t>
      </w:r>
    </w:p>
    <w:p w14:paraId="389C74D3">
      <w:pPr>
        <w:numPr>
          <w:ilvl w:val="0"/>
          <w:numId w:val="0"/>
        </w:numPr>
        <w:shd w:val="clear"/>
        <w:ind w:firstLine="562" w:firstLineChars="200"/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（三）对被拆迁对象的后续扶持和服务不够到位</w:t>
      </w:r>
    </w:p>
    <w:p w14:paraId="23158BDF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部分被拆迁居民在拆迁后面临就业、生活等方面的困难，但项目实施部门在这方面的后续扶持和服务工作开展不够充分。例如，在帮助被拆迁居民再就业方面，缺乏有效的政策引导和就业培训，未能充分满足被拆迁居民的需求。</w:t>
      </w:r>
    </w:p>
    <w:p w14:paraId="595807E7">
      <w:pPr>
        <w:pStyle w:val="7"/>
        <w:keepNext w:val="0"/>
        <w:keepLines w:val="0"/>
        <w:widowControl/>
        <w:numPr>
          <w:ilvl w:val="0"/>
          <w:numId w:val="4"/>
        </w:numPr>
        <w:suppressLineNumbers w:val="0"/>
        <w:shd w:val="clear" w:color="auto"/>
        <w:spacing w:before="150" w:beforeAutospacing="0" w:after="150" w:afterAutospacing="0" w:line="17" w:lineRule="atLeast"/>
        <w:ind w:left="0" w:leftChars="0" w:firstLine="540" w:firstLineChars="200"/>
        <w:rPr>
          <w:rFonts w:hint="default" w:ascii="sans-serif" w:hAnsi="sans-serif" w:eastAsia="sans-serif" w:cs="sans-serif"/>
          <w:i w:val="0"/>
          <w:caps w:val="0"/>
          <w:color w:val="auto"/>
          <w:spacing w:val="0"/>
          <w:sz w:val="27"/>
          <w:szCs w:val="27"/>
          <w:shd w:val="clear" w:color="auto" w:fill="FFFFFF"/>
        </w:rPr>
      </w:pPr>
      <w:r>
        <w:rPr>
          <w:rFonts w:hint="default" w:ascii="sans-serif" w:hAnsi="sans-serif" w:eastAsia="sans-serif" w:cs="sans-serif"/>
          <w:i w:val="0"/>
          <w:caps w:val="0"/>
          <w:color w:val="auto"/>
          <w:spacing w:val="0"/>
          <w:sz w:val="27"/>
          <w:szCs w:val="27"/>
          <w:shd w:val="clear" w:color="auto" w:fill="FFFFFF"/>
        </w:rPr>
        <w:t>有关建议</w:t>
      </w:r>
    </w:p>
    <w:p w14:paraId="25968020">
      <w:pPr>
        <w:numPr>
          <w:ilvl w:val="0"/>
          <w:numId w:val="0"/>
        </w:numPr>
        <w:shd w:val="clear"/>
        <w:ind w:firstLine="562" w:firstLineChars="200"/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（一）加强预算编制管理</w:t>
      </w:r>
    </w:p>
    <w:p w14:paraId="22BB802D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在今后的项目预算编制过程中，应充分开展前期调研，广泛收集相关数据和信息，结合市场价格波动情况，对拆迁补偿费用进行科学合理的预估。同时，建立预算动态调整机制，根据项目实施过程中的实际情况，及时对预算进行调整和优化，确保预算编制的准确性和合理性。</w:t>
      </w:r>
    </w:p>
    <w:p w14:paraId="2C0A45F4">
      <w:pPr>
        <w:numPr>
          <w:ilvl w:val="0"/>
          <w:numId w:val="0"/>
        </w:numPr>
        <w:shd w:val="clear"/>
        <w:ind w:firstLine="562" w:firstLineChars="200"/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（二）完善拆迁工作协调沟通机制</w:t>
      </w:r>
    </w:p>
    <w:p w14:paraId="1FDEAA4B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建立健全拆迁工作协调沟通机制，明确各部门和单位的职责分工，加强信息共享和工作协同。定期召开拆迁工作协调会议，及时研究解决工作中存在的问题。同时，建立健全拆迁纠纷调解机制，加强对被拆迁户的政策宣传和解释工作，妥善处理被拆迁户的异议和纠纷，确保拆迁工作顺利推进。</w:t>
      </w:r>
    </w:p>
    <w:p w14:paraId="02AC70C9">
      <w:pPr>
        <w:numPr>
          <w:ilvl w:val="0"/>
          <w:numId w:val="0"/>
        </w:numPr>
        <w:shd w:val="clear"/>
        <w:ind w:firstLine="562" w:firstLineChars="200"/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（三）强化对被拆迁对象的后续扶持和服务</w:t>
      </w:r>
    </w:p>
    <w:p w14:paraId="4F166E5D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高度重视被拆迁对象的后续扶持和服务工作，制定完善的后续扶持政策。加大对被拆迁居民的就业培训和就业指导力度，积极为他们提供就业信息和就业岗位，帮助他们实现再就业。同时，加强对被拆迁居民的社会保障工作，确保他们在拆迁后的生活质量不下降。此外，还应加快安置住房建设进度，确保被拆迁居民能够按时回迁安置。</w:t>
      </w:r>
    </w:p>
    <w:p w14:paraId="6E7AEEF9">
      <w:pPr>
        <w:pStyle w:val="7"/>
        <w:keepNext w:val="0"/>
        <w:keepLines w:val="0"/>
        <w:widowControl/>
        <w:numPr>
          <w:ilvl w:val="0"/>
          <w:numId w:val="4"/>
        </w:numPr>
        <w:suppressLineNumbers w:val="0"/>
        <w:shd w:val="clear"/>
        <w:spacing w:before="150" w:beforeAutospacing="0" w:after="150" w:afterAutospacing="0" w:line="17" w:lineRule="atLeast"/>
        <w:ind w:left="0" w:leftChars="0" w:firstLine="562" w:firstLineChars="200"/>
        <w:rPr>
          <w:rFonts w:hint="default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其他需要说明的问题</w:t>
      </w:r>
    </w:p>
    <w:p w14:paraId="05257637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  <w:t>我单位对上述项目支出绩效评价报告内反映内容的真实性、完整性负责，接受上级部门及社会公众监督。</w:t>
      </w:r>
    </w:p>
    <w:p w14:paraId="3CF670E3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</w:p>
    <w:p w14:paraId="34A78150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</w:p>
    <w:p w14:paraId="2A97D3B7">
      <w:pPr>
        <w:numPr>
          <w:ilvl w:val="0"/>
          <w:numId w:val="0"/>
        </w:numPr>
        <w:shd w:val="clear"/>
        <w:ind w:firstLine="560" w:firstLineChars="200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</w:p>
    <w:p w14:paraId="58EC8010">
      <w:pPr>
        <w:shd w:val="clear"/>
        <w:spacing w:line="540" w:lineRule="exact"/>
        <w:ind w:firstLine="567"/>
        <w:rPr>
          <w:rStyle w:val="21"/>
          <w:rFonts w:ascii="仿宋" w:hAnsi="仿宋" w:eastAsia="仿宋"/>
          <w:b w:val="0"/>
          <w:color w:val="auto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74EEB75D-B01B-4B9C-A515-5AA968A07078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  <w:embedRegular r:id="rId2" w:fontKey="{213F0DF6-3738-4881-902F-A85E813C307A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5A41B2DD-D0AF-4571-A6AC-9D8AD496A314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D0C3AA59-3703-4276-917D-72A8A2E664B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95CE51B8-C61C-4B8F-8387-86CBB44D7784}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6" w:fontKey="{84A27719-74CF-4DE6-B864-8E9E00A028F0}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 w14:paraId="7E0BE2FE">
        <w:pPr>
          <w:pStyle w:val="1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14127F72">
    <w:pPr>
      <w:pStyle w:val="1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205925"/>
    <w:multiLevelType w:val="singleLevel"/>
    <w:tmpl w:val="BF205925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F092B84"/>
    <w:multiLevelType w:val="singleLevel"/>
    <w:tmpl w:val="CF092B8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053208E"/>
    <w:multiLevelType w:val="singleLevel"/>
    <w:tmpl w:val="0053208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59ADCABA"/>
    <w:multiLevelType w:val="singleLevel"/>
    <w:tmpl w:val="59ADCABA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0ZGFmZGVlMTU2YmFlODYzODJmYzUzZGI2NmMwNGEifQ=="/>
  </w:docVars>
  <w:rsids>
    <w:rsidRoot w:val="00000000"/>
    <w:rsid w:val="20F0176C"/>
    <w:rsid w:val="57FA7BF7"/>
  </w:rsids>
  <m:mathPr>
    <m:mathFont m:val="Cambria Math"/>
    <m:brkBin m:val="before"/>
    <m:brkBinSub m:val="--"/>
    <m:smallFrac m:val="0"/>
    <m:dispDef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23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5">
    <w:name w:val="heading 2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6">
    <w:name w:val="heading 3"/>
    <w:basedOn w:val="1"/>
    <w:next w:val="1"/>
    <w:link w:val="25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7">
    <w:name w:val="heading 4"/>
    <w:basedOn w:val="1"/>
    <w:next w:val="1"/>
    <w:link w:val="26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8">
    <w:name w:val="heading 5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9">
    <w:name w:val="heading 6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10">
    <w:name w:val="heading 7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11">
    <w:name w:val="heading 8"/>
    <w:basedOn w:val="1"/>
    <w:next w:val="1"/>
    <w:link w:val="30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2">
    <w:name w:val="heading 9"/>
    <w:basedOn w:val="1"/>
    <w:next w:val="1"/>
    <w:link w:val="31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semiHidden/>
    <w:unhideWhenUsed/>
    <w:qFormat/>
    <w:uiPriority w:val="99"/>
    <w:pPr>
      <w:spacing w:after="120"/>
      <w:ind w:left="420" w:leftChars="200"/>
    </w:pPr>
  </w:style>
  <w:style w:type="paragraph" w:styleId="13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4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5">
    <w:name w:val="header"/>
    <w:basedOn w:val="1"/>
    <w:link w:val="4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6">
    <w:name w:val="Subtitle"/>
    <w:basedOn w:val="1"/>
    <w:next w:val="1"/>
    <w:link w:val="33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7">
    <w:name w:val="Title"/>
    <w:basedOn w:val="1"/>
    <w:next w:val="1"/>
    <w:link w:val="32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table" w:styleId="19">
    <w:name w:val="Table Grid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21">
    <w:name w:val="Strong"/>
    <w:basedOn w:val="20"/>
    <w:qFormat/>
    <w:uiPriority w:val="0"/>
    <w:rPr>
      <w:b/>
      <w:bCs/>
    </w:rPr>
  </w:style>
  <w:style w:type="character" w:styleId="22">
    <w:name w:val="Emphasis"/>
    <w:basedOn w:val="20"/>
    <w:qFormat/>
    <w:uiPriority w:val="20"/>
    <w:rPr>
      <w:rFonts w:asciiTheme="minorHAnsi" w:hAnsiTheme="minorHAnsi"/>
      <w:b/>
      <w:i/>
      <w:iCs/>
    </w:rPr>
  </w:style>
  <w:style w:type="character" w:customStyle="1" w:styleId="23">
    <w:name w:val="标题 1 字符"/>
    <w:basedOn w:val="20"/>
    <w:link w:val="4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4">
    <w:name w:val="标题 2 字符"/>
    <w:basedOn w:val="20"/>
    <w:link w:val="5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5">
    <w:name w:val="标题 3 字符"/>
    <w:basedOn w:val="20"/>
    <w:link w:val="6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6">
    <w:name w:val="标题 4 字符"/>
    <w:basedOn w:val="20"/>
    <w:link w:val="7"/>
    <w:qFormat/>
    <w:uiPriority w:val="9"/>
    <w:rPr>
      <w:b/>
      <w:bCs/>
      <w:sz w:val="28"/>
      <w:szCs w:val="28"/>
    </w:rPr>
  </w:style>
  <w:style w:type="character" w:customStyle="1" w:styleId="27">
    <w:name w:val="标题 5 字符"/>
    <w:basedOn w:val="20"/>
    <w:link w:val="8"/>
    <w:semiHidden/>
    <w:qFormat/>
    <w:uiPriority w:val="9"/>
    <w:rPr>
      <w:b/>
      <w:bCs/>
      <w:i/>
      <w:iCs/>
      <w:sz w:val="26"/>
      <w:szCs w:val="26"/>
    </w:rPr>
  </w:style>
  <w:style w:type="character" w:customStyle="1" w:styleId="28">
    <w:name w:val="标题 6 字符"/>
    <w:basedOn w:val="20"/>
    <w:link w:val="9"/>
    <w:semiHidden/>
    <w:qFormat/>
    <w:uiPriority w:val="9"/>
    <w:rPr>
      <w:b/>
      <w:bCs/>
    </w:rPr>
  </w:style>
  <w:style w:type="character" w:customStyle="1" w:styleId="29">
    <w:name w:val="标题 7 字符"/>
    <w:basedOn w:val="20"/>
    <w:link w:val="10"/>
    <w:semiHidden/>
    <w:qFormat/>
    <w:uiPriority w:val="9"/>
    <w:rPr>
      <w:sz w:val="24"/>
      <w:szCs w:val="24"/>
    </w:rPr>
  </w:style>
  <w:style w:type="character" w:customStyle="1" w:styleId="30">
    <w:name w:val="标题 8 字符"/>
    <w:basedOn w:val="20"/>
    <w:link w:val="11"/>
    <w:semiHidden/>
    <w:qFormat/>
    <w:uiPriority w:val="9"/>
    <w:rPr>
      <w:i/>
      <w:iCs/>
      <w:sz w:val="24"/>
      <w:szCs w:val="24"/>
    </w:rPr>
  </w:style>
  <w:style w:type="character" w:customStyle="1" w:styleId="31">
    <w:name w:val="标题 9 字符"/>
    <w:basedOn w:val="20"/>
    <w:link w:val="12"/>
    <w:semiHidden/>
    <w:qFormat/>
    <w:uiPriority w:val="9"/>
    <w:rPr>
      <w:rFonts w:asciiTheme="majorHAnsi" w:hAnsiTheme="majorHAnsi" w:eastAsiaTheme="majorEastAsia"/>
    </w:rPr>
  </w:style>
  <w:style w:type="character" w:customStyle="1" w:styleId="32">
    <w:name w:val="标题 字符"/>
    <w:basedOn w:val="20"/>
    <w:link w:val="17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3">
    <w:name w:val="副标题 字符"/>
    <w:basedOn w:val="20"/>
    <w:link w:val="16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4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5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7">
    <w:name w:val="引用 字符"/>
    <w:basedOn w:val="20"/>
    <w:link w:val="36"/>
    <w:qFormat/>
    <w:uiPriority w:val="29"/>
    <w:rPr>
      <w:i/>
      <w:sz w:val="24"/>
      <w:szCs w:val="24"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9">
    <w:name w:val="明显引用 字符"/>
    <w:basedOn w:val="20"/>
    <w:link w:val="38"/>
    <w:qFormat/>
    <w:uiPriority w:val="30"/>
    <w:rPr>
      <w:b/>
      <w:i/>
      <w:sz w:val="24"/>
    </w:rPr>
  </w:style>
  <w:style w:type="character" w:customStyle="1" w:styleId="40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1">
    <w:name w:val="明显强调1"/>
    <w:basedOn w:val="20"/>
    <w:qFormat/>
    <w:uiPriority w:val="21"/>
    <w:rPr>
      <w:b/>
      <w:i/>
      <w:sz w:val="24"/>
      <w:szCs w:val="24"/>
      <w:u w:val="single"/>
    </w:rPr>
  </w:style>
  <w:style w:type="character" w:customStyle="1" w:styleId="42">
    <w:name w:val="不明显参考1"/>
    <w:basedOn w:val="20"/>
    <w:qFormat/>
    <w:uiPriority w:val="31"/>
    <w:rPr>
      <w:sz w:val="24"/>
      <w:szCs w:val="24"/>
      <w:u w:val="single"/>
    </w:rPr>
  </w:style>
  <w:style w:type="character" w:customStyle="1" w:styleId="43">
    <w:name w:val="明显参考1"/>
    <w:basedOn w:val="20"/>
    <w:qFormat/>
    <w:uiPriority w:val="32"/>
    <w:rPr>
      <w:b/>
      <w:sz w:val="24"/>
      <w:u w:val="single"/>
    </w:rPr>
  </w:style>
  <w:style w:type="character" w:customStyle="1" w:styleId="44">
    <w:name w:val="书籍标题1"/>
    <w:basedOn w:val="20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5">
    <w:name w:val="TOC 标题1"/>
    <w:basedOn w:val="4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6">
    <w:name w:val="页眉 字符"/>
    <w:basedOn w:val="20"/>
    <w:link w:val="15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7">
    <w:name w:val="页脚 字符"/>
    <w:basedOn w:val="20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8">
    <w:name w:val="批注框文本 字符"/>
    <w:basedOn w:val="20"/>
    <w:link w:val="13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299A846E7742483FADE25949A45A48D3_12</vt:lpwstr>
  </property>
  <property fmtid="{D5CDD505-2E9C-101B-9397-08002B2CF9AE}" pid="4" name="KSOTemplateDocerSaveRecord">
    <vt:lpwstr>eyJoZGlkIjoiYTdmMWQ2YzYwOWY4YjNlYTcwN2ZiZjNlNzc1NTI5Y2UifQ==</vt:lpwstr>
  </property>
</Properties>
</file>

<file path=customXml/itemProps1.xml><?xml version="1.0" encoding="utf-8"?>
<ds:datastoreItem xmlns:ds="http://schemas.openxmlformats.org/officeDocument/2006/customXml" ds:itemID="{6e0085bb-a9cd-40a8-99a2-752f63ec16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14</Pages>
  <Words>6046</Words>
  <Characters>6320</Characters>
  <Lines>5</Lines>
  <Paragraphs>1</Paragraphs>
  <TotalTime>1</TotalTime>
  <ScaleCrop>false</ScaleCrop>
  <LinksUpToDate>false</LinksUpToDate>
  <CharactersWithSpaces>6716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2022-01-14T05:11:00Z</dcterms:created>
  <dc:creator>赵 恺_xFF08_预算处_xFF09_</dc:creator>
  <cp:lastModifiedBy>来财&amp;十个晴天</cp:lastModifiedBy>
  <cp:lastPrinted>2018-12-31T10:56:00Z</cp:lastPrinted>
  <dcterms:modified xsi:type="dcterms:W3CDTF">2025-09-26T09:09:46Z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299A846E7742483FADE25949A45A48D3_12</vt:lpwstr>
  </property>
  <property fmtid="{D5CDD505-2E9C-101B-9397-08002B2CF9AE}" pid="4" name="KSOTemplateDocerSaveRecord">
    <vt:lpwstr>eyJoZGlkIjoiZjZjY2YzNDY3YWM4YThjNjdkZTk2MDAwYjE2OGQzNDQiLCJ1c2VySWQiOiIzNzI2MDMzNTYifQ==</vt:lpwstr>
  </property>
</Properties>
</file>