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bookmarkStart w:id="0" w:name="_GoBack"/>
      <w:bookmarkEnd w:id="0"/>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中共疏勒县委员会机构编制委员会办公室2024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26DBBA1">
      <w:r>
        <w:br w:type="page"/>
      </w:r>
    </w:p>
    <w:p w14:paraId="6E00AE52">
      <w:pPr>
        <w:spacing w:line="640" w:lineRule="exact"/>
        <w:jc w:val="center"/>
        <w:outlineLvl w:val="1"/>
      </w:pPr>
      <w:r>
        <w:rPr>
          <w:rFonts w:ascii="黑体" w:hAnsi="黑体" w:eastAsia="黑体"/>
          <w:sz w:val="32"/>
        </w:rPr>
        <w:t>第一部分 单位概况</w:t>
      </w:r>
    </w:p>
    <w:p w14:paraId="2038C1EB">
      <w:pPr>
        <w:spacing w:line="640" w:lineRule="exact"/>
        <w:ind w:firstLine="640"/>
        <w:jc w:val="both"/>
        <w:outlineLvl w:val="2"/>
      </w:pPr>
      <w:r>
        <w:rPr>
          <w:rFonts w:ascii="黑体" w:hAnsi="黑体" w:eastAsia="黑体"/>
          <w:sz w:val="32"/>
        </w:rPr>
        <w:t>一、主要职能</w:t>
      </w:r>
    </w:p>
    <w:p w14:paraId="6955482C">
      <w:pPr>
        <w:spacing w:line="580" w:lineRule="exact"/>
        <w:ind w:firstLine="640"/>
        <w:jc w:val="both"/>
      </w:pPr>
      <w:r>
        <w:rPr>
          <w:rFonts w:ascii="仿宋_GB2312" w:hAnsi="仿宋_GB2312" w:eastAsia="仿宋_GB2312"/>
          <w:sz w:val="32"/>
        </w:rPr>
        <w:t>贯彻党中央、国务院、自治区党委、人民政府、地委、行署关于行政管理体制改革、机构改革和机构编制管理的方针、政策、法规。研究拟</w:t>
      </w:r>
      <w:r>
        <w:rPr>
          <w:rFonts w:hint="eastAsia" w:ascii="仿宋_GB2312" w:hAnsi="仿宋_GB2312" w:eastAsia="仿宋_GB2312"/>
          <w:sz w:val="32"/>
          <w:lang w:eastAsia="zh-CN"/>
        </w:rPr>
        <w:t>定全</w:t>
      </w:r>
      <w:r>
        <w:rPr>
          <w:rFonts w:ascii="仿宋_GB2312" w:hAnsi="仿宋_GB2312" w:eastAsia="仿宋_GB2312"/>
          <w:sz w:val="32"/>
        </w:rPr>
        <w:t>县行政管理体制改革、机构改革和机构编制管理的意见，并组织实施；统一管理全县各级党政机关，人大、政协，各社会团体机关及事业单位的机构编制管理工作；研究拟定全县</w:t>
      </w:r>
      <w:r>
        <w:rPr>
          <w:rFonts w:hint="eastAsia" w:ascii="仿宋_GB2312" w:hAnsi="仿宋_GB2312" w:eastAsia="仿宋_GB2312"/>
          <w:sz w:val="32"/>
          <w:lang w:eastAsia="zh-CN"/>
        </w:rPr>
        <w:t>行政体制</w:t>
      </w:r>
      <w:r>
        <w:rPr>
          <w:rFonts w:ascii="仿宋_GB2312" w:hAnsi="仿宋_GB2312" w:eastAsia="仿宋_GB2312"/>
          <w:sz w:val="32"/>
        </w:rPr>
        <w:t>与机构改革的总体方案，并组织实施。审核县党政机关，人大、政协、各社会团体机关的机构改革规定；审核乡镇机构改革方案；负责县党政机关，人大、政协，各社会团体机关机构设置、职能配置和人员编制、领导职数的核定；申报县副科级以上机构设置；研究拟定县事业单位分类改革方案和事业单位机构编制管理的政策、规定；审核县事业单位机构设置、职责任务和人员编制、领导职数的核定；贯彻落实《事业单位登记管理暂行条例》；研究制定县事业单位登记管理办法，并组织实施；依法对县事业单位登记管理工作进行监督检查；监督检查全县行政管理体制改革、机构改革以及机构编制执行情况，报告县委机构编制委员会；完成县委和县委机构编制委员会交办的其他任务。</w:t>
      </w:r>
    </w:p>
    <w:p w14:paraId="0BDFA200">
      <w:pPr>
        <w:spacing w:line="640" w:lineRule="exact"/>
        <w:ind w:firstLine="640"/>
        <w:jc w:val="both"/>
        <w:outlineLvl w:val="2"/>
      </w:pPr>
      <w:r>
        <w:rPr>
          <w:rFonts w:ascii="黑体" w:hAnsi="黑体" w:eastAsia="黑体"/>
          <w:sz w:val="32"/>
        </w:rPr>
        <w:t>二、机构设置及人员情况</w:t>
      </w:r>
    </w:p>
    <w:p w14:paraId="105D573D">
      <w:pPr>
        <w:spacing w:line="580" w:lineRule="exact"/>
        <w:ind w:firstLine="640"/>
        <w:jc w:val="both"/>
      </w:pPr>
      <w:r>
        <w:rPr>
          <w:rFonts w:ascii="仿宋_GB2312" w:hAnsi="仿宋_GB2312" w:eastAsia="仿宋_GB2312"/>
          <w:sz w:val="32"/>
        </w:rPr>
        <w:t>中共疏勒县委员会机构编制委员会办公室2024年度，实有人数12人，其中：在职人员9人，增加2人；离休人员0人，增加0人；退休人员3人,增加0人。</w:t>
      </w:r>
    </w:p>
    <w:p w14:paraId="7CCA5114">
      <w:pPr>
        <w:spacing w:line="580" w:lineRule="exact"/>
        <w:ind w:firstLine="640"/>
        <w:jc w:val="both"/>
      </w:pPr>
      <w:r>
        <w:rPr>
          <w:rFonts w:ascii="仿宋_GB2312" w:hAnsi="仿宋_GB2312" w:eastAsia="仿宋_GB2312"/>
          <w:sz w:val="32"/>
        </w:rPr>
        <w:t>中共疏勒县委员会机构编制委员会办公室无下属预算单位，下设1个科室，分别是：办公室。</w:t>
      </w:r>
    </w:p>
    <w:p w14:paraId="26956BC0">
      <w:r>
        <w:br w:type="page"/>
      </w:r>
    </w:p>
    <w:p w14:paraId="1A54AE5F">
      <w:pPr>
        <w:spacing w:line="240" w:lineRule="auto"/>
        <w:jc w:val="center"/>
        <w:outlineLvl w:val="1"/>
      </w:pPr>
      <w:r>
        <w:rPr>
          <w:rFonts w:ascii="黑体" w:hAnsi="黑体" w:eastAsia="黑体"/>
          <w:sz w:val="32"/>
        </w:rPr>
        <w:t>第二部分 部门决算情况说明</w:t>
      </w:r>
    </w:p>
    <w:p w14:paraId="640D1505">
      <w:pPr>
        <w:spacing w:line="640" w:lineRule="exact"/>
        <w:ind w:firstLine="640"/>
        <w:jc w:val="both"/>
        <w:outlineLvl w:val="2"/>
      </w:pPr>
      <w:r>
        <w:rPr>
          <w:rFonts w:ascii="黑体" w:hAnsi="黑体" w:eastAsia="黑体"/>
          <w:sz w:val="32"/>
        </w:rPr>
        <w:t>一、收入支出决算总体情况说明</w:t>
      </w:r>
    </w:p>
    <w:p w14:paraId="5DDC4E47">
      <w:pPr>
        <w:spacing w:line="580" w:lineRule="exact"/>
        <w:ind w:firstLine="640"/>
        <w:jc w:val="both"/>
      </w:pPr>
      <w:r>
        <w:rPr>
          <w:rFonts w:ascii="仿宋_GB2312" w:hAnsi="仿宋_GB2312" w:eastAsia="仿宋_GB2312"/>
          <w:b/>
          <w:sz w:val="32"/>
        </w:rPr>
        <w:t>2024年度收入总计167.90万元，</w:t>
      </w:r>
      <w:r>
        <w:rPr>
          <w:rFonts w:ascii="仿宋_GB2312" w:hAnsi="仿宋_GB2312" w:eastAsia="仿宋_GB2312"/>
          <w:b w:val="0"/>
          <w:sz w:val="32"/>
        </w:rPr>
        <w:t>其中：本年收入合计167.90万元，使用非财政拨款结余（含专用结余）0.00万元，年初结转和结余0.00万元。</w:t>
      </w:r>
    </w:p>
    <w:p w14:paraId="66DAFC6E">
      <w:pPr>
        <w:spacing w:line="580" w:lineRule="exact"/>
        <w:ind w:firstLine="640"/>
        <w:jc w:val="both"/>
      </w:pPr>
      <w:r>
        <w:rPr>
          <w:rFonts w:ascii="仿宋_GB2312" w:hAnsi="仿宋_GB2312" w:eastAsia="仿宋_GB2312"/>
          <w:b/>
          <w:sz w:val="32"/>
        </w:rPr>
        <w:t>2024年度支出总计167.90万元，</w:t>
      </w:r>
      <w:r>
        <w:rPr>
          <w:rFonts w:ascii="仿宋_GB2312" w:hAnsi="仿宋_GB2312" w:eastAsia="仿宋_GB2312"/>
          <w:b w:val="0"/>
          <w:sz w:val="32"/>
        </w:rPr>
        <w:t>其中：本年支出合计167.90万元，结余分配0.00万元，年末结转和结余0.00万元。</w:t>
      </w:r>
    </w:p>
    <w:p w14:paraId="29D88755">
      <w:pPr>
        <w:spacing w:line="580" w:lineRule="exact"/>
        <w:ind w:firstLine="640"/>
        <w:jc w:val="both"/>
      </w:pPr>
      <w:r>
        <w:rPr>
          <w:rFonts w:ascii="仿宋_GB2312" w:hAnsi="仿宋_GB2312" w:eastAsia="仿宋_GB2312"/>
          <w:b w:val="0"/>
          <w:sz w:val="32"/>
        </w:rPr>
        <w:t>收入支出总体与上年相比，增加10.46万元，增长6.64%，主要原因是：本年在职人员增加，在职人员工资调增、社保、公积金基数调增，人员经费增加。增加2024年驻村工作队为民办实事好事项目。</w:t>
      </w:r>
    </w:p>
    <w:p w14:paraId="1722BADF">
      <w:pPr>
        <w:spacing w:line="640" w:lineRule="exact"/>
        <w:ind w:firstLine="640"/>
        <w:jc w:val="both"/>
        <w:outlineLvl w:val="2"/>
      </w:pPr>
      <w:r>
        <w:rPr>
          <w:rFonts w:ascii="黑体" w:hAnsi="黑体" w:eastAsia="黑体"/>
          <w:sz w:val="32"/>
        </w:rPr>
        <w:t>二、收入决算情况说明</w:t>
      </w:r>
    </w:p>
    <w:p w14:paraId="72183FBE">
      <w:pPr>
        <w:spacing w:line="580" w:lineRule="exact"/>
        <w:ind w:firstLine="640"/>
        <w:jc w:val="both"/>
      </w:pPr>
      <w:r>
        <w:rPr>
          <w:rFonts w:ascii="仿宋_GB2312" w:hAnsi="仿宋_GB2312" w:eastAsia="仿宋_GB2312"/>
          <w:b/>
          <w:sz w:val="32"/>
        </w:rPr>
        <w:t>本年收入167.90万元，</w:t>
      </w:r>
      <w:r>
        <w:rPr>
          <w:rFonts w:ascii="仿宋_GB2312" w:hAnsi="仿宋_GB2312" w:eastAsia="仿宋_GB2312"/>
          <w:b w:val="0"/>
          <w:sz w:val="32"/>
        </w:rPr>
        <w:t>其中：财政拨款收入167.90万元，占100.00%；上级补助收入0.00万元，占0.00%；事业收入0.00万元，占0.00%；经营收入0.00万元，占0.00%；附属单位上缴收入0.00万元，占0.00%；其他收入0.00万元，占0.00%。</w:t>
      </w:r>
    </w:p>
    <w:p w14:paraId="650C8154">
      <w:pPr>
        <w:spacing w:line="640" w:lineRule="exact"/>
        <w:ind w:firstLine="640"/>
        <w:jc w:val="both"/>
        <w:outlineLvl w:val="2"/>
      </w:pPr>
      <w:r>
        <w:rPr>
          <w:rFonts w:ascii="黑体" w:hAnsi="黑体" w:eastAsia="黑体"/>
          <w:sz w:val="32"/>
        </w:rPr>
        <w:t>三、支出决算情况说明</w:t>
      </w:r>
    </w:p>
    <w:p w14:paraId="2ADD83BA">
      <w:pPr>
        <w:spacing w:line="580" w:lineRule="exact"/>
        <w:ind w:firstLine="640"/>
        <w:jc w:val="both"/>
      </w:pPr>
      <w:r>
        <w:rPr>
          <w:rFonts w:ascii="仿宋_GB2312" w:hAnsi="仿宋_GB2312" w:eastAsia="仿宋_GB2312"/>
          <w:b/>
          <w:sz w:val="32"/>
        </w:rPr>
        <w:t>本年支出167.90万元，</w:t>
      </w:r>
      <w:r>
        <w:rPr>
          <w:rFonts w:ascii="仿宋_GB2312" w:hAnsi="仿宋_GB2312" w:eastAsia="仿宋_GB2312"/>
          <w:b w:val="0"/>
          <w:sz w:val="32"/>
        </w:rPr>
        <w:t>其中：基本支出162.91万元，占97.03%；项目支出4.98万元，占2.97%；上缴上级支出0.00万元，占0.00%；经营支出0.00万元，占0.00%；对附属单位补助支出0.00万元，占0.00%。</w:t>
      </w:r>
    </w:p>
    <w:p w14:paraId="042EF652">
      <w:pPr>
        <w:spacing w:line="640" w:lineRule="exact"/>
        <w:ind w:firstLine="640"/>
        <w:jc w:val="both"/>
        <w:outlineLvl w:val="2"/>
      </w:pPr>
      <w:r>
        <w:rPr>
          <w:rFonts w:ascii="黑体" w:hAnsi="黑体" w:eastAsia="黑体"/>
          <w:sz w:val="32"/>
        </w:rPr>
        <w:t>四、财政拨款收入支出决算总体情况说明</w:t>
      </w:r>
    </w:p>
    <w:p w14:paraId="3737F10F">
      <w:pPr>
        <w:spacing w:line="580" w:lineRule="exact"/>
        <w:ind w:firstLine="640"/>
        <w:jc w:val="both"/>
      </w:pPr>
      <w:r>
        <w:rPr>
          <w:rFonts w:ascii="仿宋_GB2312" w:hAnsi="仿宋_GB2312" w:eastAsia="仿宋_GB2312"/>
          <w:b/>
          <w:sz w:val="32"/>
        </w:rPr>
        <w:t>2024年度财政拨款收入总计167.90万元，</w:t>
      </w:r>
      <w:r>
        <w:rPr>
          <w:rFonts w:ascii="仿宋_GB2312" w:hAnsi="仿宋_GB2312" w:eastAsia="仿宋_GB2312"/>
          <w:b w:val="0"/>
          <w:sz w:val="32"/>
        </w:rPr>
        <w:t>其中：年初财政拨款结转和结余0.00万元，本年财政拨款收入167.90万元。</w:t>
      </w:r>
      <w:r>
        <w:rPr>
          <w:rFonts w:ascii="仿宋_GB2312" w:hAnsi="仿宋_GB2312" w:eastAsia="仿宋_GB2312"/>
          <w:b/>
          <w:sz w:val="32"/>
        </w:rPr>
        <w:t>财政拨款支出总计167.90万元，</w:t>
      </w:r>
      <w:r>
        <w:rPr>
          <w:rFonts w:ascii="仿宋_GB2312" w:hAnsi="仿宋_GB2312" w:eastAsia="仿宋_GB2312"/>
          <w:b w:val="0"/>
          <w:sz w:val="32"/>
        </w:rPr>
        <w:t>其中：年末财政拨款结转和结余0.00万元，本年财政拨款支出167.90万元。</w:t>
      </w:r>
    </w:p>
    <w:p w14:paraId="7E28754B">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增加10.46万元，增长6.64%，主要原因是：本年在职人员增加，在职人员工资调增、社保、公积金基数调增，人员经费增加。增加2024年驻村工作队为民办实事好事项目。</w:t>
      </w:r>
      <w:r>
        <w:rPr>
          <w:rFonts w:ascii="仿宋_GB2312" w:hAnsi="仿宋_GB2312" w:eastAsia="仿宋_GB2312"/>
          <w:b/>
          <w:sz w:val="32"/>
        </w:rPr>
        <w:t>与年初预算相比，</w:t>
      </w:r>
      <w:r>
        <w:rPr>
          <w:rFonts w:ascii="仿宋_GB2312" w:hAnsi="仿宋_GB2312" w:eastAsia="仿宋_GB2312"/>
          <w:b w:val="0"/>
          <w:sz w:val="32"/>
        </w:rPr>
        <w:t>年初预算数148.35万元，决算数167.90万元，预决算差异率13.18%，主要原因是：年中追加人员工资、社保、公积金基数调增部分资金，导致预决算存在差异。</w:t>
      </w:r>
    </w:p>
    <w:p w14:paraId="783532EF">
      <w:pPr>
        <w:spacing w:line="640" w:lineRule="exact"/>
        <w:ind w:firstLine="640"/>
        <w:jc w:val="both"/>
        <w:outlineLvl w:val="2"/>
      </w:pPr>
      <w:r>
        <w:rPr>
          <w:rFonts w:ascii="黑体" w:hAnsi="黑体" w:eastAsia="黑体"/>
          <w:sz w:val="32"/>
        </w:rPr>
        <w:t>五、一般公共预算财政拨款支出决算情况说明</w:t>
      </w:r>
    </w:p>
    <w:p w14:paraId="040E3F1C">
      <w:pPr>
        <w:spacing w:line="640" w:lineRule="exact"/>
        <w:ind w:firstLine="640"/>
        <w:jc w:val="both"/>
        <w:outlineLvl w:val="3"/>
      </w:pPr>
      <w:r>
        <w:rPr>
          <w:rFonts w:ascii="楷体_GB2312" w:hAnsi="楷体_GB2312" w:eastAsia="楷体_GB2312"/>
          <w:b/>
          <w:sz w:val="32"/>
        </w:rPr>
        <w:t>（一）一般公共预算财政拨款支出决算总体情况</w:t>
      </w:r>
    </w:p>
    <w:p w14:paraId="0A858361">
      <w:pPr>
        <w:spacing w:line="580" w:lineRule="exact"/>
        <w:ind w:firstLine="640"/>
        <w:jc w:val="both"/>
      </w:pPr>
      <w:r>
        <w:rPr>
          <w:rFonts w:ascii="仿宋_GB2312" w:hAnsi="仿宋_GB2312" w:eastAsia="仿宋_GB2312"/>
          <w:b/>
          <w:sz w:val="32"/>
        </w:rPr>
        <w:t>2024年度一般公共预算财政拨款支出167.90万元，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增加10.46万元，增长6.64%，主要原因是：本年在职人员增加，在职人员工资调增、社保、公积金基数调增，人员经费增加。增加2024年驻村工作队为民办实事好事项目。</w:t>
      </w:r>
      <w:r>
        <w:rPr>
          <w:rFonts w:ascii="仿宋_GB2312" w:hAnsi="仿宋_GB2312" w:eastAsia="仿宋_GB2312"/>
          <w:b/>
          <w:sz w:val="32"/>
        </w:rPr>
        <w:t>与年初预算相比,</w:t>
      </w:r>
      <w:r>
        <w:rPr>
          <w:rFonts w:ascii="仿宋_GB2312" w:hAnsi="仿宋_GB2312" w:eastAsia="仿宋_GB2312"/>
          <w:b w:val="0"/>
          <w:sz w:val="32"/>
        </w:rPr>
        <w:t>年初预算数148.35万元，决算数167.90万元，预决算差异率13.18%，主要原因是：年中追加人员工资、社保、公积金基数调增部分资金，导致预决算存在差异。</w:t>
      </w:r>
    </w:p>
    <w:p w14:paraId="52C823CE">
      <w:pPr>
        <w:spacing w:line="640" w:lineRule="exact"/>
        <w:ind w:firstLine="640"/>
        <w:jc w:val="both"/>
        <w:outlineLvl w:val="3"/>
      </w:pPr>
      <w:r>
        <w:rPr>
          <w:rFonts w:ascii="楷体_GB2312" w:hAnsi="楷体_GB2312" w:eastAsia="楷体_GB2312"/>
          <w:b/>
          <w:sz w:val="32"/>
        </w:rPr>
        <w:t>（二）一般公共预算财政拨款支出决算结构情况</w:t>
      </w:r>
    </w:p>
    <w:p w14:paraId="1DC58019">
      <w:pPr>
        <w:spacing w:line="580" w:lineRule="exact"/>
        <w:ind w:firstLine="640"/>
        <w:jc w:val="both"/>
      </w:pPr>
      <w:r>
        <w:rPr>
          <w:rFonts w:ascii="仿宋_GB2312" w:hAnsi="仿宋_GB2312" w:eastAsia="仿宋_GB2312"/>
          <w:b w:val="0"/>
          <w:sz w:val="32"/>
        </w:rPr>
        <w:t>1.一般公共服务支出(类)124.98万元,占74.44%。</w:t>
      </w:r>
    </w:p>
    <w:p w14:paraId="4E2F2A19">
      <w:pPr>
        <w:spacing w:line="580" w:lineRule="exact"/>
        <w:ind w:firstLine="640"/>
        <w:jc w:val="both"/>
      </w:pPr>
      <w:r>
        <w:rPr>
          <w:rFonts w:ascii="仿宋_GB2312" w:hAnsi="仿宋_GB2312" w:eastAsia="仿宋_GB2312"/>
          <w:b w:val="0"/>
          <w:sz w:val="32"/>
        </w:rPr>
        <w:t>2.社会保障和就业支出(类)18.68万元,占11.13%。</w:t>
      </w:r>
    </w:p>
    <w:p w14:paraId="1567A2CB">
      <w:pPr>
        <w:spacing w:line="580" w:lineRule="exact"/>
        <w:ind w:firstLine="640"/>
        <w:jc w:val="both"/>
      </w:pPr>
      <w:r>
        <w:rPr>
          <w:rFonts w:ascii="仿宋_GB2312" w:hAnsi="仿宋_GB2312" w:eastAsia="仿宋_GB2312"/>
          <w:b w:val="0"/>
          <w:sz w:val="32"/>
        </w:rPr>
        <w:t>3.卫生健康支出(类)7.76万元,占4.62%。</w:t>
      </w:r>
    </w:p>
    <w:p w14:paraId="0945D97C">
      <w:pPr>
        <w:spacing w:line="580" w:lineRule="exact"/>
        <w:ind w:firstLine="640"/>
        <w:jc w:val="both"/>
      </w:pPr>
      <w:r>
        <w:rPr>
          <w:rFonts w:ascii="仿宋_GB2312" w:hAnsi="仿宋_GB2312" w:eastAsia="仿宋_GB2312"/>
          <w:b w:val="0"/>
          <w:sz w:val="32"/>
        </w:rPr>
        <w:t>4.农林水支出(类)4.98万元,占2.97%。</w:t>
      </w:r>
    </w:p>
    <w:p w14:paraId="186D391C">
      <w:pPr>
        <w:spacing w:line="580" w:lineRule="exact"/>
        <w:ind w:firstLine="640"/>
        <w:jc w:val="both"/>
      </w:pPr>
      <w:r>
        <w:rPr>
          <w:rFonts w:ascii="仿宋_GB2312" w:hAnsi="仿宋_GB2312" w:eastAsia="仿宋_GB2312"/>
          <w:b w:val="0"/>
          <w:sz w:val="32"/>
        </w:rPr>
        <w:t>5.住房保障支出(类)11.50万元,占6.85%。</w:t>
      </w:r>
    </w:p>
    <w:p w14:paraId="6897F08E">
      <w:pPr>
        <w:spacing w:line="640" w:lineRule="exact"/>
        <w:ind w:firstLine="640"/>
        <w:jc w:val="both"/>
        <w:outlineLvl w:val="3"/>
      </w:pPr>
      <w:r>
        <w:rPr>
          <w:rFonts w:ascii="楷体_GB2312" w:hAnsi="楷体_GB2312" w:eastAsia="楷体_GB2312"/>
          <w:b/>
          <w:sz w:val="32"/>
        </w:rPr>
        <w:t>（三）一般公共预算财政拨款支出决算具体情况</w:t>
      </w:r>
    </w:p>
    <w:p w14:paraId="63BB2DCA">
      <w:pPr>
        <w:spacing w:line="580" w:lineRule="exact"/>
        <w:ind w:firstLine="640"/>
        <w:jc w:val="both"/>
      </w:pPr>
      <w:r>
        <w:rPr>
          <w:rFonts w:ascii="仿宋_GB2312" w:hAnsi="仿宋_GB2312" w:eastAsia="仿宋_GB2312"/>
          <w:b w:val="0"/>
          <w:sz w:val="32"/>
        </w:rPr>
        <w:t>1.一般公共服务支出(类)组织事务(款)行政运行(项):支出决算数为124.98万元，比上年决算减少0.26万元，下降0.21%,主要原因是：本年在职人员调入调出，人员职级不同，工资基数不同，导致人员经费较上年减少。</w:t>
      </w:r>
    </w:p>
    <w:p w14:paraId="0488D45D">
      <w:pPr>
        <w:spacing w:line="580" w:lineRule="exact"/>
        <w:ind w:firstLine="640"/>
        <w:jc w:val="both"/>
      </w:pPr>
      <w:r>
        <w:rPr>
          <w:rFonts w:ascii="仿宋_GB2312" w:hAnsi="仿宋_GB2312" w:eastAsia="仿宋_GB2312"/>
          <w:b w:val="0"/>
          <w:sz w:val="32"/>
        </w:rPr>
        <w:t>2.社会保障和就业支出(类)行政事业单位养老支出(款)行政单位离退休(项):支出决算数为4.07万元，比上年决算增加0.32万元，增长8.53%,主要原因是：本年退休人员基础绩效奖支出增加，行政单位离退休支出增加。</w:t>
      </w:r>
    </w:p>
    <w:p w14:paraId="672D3B49">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14.61万元，比上年决算增加2.36万元，增长19.27%,主要原因是：本年在职人员增加，养老保险缴费较上年增加。</w:t>
      </w:r>
    </w:p>
    <w:p w14:paraId="10499BEB">
      <w:pPr>
        <w:spacing w:line="580" w:lineRule="exact"/>
        <w:ind w:firstLine="640"/>
        <w:jc w:val="both"/>
      </w:pPr>
      <w:r>
        <w:rPr>
          <w:rFonts w:ascii="仿宋_GB2312" w:hAnsi="仿宋_GB2312" w:eastAsia="仿宋_GB2312"/>
          <w:b w:val="0"/>
          <w:sz w:val="32"/>
        </w:rPr>
        <w:t>4.卫生健康支出(类)行政事业单位医疗(款)行政单位医疗(项):支出决算数为6.21万元，比上年决算增加1.00万元，增长19.19%,主要原因是：本年在职人员增加，行政单位医疗支出较上年增加。</w:t>
      </w:r>
    </w:p>
    <w:p w14:paraId="01E06AC5">
      <w:pPr>
        <w:spacing w:line="580" w:lineRule="exact"/>
        <w:ind w:firstLine="640"/>
        <w:jc w:val="both"/>
      </w:pPr>
      <w:r>
        <w:rPr>
          <w:rFonts w:ascii="仿宋_GB2312" w:hAnsi="仿宋_GB2312" w:eastAsia="仿宋_GB2312"/>
          <w:b w:val="0"/>
          <w:sz w:val="32"/>
        </w:rPr>
        <w:t>5.卫生健康支出(类)行政事业单位医疗(款)公务员医疗补助(项):支出决算数为1.55万元，比上年决算增加0.26万元，增长20.16%,主要原因是：本年在职人员增加，公务员医疗补助较上年增加。</w:t>
      </w:r>
    </w:p>
    <w:p w14:paraId="49520442">
      <w:pPr>
        <w:spacing w:line="580" w:lineRule="exact"/>
        <w:ind w:firstLine="640"/>
        <w:jc w:val="both"/>
      </w:pPr>
      <w:r>
        <w:rPr>
          <w:rFonts w:ascii="仿宋_GB2312" w:hAnsi="仿宋_GB2312" w:eastAsia="仿宋_GB2312"/>
          <w:b w:val="0"/>
          <w:sz w:val="32"/>
        </w:rPr>
        <w:t>6.农林水支出(类)农业农村(款)其他农业农村支出(项):支出决算数为4.98万元，比上年决算增加4.98万元，增长100.00%,主要原因是：增加2024年驻村工作队为民办实事好事项目。</w:t>
      </w:r>
    </w:p>
    <w:p w14:paraId="76530C42">
      <w:pPr>
        <w:spacing w:line="580" w:lineRule="exact"/>
        <w:ind w:firstLine="640"/>
        <w:jc w:val="both"/>
      </w:pPr>
      <w:r>
        <w:rPr>
          <w:rFonts w:ascii="仿宋_GB2312" w:hAnsi="仿宋_GB2312" w:eastAsia="仿宋_GB2312"/>
          <w:b w:val="0"/>
          <w:sz w:val="32"/>
        </w:rPr>
        <w:t>7.住房保障支出(类)住房改革支出(款)住房公积金(项):支出决算数为11.50万元，比上年决算增加1.80万元，增长18.56%,主要原因是：本年在职人员增加，住房公积金支出较上年增加。</w:t>
      </w:r>
    </w:p>
    <w:p w14:paraId="197CA002">
      <w:pPr>
        <w:spacing w:line="640" w:lineRule="exact"/>
        <w:ind w:firstLine="640"/>
        <w:jc w:val="both"/>
        <w:outlineLvl w:val="2"/>
      </w:pPr>
      <w:r>
        <w:rPr>
          <w:rFonts w:ascii="黑体" w:hAnsi="黑体" w:eastAsia="黑体"/>
          <w:sz w:val="32"/>
        </w:rPr>
        <w:t>六、一般公共预算财政拨款基本支出决算情况说明</w:t>
      </w:r>
    </w:p>
    <w:p w14:paraId="0F6A6B5B">
      <w:pPr>
        <w:spacing w:line="580" w:lineRule="exact"/>
        <w:ind w:firstLine="640"/>
        <w:jc w:val="both"/>
      </w:pPr>
      <w:r>
        <w:rPr>
          <w:rFonts w:ascii="仿宋_GB2312" w:hAnsi="仿宋_GB2312" w:eastAsia="仿宋_GB2312"/>
          <w:b w:val="0"/>
          <w:sz w:val="32"/>
        </w:rPr>
        <w:t>2024年度一般公共预算财政拨款基本支出162.91万元，其中：</w:t>
      </w:r>
      <w:r>
        <w:rPr>
          <w:rFonts w:ascii="仿宋_GB2312" w:hAnsi="仿宋_GB2312" w:eastAsia="仿宋_GB2312"/>
          <w:b/>
          <w:sz w:val="32"/>
        </w:rPr>
        <w:t>人员经费160.56万元，</w:t>
      </w:r>
      <w:r>
        <w:rPr>
          <w:rFonts w:ascii="仿宋_GB2312" w:hAnsi="仿宋_GB2312" w:eastAsia="仿宋_GB2312"/>
          <w:b w:val="0"/>
          <w:sz w:val="32"/>
        </w:rPr>
        <w:t>包括：基本工资、津贴补贴、奖金、机关事业单位基本养老保险缴费、职工基本医疗保险缴费、公务员医疗补助缴费、其他社会保障缴费、住房公积金、其他工资福利支出、退休费。</w:t>
      </w:r>
    </w:p>
    <w:p w14:paraId="34DFAAFA">
      <w:pPr>
        <w:spacing w:line="580" w:lineRule="exact"/>
        <w:ind w:firstLine="640"/>
        <w:jc w:val="both"/>
      </w:pPr>
      <w:r>
        <w:rPr>
          <w:rFonts w:ascii="仿宋_GB2312" w:hAnsi="仿宋_GB2312" w:eastAsia="仿宋_GB2312"/>
          <w:b/>
          <w:sz w:val="32"/>
        </w:rPr>
        <w:t>公用经费2.35万元，</w:t>
      </w:r>
      <w:r>
        <w:rPr>
          <w:rFonts w:ascii="仿宋_GB2312" w:hAnsi="仿宋_GB2312" w:eastAsia="仿宋_GB2312"/>
          <w:b w:val="0"/>
          <w:sz w:val="32"/>
        </w:rPr>
        <w:t>包括：办公费、邮电费、公务用车运行维护费、其他交通费用。</w:t>
      </w:r>
    </w:p>
    <w:p w14:paraId="1ABD47C8">
      <w:pPr>
        <w:spacing w:line="640" w:lineRule="exact"/>
        <w:ind w:firstLine="640"/>
        <w:jc w:val="both"/>
        <w:outlineLvl w:val="2"/>
      </w:pPr>
      <w:r>
        <w:rPr>
          <w:rFonts w:ascii="黑体" w:hAnsi="黑体" w:eastAsia="黑体"/>
          <w:sz w:val="32"/>
        </w:rPr>
        <w:t>七、政府性基金预算财政拨款收入支出决算情况说明</w:t>
      </w:r>
    </w:p>
    <w:p w14:paraId="72C63E6D">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0034FB7C">
      <w:pPr>
        <w:spacing w:line="640" w:lineRule="exact"/>
        <w:ind w:firstLine="640"/>
        <w:jc w:val="both"/>
        <w:outlineLvl w:val="2"/>
      </w:pPr>
      <w:r>
        <w:rPr>
          <w:rFonts w:ascii="黑体" w:hAnsi="黑体" w:eastAsia="黑体"/>
          <w:sz w:val="32"/>
        </w:rPr>
        <w:t>八、国有资本经营预算财政拨款收入支出决算情况说明</w:t>
      </w:r>
    </w:p>
    <w:p w14:paraId="0FA02897">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651CF9C">
      <w:pPr>
        <w:spacing w:line="640" w:lineRule="exact"/>
        <w:ind w:firstLine="640"/>
        <w:jc w:val="both"/>
        <w:outlineLvl w:val="2"/>
      </w:pPr>
      <w:r>
        <w:rPr>
          <w:rFonts w:ascii="黑体" w:hAnsi="黑体" w:eastAsia="黑体"/>
          <w:sz w:val="32"/>
        </w:rPr>
        <w:t>九、财政拨款“三公”经费支出决算情况说明</w:t>
      </w:r>
    </w:p>
    <w:p w14:paraId="27E31F09">
      <w:pPr>
        <w:spacing w:line="580" w:lineRule="exact"/>
        <w:ind w:firstLine="640"/>
        <w:jc w:val="both"/>
      </w:pPr>
      <w:r>
        <w:rPr>
          <w:rFonts w:ascii="仿宋_GB2312" w:hAnsi="仿宋_GB2312" w:eastAsia="仿宋_GB2312"/>
          <w:b/>
          <w:sz w:val="32"/>
        </w:rPr>
        <w:t>2024年度财政拨款“三公”经费支出0.78万元，</w:t>
      </w:r>
      <w:r>
        <w:rPr>
          <w:rFonts w:ascii="仿宋_GB2312" w:hAnsi="仿宋_GB2312" w:eastAsia="仿宋_GB2312"/>
          <w:b w:val="0"/>
          <w:sz w:val="32"/>
        </w:rPr>
        <w:t>比上年增加0.00万元，增长0.00%，主要原因是：</w:t>
      </w:r>
      <w:r>
        <w:rPr>
          <w:rFonts w:hint="eastAsia" w:ascii="仿宋_GB2312" w:hAnsi="仿宋_GB2312" w:eastAsia="仿宋_GB2312"/>
          <w:b w:val="0"/>
          <w:sz w:val="32"/>
          <w:lang w:eastAsia="zh-CN"/>
        </w:rPr>
        <w:t>本单位</w:t>
      </w:r>
      <w:r>
        <w:rPr>
          <w:rFonts w:ascii="仿宋_GB2312" w:hAnsi="仿宋_GB2312" w:eastAsia="仿宋_GB2312"/>
          <w:b w:val="0"/>
          <w:sz w:val="32"/>
        </w:rPr>
        <w:t>“三公”经费与上年一致无变化。其中：因公出国（境）费支出0.00万元，占0.00%，比上年增加0.00万元，增长0.00%，主要原因是：2023年与2024年均未安排因公出国（境）费支出。公务用车购置及运行维护费支出0.78万元，占100.00%，比上年增加0.00万元，增长0.00%，主要原因是：</w:t>
      </w:r>
      <w:r>
        <w:rPr>
          <w:rFonts w:hint="eastAsia" w:ascii="仿宋_GB2312" w:hAnsi="仿宋_GB2312" w:eastAsia="仿宋_GB2312"/>
          <w:b w:val="0"/>
          <w:sz w:val="32"/>
          <w:lang w:eastAsia="zh-CN"/>
        </w:rPr>
        <w:t>本单位</w:t>
      </w:r>
      <w:r>
        <w:rPr>
          <w:rFonts w:ascii="仿宋_GB2312" w:hAnsi="仿宋_GB2312" w:eastAsia="仿宋_GB2312"/>
          <w:b w:val="0"/>
          <w:sz w:val="32"/>
        </w:rPr>
        <w:t>公务用车运行维护费与上年一致无变化。公务接待费支出0.00万元，占0.00%，比上年增加0.00万元，增长0.00%，主要原因是：2023年与2024年均未安排公务接待费支出。</w:t>
      </w:r>
    </w:p>
    <w:p w14:paraId="513B3814">
      <w:pPr>
        <w:spacing w:line="580" w:lineRule="exact"/>
        <w:ind w:firstLine="640"/>
        <w:jc w:val="both"/>
      </w:pPr>
      <w:r>
        <w:rPr>
          <w:rFonts w:ascii="仿宋_GB2312" w:hAnsi="仿宋_GB2312" w:eastAsia="仿宋_GB2312"/>
          <w:b/>
          <w:sz w:val="32"/>
        </w:rPr>
        <w:t>具体情况如下：</w:t>
      </w:r>
    </w:p>
    <w:p w14:paraId="7BD8F2B7">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4031151B">
      <w:pPr>
        <w:spacing w:line="580" w:lineRule="exact"/>
        <w:ind w:firstLine="640"/>
        <w:jc w:val="both"/>
      </w:pPr>
      <w:r>
        <w:rPr>
          <w:rFonts w:ascii="仿宋_GB2312" w:hAnsi="仿宋_GB2312" w:eastAsia="仿宋_GB2312"/>
          <w:b w:val="0"/>
          <w:sz w:val="32"/>
        </w:rPr>
        <w:t>公务用车购置及运行维护费0.78万元，其中：公务用车购置费0.00万元，公务用车运行维护费0.78万元。公务用车运行维护费开支内容包括车辆加油费，车辆维修费，车辆保险费，车辆年审费。公务用车购置数0辆，公务用车保有量1辆。国有资产占用情况中固定资产车辆1辆，与公务用车保有量差异原因是：本单位固定资产车辆与公务用车保有量一致无差异。</w:t>
      </w:r>
    </w:p>
    <w:p w14:paraId="5CB9D7F4">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20F19BB">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0.78万元，决算数0.78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0.78万元，决算数0.78万元，预决算差异率0.00%，主要原因是：严格按照预算执行，预决算无差异。公务接待费全年预算数0.00万元，决算数0.00万元，预决算差异率0.00%，主要原因是：本单位无公务接待费。</w:t>
      </w:r>
    </w:p>
    <w:p w14:paraId="2F631507">
      <w:pPr>
        <w:spacing w:line="640" w:lineRule="exact"/>
        <w:ind w:firstLine="640"/>
        <w:jc w:val="both"/>
        <w:outlineLvl w:val="2"/>
      </w:pPr>
      <w:r>
        <w:rPr>
          <w:rFonts w:ascii="黑体" w:hAnsi="黑体" w:eastAsia="黑体"/>
          <w:sz w:val="32"/>
        </w:rPr>
        <w:t>十、其他重要事项的情况说明</w:t>
      </w:r>
    </w:p>
    <w:p w14:paraId="4A6D1E86">
      <w:pPr>
        <w:spacing w:line="640" w:lineRule="exact"/>
        <w:ind w:firstLine="640"/>
        <w:jc w:val="both"/>
        <w:outlineLvl w:val="3"/>
      </w:pPr>
      <w:r>
        <w:rPr>
          <w:rFonts w:ascii="楷体_GB2312" w:hAnsi="楷体_GB2312" w:eastAsia="楷体_GB2312"/>
          <w:b/>
          <w:sz w:val="32"/>
        </w:rPr>
        <w:t>（一）机关运行经费及公用经费支出情况</w:t>
      </w:r>
    </w:p>
    <w:p w14:paraId="068E8C8F">
      <w:pPr>
        <w:spacing w:line="580" w:lineRule="exact"/>
        <w:ind w:firstLine="640"/>
        <w:jc w:val="both"/>
      </w:pPr>
      <w:r>
        <w:rPr>
          <w:rFonts w:ascii="仿宋_GB2312" w:hAnsi="仿宋_GB2312" w:eastAsia="仿宋_GB2312"/>
          <w:b w:val="0"/>
          <w:sz w:val="32"/>
        </w:rPr>
        <w:t>2024年度中共疏勒县委员会机构编制委员会办公室（行政单位和参照公务员法管理事业单位）机关运行经费支出2.35万元，比上年减少0.62万元，下降20.88%，主要原因是：严格控制支出，厉行节约，压缩开支，合理节约办公用品，减少不必要开支。</w:t>
      </w:r>
    </w:p>
    <w:p w14:paraId="6E900154">
      <w:pPr>
        <w:spacing w:line="640" w:lineRule="exact"/>
        <w:ind w:firstLine="640"/>
        <w:jc w:val="both"/>
        <w:outlineLvl w:val="3"/>
      </w:pPr>
      <w:r>
        <w:rPr>
          <w:rFonts w:ascii="楷体_GB2312" w:hAnsi="楷体_GB2312" w:eastAsia="楷体_GB2312"/>
          <w:b/>
          <w:sz w:val="32"/>
        </w:rPr>
        <w:t>（二）政府采购情况</w:t>
      </w:r>
    </w:p>
    <w:p w14:paraId="5D89DBBB">
      <w:pPr>
        <w:spacing w:line="580" w:lineRule="exact"/>
        <w:ind w:firstLine="640"/>
        <w:jc w:val="both"/>
      </w:pPr>
      <w:r>
        <w:rPr>
          <w:rFonts w:ascii="仿宋_GB2312" w:hAnsi="仿宋_GB2312" w:eastAsia="仿宋_GB2312"/>
          <w:b w:val="0"/>
          <w:sz w:val="32"/>
        </w:rPr>
        <w:t>2024年度政府采购支出总额0.37万元，其中：政府采购货物支出0.09万元、政府采购工程支出0.00万元、政府采购服务支出0.29万元。</w:t>
      </w:r>
    </w:p>
    <w:p w14:paraId="4D29E697">
      <w:pPr>
        <w:spacing w:line="580" w:lineRule="exact"/>
        <w:ind w:firstLine="640"/>
        <w:jc w:val="both"/>
      </w:pPr>
      <w:r>
        <w:rPr>
          <w:rFonts w:ascii="仿宋_GB2312" w:hAnsi="仿宋_GB2312" w:eastAsia="仿宋_GB2312"/>
          <w:b w:val="0"/>
          <w:sz w:val="32"/>
        </w:rPr>
        <w:t>授予中小企业合同金额0.37万元，占政府采购支出总额的100.00%，其中：授予小微企业合同金额0.37万元，占政府采购支出总额的100.00%。</w:t>
      </w:r>
    </w:p>
    <w:p w14:paraId="404374BF">
      <w:pPr>
        <w:spacing w:line="640" w:lineRule="exact"/>
        <w:ind w:firstLine="640"/>
        <w:jc w:val="both"/>
        <w:outlineLvl w:val="3"/>
      </w:pPr>
      <w:r>
        <w:rPr>
          <w:rFonts w:ascii="楷体_GB2312" w:hAnsi="楷体_GB2312" w:eastAsia="楷体_GB2312"/>
          <w:b/>
          <w:sz w:val="32"/>
        </w:rPr>
        <w:t>（三）国有资产占用情况说明</w:t>
      </w:r>
    </w:p>
    <w:p w14:paraId="2D42C0D1">
      <w:pPr>
        <w:spacing w:line="580" w:lineRule="exact"/>
        <w:ind w:firstLine="640"/>
        <w:jc w:val="both"/>
      </w:pPr>
      <w:r>
        <w:rPr>
          <w:rFonts w:ascii="仿宋_GB2312" w:hAnsi="仿宋_GB2312" w:eastAsia="仿宋_GB2312"/>
          <w:b w:val="0"/>
          <w:sz w:val="32"/>
        </w:rPr>
        <w:t>截至2024年12月31日，房屋0.00平方米，价值0.00万元。车辆1辆，价值9.20万元，其中：副部（省）级及以上领导用车0辆、主要负责人用车0辆、机要通信用车0辆、应急保障用车0辆、执法执勤用车0辆、特种专业技术用车0辆、离退休干部服务用车0辆、其他用车1辆，其他用车主要是：单位公务用车。单价100万元（含）以上设备（不含车辆）0台（套）。</w:t>
      </w:r>
    </w:p>
    <w:p w14:paraId="5E0AD10D">
      <w:pPr>
        <w:spacing w:line="640" w:lineRule="exact"/>
        <w:ind w:firstLine="640"/>
        <w:jc w:val="both"/>
        <w:outlineLvl w:val="2"/>
      </w:pPr>
      <w:r>
        <w:rPr>
          <w:rFonts w:ascii="黑体" w:hAnsi="黑体" w:eastAsia="黑体"/>
          <w:sz w:val="32"/>
        </w:rPr>
        <w:t>十一、预算绩效的情况说明</w:t>
      </w:r>
    </w:p>
    <w:p w14:paraId="2382CAF6">
      <w:pPr>
        <w:spacing w:line="580" w:lineRule="exact"/>
        <w:ind w:firstLine="640"/>
        <w:jc w:val="both"/>
        <w:rPr>
          <w:rFonts w:hint="eastAsia" w:eastAsia="仿宋_GB2312"/>
          <w:lang w:eastAsia="zh-CN"/>
        </w:rPr>
      </w:pPr>
      <w:r>
        <w:rPr>
          <w:rFonts w:ascii="仿宋_GB2312" w:hAnsi="仿宋_GB2312" w:eastAsia="仿宋_GB2312"/>
          <w:b w:val="0"/>
          <w:sz w:val="32"/>
        </w:rPr>
        <w:t>根据预算绩效管理要求，本单位2024年度预算绩效管理形成整体支出绩效自评表1个，全年预算总额167.89万元，实际执行总额167.89万元；预算绩效评价项目0个，全年预算数0.00万元，全年执行数0.00万元。预算绩效管理取得的成效：本单位无项目绩效自评表。发现的问题及原因：本单位无项目绩效自评表。下一步改进措施：本单位无项目绩效自评表。</w:t>
      </w:r>
      <w:r>
        <w:rPr>
          <w:rFonts w:hint="eastAsia" w:ascii="仿宋_GB2312" w:hAnsi="仿宋_GB2312" w:eastAsia="仿宋_GB2312"/>
          <w:b w:val="0"/>
          <w:sz w:val="32"/>
          <w:lang w:eastAsia="zh-CN"/>
        </w:rPr>
        <w:t>具体附整体支出绩效自评表。</w:t>
      </w:r>
    </w:p>
    <w:p w14:paraId="4F13C361">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1069"/>
        <w:gridCol w:w="897"/>
        <w:gridCol w:w="983"/>
        <w:gridCol w:w="983"/>
        <w:gridCol w:w="983"/>
        <w:gridCol w:w="983"/>
        <w:gridCol w:w="983"/>
      </w:tblGrid>
      <w:tr w14:paraId="40E5058C">
        <w:tblPrEx>
          <w:tblCellMar>
            <w:top w:w="0" w:type="dxa"/>
            <w:left w:w="108" w:type="dxa"/>
            <w:bottom w:w="0" w:type="dxa"/>
            <w:right w:w="108" w:type="dxa"/>
          </w:tblCellMar>
        </w:tblPrEx>
        <w:tc>
          <w:tcPr>
            <w:tcW w:w="8847" w:type="dxa"/>
            <w:gridSpan w:val="9"/>
            <w:vAlign w:val="center"/>
          </w:tcPr>
          <w:p w14:paraId="7C87855C">
            <w:pPr>
              <w:jc w:val="center"/>
            </w:pPr>
            <w:r>
              <w:rPr>
                <w:rFonts w:ascii="宋体" w:hAnsi="宋体" w:eastAsia="宋体"/>
                <w:sz w:val="24"/>
              </w:rPr>
              <w:t>单位整体支出绩效自评表</w:t>
            </w:r>
          </w:p>
        </w:tc>
      </w:tr>
      <w:tr w14:paraId="562F22B3">
        <w:tblPrEx>
          <w:tblCellMar>
            <w:top w:w="0" w:type="dxa"/>
            <w:left w:w="108" w:type="dxa"/>
            <w:bottom w:w="0" w:type="dxa"/>
            <w:right w:w="108" w:type="dxa"/>
          </w:tblCellMar>
        </w:tblPrEx>
        <w:tc>
          <w:tcPr>
            <w:tcW w:w="8847" w:type="dxa"/>
            <w:gridSpan w:val="9"/>
            <w:vAlign w:val="center"/>
          </w:tcPr>
          <w:p w14:paraId="5497604A">
            <w:pPr>
              <w:jc w:val="center"/>
            </w:pPr>
            <w:r>
              <w:rPr>
                <w:rFonts w:ascii="宋体" w:hAnsi="宋体" w:eastAsia="宋体"/>
                <w:sz w:val="24"/>
              </w:rPr>
              <w:t>（2024年度）</w:t>
            </w:r>
          </w:p>
        </w:tc>
      </w:tr>
      <w:tr w14:paraId="7EF95C0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953954">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75B21D9">
            <w:pPr>
              <w:jc w:val="center"/>
            </w:pPr>
            <w:r>
              <w:rPr>
                <w:rFonts w:ascii="宋体" w:hAnsi="宋体" w:eastAsia="宋体"/>
                <w:sz w:val="16"/>
              </w:rPr>
              <w:t>中共疏勒县委员会机构编制委员会办公室</w:t>
            </w:r>
          </w:p>
        </w:tc>
      </w:tr>
      <w:tr w14:paraId="39CAE00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92DA36">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A3F1FE">
            <w:pPr>
              <w:jc w:val="center"/>
            </w:pPr>
            <w:r>
              <w:rPr>
                <w:rFonts w:ascii="宋体" w:hAnsi="宋体" w:eastAsia="宋体"/>
                <w:sz w:val="16"/>
              </w:rPr>
              <w:t>资金来源</w:t>
            </w:r>
          </w:p>
        </w:tc>
        <w:tc>
          <w:tcPr>
            <w:tcW w:w="1069" w:type="dxa"/>
            <w:tcBorders>
              <w:top w:val="single" w:color="auto" w:sz="10" w:space="0"/>
              <w:left w:val="single" w:color="auto" w:sz="10" w:space="0"/>
              <w:bottom w:val="single" w:color="auto" w:sz="10" w:space="0"/>
              <w:right w:val="single" w:color="auto" w:sz="10" w:space="0"/>
              <w:insideV w:val="single" w:sz="10" w:space="0"/>
            </w:tcBorders>
            <w:vAlign w:val="center"/>
          </w:tcPr>
          <w:p w14:paraId="33706AD6">
            <w:pPr>
              <w:jc w:val="center"/>
            </w:pPr>
            <w:r>
              <w:rPr>
                <w:rFonts w:ascii="宋体" w:hAnsi="宋体" w:eastAsia="宋体"/>
                <w:sz w:val="16"/>
              </w:rPr>
              <w:t>年初预算数</w:t>
            </w:r>
          </w:p>
        </w:tc>
        <w:tc>
          <w:tcPr>
            <w:tcW w:w="897" w:type="dxa"/>
            <w:tcBorders>
              <w:top w:val="single" w:color="auto" w:sz="10" w:space="0"/>
              <w:left w:val="single" w:color="auto" w:sz="10" w:space="0"/>
              <w:bottom w:val="single" w:color="auto" w:sz="10" w:space="0"/>
              <w:right w:val="single" w:color="auto" w:sz="10" w:space="0"/>
              <w:insideV w:val="single" w:sz="10" w:space="0"/>
            </w:tcBorders>
            <w:vAlign w:val="center"/>
          </w:tcPr>
          <w:p w14:paraId="2CF2E76F">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027214">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BEA8E1">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2ECF1B">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BB2E76">
            <w:pPr>
              <w:jc w:val="center"/>
            </w:pPr>
            <w:r>
              <w:rPr>
                <w:rFonts w:ascii="宋体" w:hAnsi="宋体" w:eastAsia="宋体"/>
                <w:sz w:val="16"/>
              </w:rPr>
              <w:t>得分</w:t>
            </w:r>
          </w:p>
        </w:tc>
      </w:tr>
      <w:tr w14:paraId="58882F1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930FB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633D4C">
            <w:pPr>
              <w:jc w:val="center"/>
            </w:pPr>
            <w:r>
              <w:rPr>
                <w:rFonts w:ascii="宋体" w:hAnsi="宋体" w:eastAsia="宋体"/>
                <w:sz w:val="16"/>
              </w:rPr>
              <w:t>年度总资金：</w:t>
            </w:r>
          </w:p>
        </w:tc>
        <w:tc>
          <w:tcPr>
            <w:tcW w:w="1069" w:type="dxa"/>
            <w:tcBorders>
              <w:top w:val="single" w:color="auto" w:sz="10" w:space="0"/>
              <w:left w:val="single" w:color="auto" w:sz="10" w:space="0"/>
              <w:bottom w:val="single" w:color="auto" w:sz="10" w:space="0"/>
              <w:right w:val="single" w:color="auto" w:sz="10" w:space="0"/>
              <w:insideV w:val="single" w:sz="10" w:space="0"/>
            </w:tcBorders>
            <w:vAlign w:val="center"/>
          </w:tcPr>
          <w:p w14:paraId="4E8804F0">
            <w:pPr>
              <w:jc w:val="center"/>
            </w:pPr>
            <w:r>
              <w:rPr>
                <w:rFonts w:ascii="宋体" w:hAnsi="宋体" w:eastAsia="宋体"/>
                <w:sz w:val="16"/>
              </w:rPr>
              <w:t>148.35</w:t>
            </w:r>
          </w:p>
        </w:tc>
        <w:tc>
          <w:tcPr>
            <w:tcW w:w="897" w:type="dxa"/>
            <w:tcBorders>
              <w:top w:val="single" w:color="auto" w:sz="10" w:space="0"/>
              <w:left w:val="single" w:color="auto" w:sz="10" w:space="0"/>
              <w:bottom w:val="single" w:color="auto" w:sz="10" w:space="0"/>
              <w:right w:val="single" w:color="auto" w:sz="10" w:space="0"/>
              <w:insideV w:val="single" w:sz="10" w:space="0"/>
            </w:tcBorders>
            <w:vAlign w:val="center"/>
          </w:tcPr>
          <w:p w14:paraId="3B95F64B">
            <w:pPr>
              <w:jc w:val="center"/>
            </w:pPr>
            <w:r>
              <w:rPr>
                <w:rFonts w:ascii="宋体" w:hAnsi="宋体" w:eastAsia="宋体"/>
                <w:sz w:val="16"/>
              </w:rPr>
              <w:t>167.89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1B5576">
            <w:pPr>
              <w:jc w:val="center"/>
            </w:pPr>
            <w:r>
              <w:rPr>
                <w:rFonts w:ascii="宋体" w:hAnsi="宋体" w:eastAsia="宋体"/>
                <w:sz w:val="16"/>
              </w:rPr>
              <w:t>167.89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001E2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B1EDBF">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B42249">
            <w:pPr>
              <w:jc w:val="center"/>
            </w:pPr>
            <w:r>
              <w:rPr>
                <w:rFonts w:ascii="宋体" w:hAnsi="宋体" w:eastAsia="宋体"/>
                <w:sz w:val="16"/>
              </w:rPr>
              <w:t>10</w:t>
            </w:r>
          </w:p>
        </w:tc>
      </w:tr>
      <w:tr w14:paraId="682E75B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62D7E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694D6D">
            <w:pPr>
              <w:jc w:val="center"/>
            </w:pPr>
            <w:r>
              <w:rPr>
                <w:rFonts w:ascii="宋体" w:hAnsi="宋体" w:eastAsia="宋体"/>
                <w:sz w:val="16"/>
              </w:rPr>
              <w:t>上级资金：</w:t>
            </w:r>
          </w:p>
        </w:tc>
        <w:tc>
          <w:tcPr>
            <w:tcW w:w="1069" w:type="dxa"/>
            <w:tcBorders>
              <w:top w:val="single" w:color="auto" w:sz="10" w:space="0"/>
              <w:left w:val="single" w:color="auto" w:sz="10" w:space="0"/>
              <w:bottom w:val="single" w:color="auto" w:sz="10" w:space="0"/>
              <w:right w:val="single" w:color="auto" w:sz="10" w:space="0"/>
              <w:insideV w:val="single" w:sz="10" w:space="0"/>
            </w:tcBorders>
            <w:vAlign w:val="center"/>
          </w:tcPr>
          <w:p w14:paraId="0616BF53">
            <w:pPr>
              <w:jc w:val="center"/>
            </w:pPr>
            <w:r>
              <w:rPr>
                <w:rFonts w:ascii="宋体" w:hAnsi="宋体" w:eastAsia="宋体"/>
                <w:sz w:val="16"/>
              </w:rPr>
              <w:t>0.00</w:t>
            </w:r>
          </w:p>
        </w:tc>
        <w:tc>
          <w:tcPr>
            <w:tcW w:w="897" w:type="dxa"/>
            <w:tcBorders>
              <w:top w:val="single" w:color="auto" w:sz="10" w:space="0"/>
              <w:left w:val="single" w:color="auto" w:sz="10" w:space="0"/>
              <w:bottom w:val="single" w:color="auto" w:sz="10" w:space="0"/>
              <w:right w:val="single" w:color="auto" w:sz="10" w:space="0"/>
              <w:insideV w:val="single" w:sz="10" w:space="0"/>
            </w:tcBorders>
            <w:vAlign w:val="center"/>
          </w:tcPr>
          <w:p w14:paraId="3C3EA7E4">
            <w:pPr>
              <w:jc w:val="center"/>
            </w:pPr>
            <w:r>
              <w:rPr>
                <w:rFonts w:ascii="宋体" w:hAnsi="宋体" w:eastAsia="宋体"/>
                <w:sz w:val="16"/>
              </w:rPr>
              <w:t>7.59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DA8697">
            <w:pPr>
              <w:jc w:val="center"/>
            </w:pPr>
            <w:r>
              <w:rPr>
                <w:rFonts w:ascii="宋体" w:hAnsi="宋体" w:eastAsia="宋体"/>
                <w:sz w:val="16"/>
              </w:rPr>
              <w:t>7.59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58473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344904">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8D6496">
            <w:pPr>
              <w:jc w:val="center"/>
            </w:pPr>
            <w:r>
              <w:rPr>
                <w:rFonts w:ascii="宋体" w:hAnsi="宋体" w:eastAsia="宋体"/>
                <w:sz w:val="16"/>
              </w:rPr>
              <w:t>—</w:t>
            </w:r>
          </w:p>
        </w:tc>
      </w:tr>
      <w:tr w14:paraId="2729CAD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5DEFA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B5442F">
            <w:pPr>
              <w:jc w:val="center"/>
            </w:pPr>
            <w:r>
              <w:rPr>
                <w:rFonts w:ascii="宋体" w:hAnsi="宋体" w:eastAsia="宋体"/>
                <w:sz w:val="16"/>
              </w:rPr>
              <w:t>本级资金：</w:t>
            </w:r>
          </w:p>
        </w:tc>
        <w:tc>
          <w:tcPr>
            <w:tcW w:w="1069" w:type="dxa"/>
            <w:tcBorders>
              <w:top w:val="single" w:color="auto" w:sz="10" w:space="0"/>
              <w:left w:val="single" w:color="auto" w:sz="10" w:space="0"/>
              <w:bottom w:val="single" w:color="auto" w:sz="10" w:space="0"/>
              <w:right w:val="single" w:color="auto" w:sz="10" w:space="0"/>
              <w:insideV w:val="single" w:sz="10" w:space="0"/>
            </w:tcBorders>
            <w:vAlign w:val="center"/>
          </w:tcPr>
          <w:p w14:paraId="34B1056F">
            <w:pPr>
              <w:jc w:val="center"/>
            </w:pPr>
            <w:r>
              <w:rPr>
                <w:rFonts w:ascii="宋体" w:hAnsi="宋体" w:eastAsia="宋体"/>
                <w:sz w:val="16"/>
              </w:rPr>
              <w:t>148.35</w:t>
            </w:r>
          </w:p>
        </w:tc>
        <w:tc>
          <w:tcPr>
            <w:tcW w:w="897" w:type="dxa"/>
            <w:tcBorders>
              <w:top w:val="single" w:color="auto" w:sz="10" w:space="0"/>
              <w:left w:val="single" w:color="auto" w:sz="10" w:space="0"/>
              <w:bottom w:val="single" w:color="auto" w:sz="10" w:space="0"/>
              <w:right w:val="single" w:color="auto" w:sz="10" w:space="0"/>
              <w:insideV w:val="single" w:sz="10" w:space="0"/>
            </w:tcBorders>
            <w:vAlign w:val="center"/>
          </w:tcPr>
          <w:p w14:paraId="3241BD73">
            <w:pPr>
              <w:jc w:val="center"/>
            </w:pPr>
            <w:r>
              <w:rPr>
                <w:rFonts w:ascii="宋体" w:hAnsi="宋体" w:eastAsia="宋体"/>
                <w:sz w:val="16"/>
              </w:rPr>
              <w:t>160.30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4A5AA2">
            <w:pPr>
              <w:jc w:val="center"/>
            </w:pPr>
            <w:r>
              <w:rPr>
                <w:rFonts w:ascii="宋体" w:hAnsi="宋体" w:eastAsia="宋体"/>
                <w:sz w:val="16"/>
              </w:rPr>
              <w:t>160.30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4B069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22AED4">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287663">
            <w:pPr>
              <w:jc w:val="center"/>
            </w:pPr>
            <w:r>
              <w:rPr>
                <w:rFonts w:ascii="宋体" w:hAnsi="宋体" w:eastAsia="宋体"/>
                <w:sz w:val="16"/>
              </w:rPr>
              <w:t>—</w:t>
            </w:r>
          </w:p>
        </w:tc>
      </w:tr>
      <w:tr w14:paraId="32A4DA0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3528C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CB7D18">
            <w:pPr>
              <w:jc w:val="center"/>
            </w:pPr>
            <w:r>
              <w:rPr>
                <w:rFonts w:ascii="宋体" w:hAnsi="宋体" w:eastAsia="宋体"/>
                <w:sz w:val="16"/>
              </w:rPr>
              <w:t>其他资金：</w:t>
            </w:r>
          </w:p>
        </w:tc>
        <w:tc>
          <w:tcPr>
            <w:tcW w:w="1069" w:type="dxa"/>
            <w:tcBorders>
              <w:top w:val="single" w:color="auto" w:sz="10" w:space="0"/>
              <w:left w:val="single" w:color="auto" w:sz="10" w:space="0"/>
              <w:bottom w:val="single" w:color="auto" w:sz="10" w:space="0"/>
              <w:right w:val="single" w:color="auto" w:sz="10" w:space="0"/>
              <w:insideV w:val="single" w:sz="10" w:space="0"/>
            </w:tcBorders>
            <w:vAlign w:val="center"/>
          </w:tcPr>
          <w:p w14:paraId="41DFFFC3">
            <w:pPr>
              <w:jc w:val="center"/>
            </w:pPr>
            <w:r>
              <w:rPr>
                <w:rFonts w:ascii="宋体" w:hAnsi="宋体" w:eastAsia="宋体"/>
                <w:sz w:val="16"/>
              </w:rPr>
              <w:t>0.00</w:t>
            </w:r>
          </w:p>
        </w:tc>
        <w:tc>
          <w:tcPr>
            <w:tcW w:w="897" w:type="dxa"/>
            <w:tcBorders>
              <w:top w:val="single" w:color="auto" w:sz="10" w:space="0"/>
              <w:left w:val="single" w:color="auto" w:sz="10" w:space="0"/>
              <w:bottom w:val="single" w:color="auto" w:sz="10" w:space="0"/>
              <w:right w:val="single" w:color="auto" w:sz="10" w:space="0"/>
              <w:insideV w:val="single" w:sz="10" w:space="0"/>
            </w:tcBorders>
            <w:vAlign w:val="center"/>
          </w:tcPr>
          <w:p w14:paraId="68383CB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8471E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26C74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E03477">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A61DDF">
            <w:pPr>
              <w:jc w:val="center"/>
            </w:pPr>
            <w:r>
              <w:rPr>
                <w:rFonts w:ascii="宋体" w:hAnsi="宋体" w:eastAsia="宋体"/>
                <w:sz w:val="16"/>
              </w:rPr>
              <w:t>—</w:t>
            </w:r>
          </w:p>
        </w:tc>
      </w:tr>
      <w:tr w14:paraId="5876CC5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F7AFB7">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53C881D">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E171CB4">
            <w:pPr>
              <w:jc w:val="center"/>
            </w:pPr>
            <w:r>
              <w:rPr>
                <w:rFonts w:ascii="宋体" w:hAnsi="宋体" w:eastAsia="宋体"/>
                <w:sz w:val="16"/>
              </w:rPr>
              <w:t>实际完成情况</w:t>
            </w:r>
          </w:p>
        </w:tc>
      </w:tr>
      <w:tr w14:paraId="28A5773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D7F75B"/>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1281062">
            <w:pPr>
              <w:jc w:val="both"/>
            </w:pPr>
            <w:r>
              <w:rPr>
                <w:rFonts w:ascii="宋体" w:hAnsi="宋体" w:eastAsia="宋体"/>
                <w:sz w:val="16"/>
              </w:rPr>
              <w:t>以习近平新时代中国特色社会主义思想指导机构编制工作，充分发挥县委编委办事机构的参谋助手作用，以“三定”工作为抓手完善党政机构职能体系，深化党和国家机构改革，深入推进事业单位改革，落实好县委、县政府的各项工作，统筹用好各类编制资源，做好事业单位法人登记工作，加强《中国共产党机构编制工作条例》及其配套法规制度培训宣传，持续推进机构编制法定化，加强机构编制监督检查，有效提升</w:t>
            </w:r>
            <w:r>
              <w:rPr>
                <w:rFonts w:hint="eastAsia" w:ascii="宋体" w:hAnsi="宋体"/>
                <w:sz w:val="16"/>
                <w:lang w:eastAsia="zh-CN"/>
              </w:rPr>
              <w:t>本单位</w:t>
            </w:r>
            <w:r>
              <w:rPr>
                <w:rFonts w:ascii="宋体" w:hAnsi="宋体" w:eastAsia="宋体"/>
                <w:sz w:val="16"/>
              </w:rPr>
              <w:t>公共服务水平和公共服务能力。</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481FE59">
            <w:pPr>
              <w:jc w:val="both"/>
            </w:pPr>
            <w:r>
              <w:rPr>
                <w:rFonts w:ascii="宋体" w:hAnsi="宋体" w:eastAsia="宋体"/>
                <w:sz w:val="16"/>
              </w:rPr>
              <w:t>以习近平新时代中国特色社会主义思想指导机构编制工作，充分发挥县委编委办事机构的参谋助手作用，以“三定”工作为抓手完善党政机构职能体系，深化党和国家机构改革，深入推进事业单位改革，开展党政机构改革数37个，落实好县委、县政府的各项工作，统筹用好各类编制资源，做好事业单位法人登记工作，已完成年度报告公示的单位192家，加强《中国共产党机构编制工作条例》及其配套法规制度培训宣传，持续推进机构编制法定化，深入基层一线开展调研1次，形成调研报告一篇，加强机构编制监督检查，开展业务会议4次和业务培训2次，有效提升</w:t>
            </w:r>
            <w:r>
              <w:rPr>
                <w:rFonts w:hint="eastAsia" w:ascii="宋体" w:hAnsi="宋体"/>
                <w:sz w:val="16"/>
                <w:lang w:eastAsia="zh-CN"/>
              </w:rPr>
              <w:t>本单位</w:t>
            </w:r>
            <w:r>
              <w:rPr>
                <w:rFonts w:ascii="宋体" w:hAnsi="宋体" w:eastAsia="宋体"/>
                <w:sz w:val="16"/>
              </w:rPr>
              <w:t>公共服务水平和公共服务能力。</w:t>
            </w:r>
          </w:p>
        </w:tc>
      </w:tr>
      <w:tr w14:paraId="76D7CC8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8C0687">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063D1E">
            <w:pPr>
              <w:jc w:val="center"/>
            </w:pPr>
            <w:r>
              <w:rPr>
                <w:rFonts w:ascii="宋体" w:hAnsi="宋体" w:eastAsia="宋体"/>
                <w:sz w:val="16"/>
              </w:rPr>
              <w:t>二级指标</w:t>
            </w:r>
          </w:p>
        </w:tc>
        <w:tc>
          <w:tcPr>
            <w:tcW w:w="1069" w:type="dxa"/>
            <w:tcBorders>
              <w:top w:val="single" w:color="auto" w:sz="10" w:space="0"/>
              <w:left w:val="single" w:color="auto" w:sz="10" w:space="0"/>
              <w:bottom w:val="single" w:color="auto" w:sz="10" w:space="0"/>
              <w:right w:val="single" w:color="auto" w:sz="10" w:space="0"/>
              <w:insideV w:val="single" w:sz="10" w:space="0"/>
            </w:tcBorders>
            <w:vAlign w:val="center"/>
          </w:tcPr>
          <w:p w14:paraId="665A85F1">
            <w:pPr>
              <w:jc w:val="center"/>
            </w:pPr>
            <w:r>
              <w:rPr>
                <w:rFonts w:ascii="宋体" w:hAnsi="宋体" w:eastAsia="宋体"/>
                <w:sz w:val="16"/>
              </w:rPr>
              <w:t>三级指标</w:t>
            </w:r>
          </w:p>
        </w:tc>
        <w:tc>
          <w:tcPr>
            <w:tcW w:w="897" w:type="dxa"/>
            <w:tcBorders>
              <w:top w:val="single" w:color="auto" w:sz="10" w:space="0"/>
              <w:left w:val="single" w:color="auto" w:sz="10" w:space="0"/>
              <w:bottom w:val="single" w:color="auto" w:sz="10" w:space="0"/>
              <w:right w:val="single" w:color="auto" w:sz="10" w:space="0"/>
              <w:insideV w:val="single" w:sz="10" w:space="0"/>
            </w:tcBorders>
            <w:vAlign w:val="center"/>
          </w:tcPr>
          <w:p w14:paraId="6A30B903">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B8B9E3">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7D8B9E">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74888C">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F78F3F">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6C9674">
            <w:pPr>
              <w:jc w:val="center"/>
            </w:pPr>
            <w:r>
              <w:rPr>
                <w:rFonts w:ascii="宋体" w:hAnsi="宋体" w:eastAsia="宋体"/>
                <w:sz w:val="16"/>
              </w:rPr>
              <w:t>得分</w:t>
            </w:r>
          </w:p>
        </w:tc>
      </w:tr>
      <w:tr w14:paraId="2082EF9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8AF242">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018176">
            <w:pPr>
              <w:jc w:val="center"/>
            </w:pPr>
            <w:r>
              <w:rPr>
                <w:rFonts w:ascii="宋体" w:hAnsi="宋体" w:eastAsia="宋体"/>
                <w:sz w:val="16"/>
              </w:rPr>
              <w:t>数量指标</w:t>
            </w:r>
          </w:p>
        </w:tc>
        <w:tc>
          <w:tcPr>
            <w:tcW w:w="1069" w:type="dxa"/>
            <w:tcBorders>
              <w:top w:val="single" w:color="auto" w:sz="10" w:space="0"/>
              <w:left w:val="single" w:color="auto" w:sz="10" w:space="0"/>
              <w:bottom w:val="single" w:color="auto" w:sz="10" w:space="0"/>
              <w:right w:val="single" w:color="auto" w:sz="10" w:space="0"/>
              <w:insideV w:val="single" w:sz="10" w:space="0"/>
            </w:tcBorders>
            <w:vAlign w:val="center"/>
          </w:tcPr>
          <w:p w14:paraId="234287FB">
            <w:pPr>
              <w:jc w:val="center"/>
            </w:pPr>
            <w:r>
              <w:rPr>
                <w:rFonts w:ascii="宋体" w:hAnsi="宋体" w:eastAsia="宋体"/>
                <w:sz w:val="16"/>
              </w:rPr>
              <w:t>事业单位年度报告公示数</w:t>
            </w:r>
          </w:p>
        </w:tc>
        <w:tc>
          <w:tcPr>
            <w:tcW w:w="897" w:type="dxa"/>
            <w:tcBorders>
              <w:top w:val="single" w:color="auto" w:sz="10" w:space="0"/>
              <w:left w:val="single" w:color="auto" w:sz="10" w:space="0"/>
              <w:bottom w:val="single" w:color="auto" w:sz="10" w:space="0"/>
              <w:right w:val="single" w:color="auto" w:sz="10" w:space="0"/>
              <w:insideV w:val="single" w:sz="10" w:space="0"/>
            </w:tcBorders>
            <w:vAlign w:val="center"/>
          </w:tcPr>
          <w:p w14:paraId="2952F8BF">
            <w:pPr>
              <w:jc w:val="center"/>
            </w:pPr>
            <w:r>
              <w:rPr>
                <w:rFonts w:ascii="宋体" w:hAnsi="宋体" w:eastAsia="宋体"/>
                <w:sz w:val="16"/>
              </w:rPr>
              <w:t>&gt;=191个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F038DB">
            <w:pPr>
              <w:jc w:val="center"/>
            </w:pPr>
            <w:r>
              <w:rPr>
                <w:rFonts w:ascii="宋体" w:hAnsi="宋体" w:eastAsia="宋体"/>
                <w:sz w:val="16"/>
              </w:rPr>
              <w:t>2024年度工作计划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57D85E">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869C75">
            <w:pPr>
              <w:jc w:val="center"/>
            </w:pPr>
            <w:r>
              <w:rPr>
                <w:rFonts w:ascii="宋体" w:hAnsi="宋体" w:eastAsia="宋体"/>
                <w:sz w:val="16"/>
              </w:rPr>
              <w:t>192个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7A595C">
            <w:pPr>
              <w:jc w:val="center"/>
            </w:pPr>
            <w:r>
              <w:rPr>
                <w:rFonts w:ascii="宋体" w:hAnsi="宋体" w:eastAsia="宋体"/>
                <w:sz w:val="16"/>
              </w:rPr>
              <w:t>100.52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6522BE">
            <w:pPr>
              <w:jc w:val="center"/>
            </w:pPr>
            <w:r>
              <w:rPr>
                <w:rFonts w:ascii="宋体" w:hAnsi="宋体" w:eastAsia="宋体"/>
                <w:sz w:val="16"/>
              </w:rPr>
              <w:t>15</w:t>
            </w:r>
          </w:p>
        </w:tc>
      </w:tr>
      <w:tr w14:paraId="5152EE8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DA88E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0F8696"/>
        </w:tc>
        <w:tc>
          <w:tcPr>
            <w:tcW w:w="1069" w:type="dxa"/>
            <w:tcBorders>
              <w:top w:val="single" w:color="auto" w:sz="10" w:space="0"/>
              <w:left w:val="single" w:color="auto" w:sz="10" w:space="0"/>
              <w:bottom w:val="single" w:color="auto" w:sz="10" w:space="0"/>
              <w:right w:val="single" w:color="auto" w:sz="10" w:space="0"/>
              <w:insideV w:val="single" w:sz="10" w:space="0"/>
            </w:tcBorders>
            <w:vAlign w:val="center"/>
          </w:tcPr>
          <w:p w14:paraId="4CBF4C66">
            <w:pPr>
              <w:jc w:val="center"/>
            </w:pPr>
            <w:r>
              <w:rPr>
                <w:rFonts w:ascii="宋体" w:hAnsi="宋体" w:eastAsia="宋体"/>
                <w:sz w:val="16"/>
              </w:rPr>
              <w:t>机构编制年度报告数</w:t>
            </w:r>
          </w:p>
        </w:tc>
        <w:tc>
          <w:tcPr>
            <w:tcW w:w="897" w:type="dxa"/>
            <w:tcBorders>
              <w:top w:val="single" w:color="auto" w:sz="10" w:space="0"/>
              <w:left w:val="single" w:color="auto" w:sz="10" w:space="0"/>
              <w:bottom w:val="single" w:color="auto" w:sz="10" w:space="0"/>
              <w:right w:val="single" w:color="auto" w:sz="10" w:space="0"/>
              <w:insideV w:val="single" w:sz="10" w:space="0"/>
            </w:tcBorders>
            <w:vAlign w:val="center"/>
          </w:tcPr>
          <w:p w14:paraId="39755B9D">
            <w:pPr>
              <w:jc w:val="center"/>
            </w:pPr>
            <w:r>
              <w:rPr>
                <w:rFonts w:ascii="宋体" w:hAnsi="宋体" w:eastAsia="宋体"/>
                <w:sz w:val="16"/>
              </w:rPr>
              <w:t>&gt;=1次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1CF027">
            <w:pPr>
              <w:jc w:val="center"/>
            </w:pPr>
            <w:r>
              <w:rPr>
                <w:rFonts w:ascii="宋体" w:hAnsi="宋体" w:eastAsia="宋体"/>
                <w:sz w:val="16"/>
              </w:rPr>
              <w:t>2024年度工作计划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AB2563">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AF2E82">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1B0FD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14B0E0">
            <w:pPr>
              <w:jc w:val="center"/>
            </w:pPr>
            <w:r>
              <w:rPr>
                <w:rFonts w:ascii="宋体" w:hAnsi="宋体" w:eastAsia="宋体"/>
                <w:sz w:val="16"/>
              </w:rPr>
              <w:t>15</w:t>
            </w:r>
          </w:p>
        </w:tc>
      </w:tr>
      <w:tr w14:paraId="6ACB97E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29528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952B94"/>
        </w:tc>
        <w:tc>
          <w:tcPr>
            <w:tcW w:w="1069" w:type="dxa"/>
            <w:tcBorders>
              <w:top w:val="single" w:color="auto" w:sz="10" w:space="0"/>
              <w:left w:val="single" w:color="auto" w:sz="10" w:space="0"/>
              <w:bottom w:val="single" w:color="auto" w:sz="10" w:space="0"/>
              <w:right w:val="single" w:color="auto" w:sz="10" w:space="0"/>
              <w:insideV w:val="single" w:sz="10" w:space="0"/>
            </w:tcBorders>
            <w:vAlign w:val="center"/>
          </w:tcPr>
          <w:p w14:paraId="318C7F49">
            <w:pPr>
              <w:jc w:val="center"/>
            </w:pPr>
            <w:r>
              <w:rPr>
                <w:rFonts w:ascii="宋体" w:hAnsi="宋体" w:eastAsia="宋体"/>
                <w:sz w:val="16"/>
              </w:rPr>
              <w:t>召开业务会议次数</w:t>
            </w:r>
          </w:p>
        </w:tc>
        <w:tc>
          <w:tcPr>
            <w:tcW w:w="897" w:type="dxa"/>
            <w:tcBorders>
              <w:top w:val="single" w:color="auto" w:sz="10" w:space="0"/>
              <w:left w:val="single" w:color="auto" w:sz="10" w:space="0"/>
              <w:bottom w:val="single" w:color="auto" w:sz="10" w:space="0"/>
              <w:right w:val="single" w:color="auto" w:sz="10" w:space="0"/>
              <w:insideV w:val="single" w:sz="10" w:space="0"/>
            </w:tcBorders>
            <w:vAlign w:val="center"/>
          </w:tcPr>
          <w:p w14:paraId="1025AEDA">
            <w:pPr>
              <w:jc w:val="center"/>
            </w:pPr>
            <w:r>
              <w:rPr>
                <w:rFonts w:ascii="宋体" w:hAnsi="宋体" w:eastAsia="宋体"/>
                <w:sz w:val="16"/>
              </w:rPr>
              <w:t>&gt;=4次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AD675C">
            <w:pPr>
              <w:jc w:val="center"/>
            </w:pPr>
            <w:r>
              <w:rPr>
                <w:rFonts w:ascii="宋体" w:hAnsi="宋体" w:eastAsia="宋体"/>
                <w:sz w:val="16"/>
              </w:rPr>
              <w:t>2024年度工作计划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943EF1">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B89C62">
            <w:pPr>
              <w:jc w:val="center"/>
            </w:pPr>
            <w:r>
              <w:rPr>
                <w:rFonts w:ascii="宋体" w:hAnsi="宋体" w:eastAsia="宋体"/>
                <w:sz w:val="16"/>
              </w:rPr>
              <w:t>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54A1F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229695">
            <w:pPr>
              <w:jc w:val="center"/>
            </w:pPr>
            <w:r>
              <w:rPr>
                <w:rFonts w:ascii="宋体" w:hAnsi="宋体" w:eastAsia="宋体"/>
                <w:sz w:val="16"/>
              </w:rPr>
              <w:t>15</w:t>
            </w:r>
          </w:p>
        </w:tc>
      </w:tr>
      <w:tr w14:paraId="0506EB9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6E950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31913D"/>
        </w:tc>
        <w:tc>
          <w:tcPr>
            <w:tcW w:w="1069" w:type="dxa"/>
            <w:tcBorders>
              <w:top w:val="single" w:color="auto" w:sz="10" w:space="0"/>
              <w:left w:val="single" w:color="auto" w:sz="10" w:space="0"/>
              <w:bottom w:val="single" w:color="auto" w:sz="10" w:space="0"/>
              <w:right w:val="single" w:color="auto" w:sz="10" w:space="0"/>
              <w:insideV w:val="single" w:sz="10" w:space="0"/>
            </w:tcBorders>
            <w:vAlign w:val="center"/>
          </w:tcPr>
          <w:p w14:paraId="66D4182A">
            <w:pPr>
              <w:jc w:val="center"/>
            </w:pPr>
            <w:r>
              <w:rPr>
                <w:rFonts w:ascii="宋体" w:hAnsi="宋体" w:eastAsia="宋体"/>
                <w:sz w:val="16"/>
              </w:rPr>
              <w:t>开展调查研究次数</w:t>
            </w:r>
          </w:p>
        </w:tc>
        <w:tc>
          <w:tcPr>
            <w:tcW w:w="897" w:type="dxa"/>
            <w:tcBorders>
              <w:top w:val="single" w:color="auto" w:sz="10" w:space="0"/>
              <w:left w:val="single" w:color="auto" w:sz="10" w:space="0"/>
              <w:bottom w:val="single" w:color="auto" w:sz="10" w:space="0"/>
              <w:right w:val="single" w:color="auto" w:sz="10" w:space="0"/>
              <w:insideV w:val="single" w:sz="10" w:space="0"/>
            </w:tcBorders>
            <w:vAlign w:val="center"/>
          </w:tcPr>
          <w:p w14:paraId="11D20E6D">
            <w:pPr>
              <w:jc w:val="center"/>
            </w:pPr>
            <w:r>
              <w:rPr>
                <w:rFonts w:ascii="宋体" w:hAnsi="宋体" w:eastAsia="宋体"/>
                <w:sz w:val="16"/>
              </w:rPr>
              <w:t>&gt;=1次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9411FF">
            <w:pPr>
              <w:jc w:val="center"/>
            </w:pPr>
            <w:r>
              <w:rPr>
                <w:rFonts w:ascii="宋体" w:hAnsi="宋体" w:eastAsia="宋体"/>
                <w:sz w:val="16"/>
              </w:rPr>
              <w:t>2024年度工作计划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D2DAD4">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ABACB4">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FF94B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C4D1F8">
            <w:pPr>
              <w:jc w:val="center"/>
            </w:pPr>
            <w:r>
              <w:rPr>
                <w:rFonts w:ascii="宋体" w:hAnsi="宋体" w:eastAsia="宋体"/>
                <w:sz w:val="16"/>
              </w:rPr>
              <w:t>15</w:t>
            </w:r>
          </w:p>
        </w:tc>
      </w:tr>
      <w:tr w14:paraId="095FC66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4526C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CB3361"/>
        </w:tc>
        <w:tc>
          <w:tcPr>
            <w:tcW w:w="1069" w:type="dxa"/>
            <w:tcBorders>
              <w:top w:val="single" w:color="auto" w:sz="10" w:space="0"/>
              <w:left w:val="single" w:color="auto" w:sz="10" w:space="0"/>
              <w:bottom w:val="single" w:color="auto" w:sz="10" w:space="0"/>
              <w:right w:val="single" w:color="auto" w:sz="10" w:space="0"/>
              <w:insideV w:val="single" w:sz="10" w:space="0"/>
            </w:tcBorders>
            <w:vAlign w:val="center"/>
          </w:tcPr>
          <w:p w14:paraId="6352327C">
            <w:pPr>
              <w:jc w:val="center"/>
            </w:pPr>
            <w:r>
              <w:rPr>
                <w:rFonts w:ascii="宋体" w:hAnsi="宋体" w:eastAsia="宋体"/>
                <w:sz w:val="16"/>
              </w:rPr>
              <w:t>开展党政机构改革数</w:t>
            </w:r>
          </w:p>
        </w:tc>
        <w:tc>
          <w:tcPr>
            <w:tcW w:w="897" w:type="dxa"/>
            <w:tcBorders>
              <w:top w:val="single" w:color="auto" w:sz="10" w:space="0"/>
              <w:left w:val="single" w:color="auto" w:sz="10" w:space="0"/>
              <w:bottom w:val="single" w:color="auto" w:sz="10" w:space="0"/>
              <w:right w:val="single" w:color="auto" w:sz="10" w:space="0"/>
              <w:insideV w:val="single" w:sz="10" w:space="0"/>
            </w:tcBorders>
            <w:vAlign w:val="center"/>
          </w:tcPr>
          <w:p w14:paraId="024BF635">
            <w:pPr>
              <w:jc w:val="center"/>
            </w:pPr>
            <w:r>
              <w:rPr>
                <w:rFonts w:ascii="宋体" w:hAnsi="宋体" w:eastAsia="宋体"/>
                <w:sz w:val="16"/>
              </w:rPr>
              <w:t>&gt;=37个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89E71F">
            <w:pPr>
              <w:jc w:val="center"/>
            </w:pPr>
            <w:r>
              <w:rPr>
                <w:rFonts w:ascii="宋体" w:hAnsi="宋体" w:eastAsia="宋体"/>
                <w:sz w:val="16"/>
              </w:rPr>
              <w:t>2024年度工作计划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A9E3B0">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CAE014">
            <w:pPr>
              <w:jc w:val="center"/>
            </w:pPr>
            <w:r>
              <w:rPr>
                <w:rFonts w:ascii="宋体" w:hAnsi="宋体" w:eastAsia="宋体"/>
                <w:sz w:val="16"/>
              </w:rPr>
              <w:t>37个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B5D5D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579BE6">
            <w:pPr>
              <w:jc w:val="center"/>
            </w:pPr>
            <w:r>
              <w:rPr>
                <w:rFonts w:ascii="宋体" w:hAnsi="宋体" w:eastAsia="宋体"/>
                <w:sz w:val="16"/>
              </w:rPr>
              <w:t>15</w:t>
            </w:r>
          </w:p>
        </w:tc>
      </w:tr>
      <w:tr w14:paraId="2365ED6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114BE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6581C2"/>
        </w:tc>
        <w:tc>
          <w:tcPr>
            <w:tcW w:w="1069" w:type="dxa"/>
            <w:tcBorders>
              <w:top w:val="single" w:color="auto" w:sz="10" w:space="0"/>
              <w:left w:val="single" w:color="auto" w:sz="10" w:space="0"/>
              <w:bottom w:val="single" w:color="auto" w:sz="10" w:space="0"/>
              <w:right w:val="single" w:color="auto" w:sz="10" w:space="0"/>
              <w:insideV w:val="single" w:sz="10" w:space="0"/>
            </w:tcBorders>
            <w:vAlign w:val="center"/>
          </w:tcPr>
          <w:p w14:paraId="5CC44204">
            <w:pPr>
              <w:jc w:val="center"/>
            </w:pPr>
            <w:r>
              <w:rPr>
                <w:rFonts w:ascii="宋体" w:hAnsi="宋体" w:eastAsia="宋体"/>
                <w:sz w:val="16"/>
              </w:rPr>
              <w:t>开展业务培训次数</w:t>
            </w:r>
          </w:p>
        </w:tc>
        <w:tc>
          <w:tcPr>
            <w:tcW w:w="897" w:type="dxa"/>
            <w:tcBorders>
              <w:top w:val="single" w:color="auto" w:sz="10" w:space="0"/>
              <w:left w:val="single" w:color="auto" w:sz="10" w:space="0"/>
              <w:bottom w:val="single" w:color="auto" w:sz="10" w:space="0"/>
              <w:right w:val="single" w:color="auto" w:sz="10" w:space="0"/>
              <w:insideV w:val="single" w:sz="10" w:space="0"/>
            </w:tcBorders>
            <w:vAlign w:val="center"/>
          </w:tcPr>
          <w:p w14:paraId="592AF731">
            <w:pPr>
              <w:jc w:val="center"/>
            </w:pPr>
            <w:r>
              <w:rPr>
                <w:rFonts w:ascii="宋体" w:hAnsi="宋体" w:eastAsia="宋体"/>
                <w:sz w:val="16"/>
              </w:rPr>
              <w:t>&lt;=2次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1BAE7C">
            <w:pPr>
              <w:jc w:val="center"/>
            </w:pPr>
            <w:r>
              <w:rPr>
                <w:rFonts w:ascii="宋体" w:hAnsi="宋体" w:eastAsia="宋体"/>
                <w:sz w:val="16"/>
              </w:rPr>
              <w:t>2024年度工作计划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9C5825">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64B3A0">
            <w:pPr>
              <w:jc w:val="center"/>
            </w:pPr>
            <w:r>
              <w:rPr>
                <w:rFonts w:ascii="宋体" w:hAnsi="宋体" w:eastAsia="宋体"/>
                <w:sz w:val="16"/>
              </w:rPr>
              <w: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E8595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2F4850">
            <w:pPr>
              <w:jc w:val="center"/>
            </w:pPr>
            <w:r>
              <w:rPr>
                <w:rFonts w:ascii="宋体" w:hAnsi="宋体" w:eastAsia="宋体"/>
                <w:sz w:val="16"/>
              </w:rPr>
              <w:t>15</w:t>
            </w:r>
          </w:p>
        </w:tc>
      </w:tr>
    </w:tbl>
    <w:p w14:paraId="3BCB4ADB">
      <w:r>
        <w:br w:type="page"/>
      </w:r>
    </w:p>
    <w:p w14:paraId="63AD6818">
      <w:pPr>
        <w:spacing w:line="640" w:lineRule="exact"/>
        <w:ind w:firstLine="640"/>
        <w:jc w:val="both"/>
        <w:outlineLvl w:val="2"/>
      </w:pPr>
      <w:r>
        <w:rPr>
          <w:rFonts w:ascii="黑体" w:hAnsi="黑体" w:eastAsia="黑体"/>
          <w:sz w:val="32"/>
        </w:rPr>
        <w:t>十二、其他需说明的事项</w:t>
      </w:r>
    </w:p>
    <w:p w14:paraId="35AADC7D">
      <w:pPr>
        <w:spacing w:line="580" w:lineRule="exact"/>
        <w:ind w:firstLine="640"/>
        <w:jc w:val="both"/>
      </w:pPr>
      <w:r>
        <w:rPr>
          <w:rFonts w:ascii="仿宋_GB2312" w:hAnsi="仿宋_GB2312" w:eastAsia="仿宋_GB2312"/>
          <w:b w:val="0"/>
          <w:sz w:val="32"/>
        </w:rPr>
        <w:t>本单位无其他需说明的事项。</w:t>
      </w:r>
    </w:p>
    <w:p w14:paraId="4F6F8130">
      <w:r>
        <w:br w:type="page"/>
      </w:r>
    </w:p>
    <w:p w14:paraId="432D8A80">
      <w:pPr>
        <w:spacing w:line="240" w:lineRule="auto"/>
        <w:jc w:val="center"/>
        <w:outlineLvl w:val="1"/>
      </w:pPr>
      <w:r>
        <w:rPr>
          <w:rFonts w:ascii="黑体" w:hAnsi="黑体" w:eastAsia="黑体"/>
          <w:sz w:val="32"/>
        </w:rPr>
        <w:t>第三部分 专业名词解释</w:t>
      </w:r>
    </w:p>
    <w:p w14:paraId="16770063">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774F3B8">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B004D45">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4EF860C">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FD55878">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6CDD365">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29AA307">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44932EE">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DEDB588">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FD3189A">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094E42B">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EA9734F">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D9300F7">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2B25503">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E982014">
      <w:r>
        <w:br w:type="page"/>
      </w:r>
    </w:p>
    <w:p w14:paraId="54B3A372">
      <w:pPr>
        <w:spacing w:line="240" w:lineRule="auto"/>
        <w:jc w:val="center"/>
        <w:outlineLvl w:val="1"/>
      </w:pPr>
      <w:r>
        <w:rPr>
          <w:rFonts w:ascii="黑体" w:hAnsi="黑体" w:eastAsia="黑体"/>
          <w:sz w:val="32"/>
        </w:rPr>
        <w:t>第四部分 部门决算报表（见附表）</w:t>
      </w:r>
    </w:p>
    <w:p w14:paraId="328A0049">
      <w:pPr>
        <w:spacing w:line="240" w:lineRule="auto"/>
        <w:ind w:firstLine="640"/>
        <w:jc w:val="both"/>
      </w:pPr>
      <w:r>
        <w:rPr>
          <w:rFonts w:ascii="仿宋_GB2312" w:hAnsi="仿宋_GB2312" w:eastAsia="仿宋_GB2312"/>
          <w:b w:val="0"/>
          <w:sz w:val="32"/>
        </w:rPr>
        <w:t>一、《收入支出决算总表》</w:t>
      </w:r>
    </w:p>
    <w:p w14:paraId="0FA8E794">
      <w:pPr>
        <w:spacing w:line="240" w:lineRule="auto"/>
        <w:ind w:firstLine="640"/>
        <w:jc w:val="both"/>
      </w:pPr>
      <w:r>
        <w:rPr>
          <w:rFonts w:ascii="仿宋_GB2312" w:hAnsi="仿宋_GB2312" w:eastAsia="仿宋_GB2312"/>
          <w:b w:val="0"/>
          <w:sz w:val="32"/>
        </w:rPr>
        <w:t>二、《收入决算表》</w:t>
      </w:r>
    </w:p>
    <w:p w14:paraId="342090AE">
      <w:pPr>
        <w:spacing w:line="240" w:lineRule="auto"/>
        <w:ind w:firstLine="640"/>
        <w:jc w:val="both"/>
      </w:pPr>
      <w:r>
        <w:rPr>
          <w:rFonts w:ascii="仿宋_GB2312" w:hAnsi="仿宋_GB2312" w:eastAsia="仿宋_GB2312"/>
          <w:b w:val="0"/>
          <w:sz w:val="32"/>
        </w:rPr>
        <w:t>三、《支出决算表》</w:t>
      </w:r>
    </w:p>
    <w:p w14:paraId="01E7DD25">
      <w:pPr>
        <w:spacing w:line="240" w:lineRule="auto"/>
        <w:ind w:firstLine="640"/>
        <w:jc w:val="both"/>
      </w:pPr>
      <w:r>
        <w:rPr>
          <w:rFonts w:ascii="仿宋_GB2312" w:hAnsi="仿宋_GB2312" w:eastAsia="仿宋_GB2312"/>
          <w:b w:val="0"/>
          <w:sz w:val="32"/>
        </w:rPr>
        <w:t>四、《财政拨款收入支出决算总表》</w:t>
      </w:r>
    </w:p>
    <w:p w14:paraId="1AD717A8">
      <w:pPr>
        <w:spacing w:line="240" w:lineRule="auto"/>
        <w:ind w:firstLine="640"/>
        <w:jc w:val="both"/>
      </w:pPr>
      <w:r>
        <w:rPr>
          <w:rFonts w:ascii="仿宋_GB2312" w:hAnsi="仿宋_GB2312" w:eastAsia="仿宋_GB2312"/>
          <w:b w:val="0"/>
          <w:sz w:val="32"/>
        </w:rPr>
        <w:t>五、《一般公共预算财政拨款支出决算表》</w:t>
      </w:r>
    </w:p>
    <w:p w14:paraId="28ED4437">
      <w:pPr>
        <w:spacing w:line="240" w:lineRule="auto"/>
        <w:ind w:firstLine="640"/>
        <w:jc w:val="both"/>
      </w:pPr>
      <w:r>
        <w:rPr>
          <w:rFonts w:ascii="仿宋_GB2312" w:hAnsi="仿宋_GB2312" w:eastAsia="仿宋_GB2312"/>
          <w:b w:val="0"/>
          <w:sz w:val="32"/>
        </w:rPr>
        <w:t>六、《一般公共预算财政拨款基本支出决算表》</w:t>
      </w:r>
    </w:p>
    <w:p w14:paraId="7C82C8A4">
      <w:pPr>
        <w:spacing w:line="240" w:lineRule="auto"/>
        <w:ind w:firstLine="640"/>
        <w:jc w:val="both"/>
      </w:pPr>
      <w:r>
        <w:rPr>
          <w:rFonts w:ascii="仿宋_GB2312" w:hAnsi="仿宋_GB2312" w:eastAsia="仿宋_GB2312"/>
          <w:b w:val="0"/>
          <w:sz w:val="32"/>
        </w:rPr>
        <w:t>七、《政府性基金预算财政拨款收入支出决算表》</w:t>
      </w:r>
    </w:p>
    <w:p w14:paraId="09539E0E">
      <w:pPr>
        <w:spacing w:line="240" w:lineRule="auto"/>
        <w:ind w:firstLine="640"/>
        <w:jc w:val="both"/>
      </w:pPr>
      <w:r>
        <w:rPr>
          <w:rFonts w:ascii="仿宋_GB2312" w:hAnsi="仿宋_GB2312" w:eastAsia="仿宋_GB2312"/>
          <w:b w:val="0"/>
          <w:sz w:val="32"/>
        </w:rPr>
        <w:t>八、《国有资本经营预算财政拨款收入支出决算表》</w:t>
      </w:r>
    </w:p>
    <w:p w14:paraId="08E76E72">
      <w:pPr>
        <w:spacing w:line="240" w:lineRule="auto"/>
        <w:ind w:firstLine="640"/>
        <w:jc w:val="both"/>
      </w:pPr>
      <w:r>
        <w:rPr>
          <w:rFonts w:ascii="仿宋_GB2312" w:hAnsi="仿宋_GB2312" w:eastAsia="仿宋_GB2312"/>
          <w:b w:val="0"/>
          <w:sz w:val="32"/>
        </w:rPr>
        <w:t>九、《财政拨款“三公”经费支出决算表》</w:t>
      </w:r>
    </w:p>
    <w:p w14:paraId="45366E1B">
      <w:pPr>
        <w:spacing w:line="240" w:lineRule="auto"/>
        <w:ind w:firstLine="640"/>
        <w:jc w:val="both"/>
      </w:pPr>
    </w:p>
    <w:p w14:paraId="13B1C451">
      <w:pPr>
        <w:spacing w:line="240" w:lineRule="auto"/>
        <w:ind w:firstLine="640"/>
        <w:jc w:val="both"/>
      </w:pPr>
    </w:p>
    <w:p w14:paraId="2373AEB2">
      <w:pPr>
        <w:spacing w:line="240" w:lineRule="auto"/>
        <w:ind w:firstLine="640"/>
        <w:jc w:val="both"/>
      </w:pPr>
    </w:p>
    <w:p w14:paraId="1DCFD5D2">
      <w:pPr>
        <w:spacing w:line="240" w:lineRule="auto"/>
        <w:ind w:firstLine="640"/>
        <w:jc w:val="both"/>
      </w:pPr>
    </w:p>
    <w:p w14:paraId="1045BED3">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8"/>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AC3325"/>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D587533"/>
    <w:rsid w:val="3DDB408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6255</Words>
  <Characters>7012</Characters>
  <Lines>0</Lines>
  <Paragraphs>0</Paragraphs>
  <TotalTime>4</TotalTime>
  <ScaleCrop>false</ScaleCrop>
  <LinksUpToDate>false</LinksUpToDate>
  <CharactersWithSpaces>7022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2025-09-26T10:12:34Z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eyJoZGlkIjoiNTBiYjFiYzY0OWM2ODlhYjA1NDAwODJkOGMwZGNkYTMiLCJ1c2VySWQiOiIzNzI2MDMzNTYifQ==</vt:lpwstr>
  </property>
</Properties>
</file>