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中共疏勒县委员会社会工作部2024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775802">
      <w:r>
        <w:br w:type="page"/>
      </w:r>
    </w:p>
    <w:p w14:paraId="4742FEE8">
      <w:pPr>
        <w:spacing w:line="640" w:lineRule="exact"/>
        <w:jc w:val="center"/>
        <w:outlineLvl w:val="1"/>
      </w:pPr>
      <w:r>
        <w:rPr>
          <w:rFonts w:ascii="黑体" w:hAnsi="黑体" w:eastAsia="黑体"/>
          <w:sz w:val="32"/>
        </w:rPr>
        <w:t>第一部分 单位概况</w:t>
      </w:r>
    </w:p>
    <w:p w14:paraId="50F4CCA1">
      <w:pPr>
        <w:spacing w:line="640" w:lineRule="exact"/>
        <w:ind w:firstLine="640"/>
        <w:jc w:val="both"/>
        <w:outlineLvl w:val="2"/>
      </w:pPr>
      <w:r>
        <w:rPr>
          <w:rFonts w:ascii="黑体" w:hAnsi="黑体" w:eastAsia="黑体"/>
          <w:sz w:val="32"/>
        </w:rPr>
        <w:t>一、主要职能</w:t>
      </w:r>
    </w:p>
    <w:p w14:paraId="18395632">
      <w:pPr>
        <w:spacing w:line="580" w:lineRule="exact"/>
        <w:ind w:firstLine="640"/>
        <w:jc w:val="both"/>
      </w:pPr>
      <w:r>
        <w:rPr>
          <w:rFonts w:ascii="仿宋_GB2312" w:hAnsi="仿宋_GB2312" w:eastAsia="仿宋_GB2312"/>
          <w:sz w:val="32"/>
        </w:rPr>
        <w:t>（1）研究相关理论、政策和规划，拟定相关党内法规、地方性规章草案及规范性文件并组织实施。</w:t>
      </w:r>
    </w:p>
    <w:p w14:paraId="2648CF5B">
      <w:pPr>
        <w:spacing w:line="580" w:lineRule="exact"/>
        <w:ind w:firstLine="640"/>
        <w:jc w:val="both"/>
      </w:pPr>
      <w:r>
        <w:rPr>
          <w:rFonts w:ascii="仿宋_GB2312" w:hAnsi="仿宋_GB2312" w:eastAsia="仿宋_GB2312"/>
          <w:sz w:val="32"/>
        </w:rPr>
        <w:t>（2）指导人民建议征集工作，负责征集、办理公民、法人和其他组织提出的意见建议，向县委、县人民政府及时反映公民、法人和其他组织对党和国家、疏勒县各项事业发展提出的重要意见建议。</w:t>
      </w:r>
    </w:p>
    <w:p w14:paraId="573C0F51">
      <w:pPr>
        <w:spacing w:line="580" w:lineRule="exact"/>
        <w:ind w:firstLine="640"/>
        <w:jc w:val="both"/>
      </w:pPr>
      <w:r>
        <w:rPr>
          <w:rFonts w:ascii="仿宋_GB2312" w:hAnsi="仿宋_GB2312" w:eastAsia="仿宋_GB2312"/>
          <w:sz w:val="32"/>
        </w:rPr>
        <w:t>（3）统筹推进党建引领基层治理和基层政权建设，协调推进城乡社区治理体系和治理能力建设，推进基层民主政治建设，指导监督基层群众自治制度的有效实施，健全和落实基层群众自治机制。</w:t>
      </w:r>
    </w:p>
    <w:p w14:paraId="1A22CE06">
      <w:pPr>
        <w:spacing w:line="580" w:lineRule="exact"/>
        <w:ind w:firstLine="640"/>
        <w:jc w:val="both"/>
      </w:pPr>
      <w:r>
        <w:rPr>
          <w:rFonts w:ascii="仿宋_GB2312" w:hAnsi="仿宋_GB2312" w:eastAsia="仿宋_GB2312"/>
          <w:sz w:val="32"/>
        </w:rPr>
        <w:t>（4）指导全县社会组织党建工作，统一领导全县行业协会商会党的工作，协调推动行业协会商会深化改革和转型发展。</w:t>
      </w:r>
    </w:p>
    <w:p w14:paraId="19042ABA">
      <w:pPr>
        <w:spacing w:line="580" w:lineRule="exact"/>
        <w:ind w:firstLine="640"/>
        <w:jc w:val="both"/>
      </w:pPr>
      <w:r>
        <w:rPr>
          <w:rFonts w:ascii="仿宋_GB2312" w:hAnsi="仿宋_GB2312" w:eastAsia="仿宋_GB2312"/>
          <w:sz w:val="32"/>
        </w:rPr>
        <w:t>（5）指导全县混合所有制企业、非公有制企业和新经济组织、新社会组织、新就业群体党建工作，指导协调相关企业单位、社会组织、就业群体中党员的教育、管理、监督和服务工作，研究完善相关领域群众利益协调机制。</w:t>
      </w:r>
    </w:p>
    <w:p w14:paraId="308BBBC9">
      <w:pPr>
        <w:spacing w:line="580" w:lineRule="exact"/>
        <w:ind w:firstLine="640"/>
        <w:jc w:val="both"/>
      </w:pPr>
      <w:r>
        <w:rPr>
          <w:rFonts w:ascii="仿宋_GB2312" w:hAnsi="仿宋_GB2312" w:eastAsia="仿宋_GB2312"/>
          <w:sz w:val="32"/>
        </w:rPr>
        <w:t>（6）负责全县志愿服务工作的统筹规划、协调指导、督促检查。指导社会工作人才队伍建设。</w:t>
      </w:r>
    </w:p>
    <w:p w14:paraId="58BEE428">
      <w:pPr>
        <w:spacing w:line="580" w:lineRule="exact"/>
        <w:ind w:firstLine="640"/>
        <w:jc w:val="both"/>
      </w:pPr>
      <w:r>
        <w:rPr>
          <w:rFonts w:ascii="仿宋_GB2312" w:hAnsi="仿宋_GB2312" w:eastAsia="仿宋_GB2312"/>
          <w:sz w:val="32"/>
        </w:rPr>
        <w:t>（7）完成县委交办的其他任务。</w:t>
      </w:r>
    </w:p>
    <w:p w14:paraId="3F9D4255">
      <w:pPr>
        <w:spacing w:line="640" w:lineRule="exact"/>
        <w:ind w:firstLine="640"/>
        <w:jc w:val="both"/>
        <w:outlineLvl w:val="2"/>
      </w:pPr>
      <w:r>
        <w:rPr>
          <w:rFonts w:ascii="黑体" w:hAnsi="黑体" w:eastAsia="黑体"/>
          <w:sz w:val="32"/>
        </w:rPr>
        <w:t>二、机构设置及人员情况</w:t>
      </w:r>
    </w:p>
    <w:p w14:paraId="25EA32D4">
      <w:pPr>
        <w:spacing w:line="580" w:lineRule="exact"/>
        <w:ind w:firstLine="640"/>
        <w:jc w:val="both"/>
      </w:pPr>
      <w:r>
        <w:rPr>
          <w:rFonts w:ascii="仿宋_GB2312" w:hAnsi="仿宋_GB2312" w:eastAsia="仿宋_GB2312"/>
          <w:sz w:val="32"/>
        </w:rPr>
        <w:t>中共疏勒县委员会社会工作部2024年度，实有人数5人，其中：在职人员5人，增加5人；离休人员0人，增加0人；退休人员0人,增加0人。</w:t>
      </w:r>
    </w:p>
    <w:p w14:paraId="41BE0D7A">
      <w:pPr>
        <w:spacing w:line="580" w:lineRule="exact"/>
        <w:ind w:firstLine="640"/>
        <w:jc w:val="both"/>
      </w:pPr>
      <w:r>
        <w:rPr>
          <w:rFonts w:ascii="仿宋_GB2312" w:hAnsi="仿宋_GB2312" w:eastAsia="仿宋_GB2312"/>
          <w:sz w:val="32"/>
        </w:rPr>
        <w:t>中共疏勒县委员会社会工作部无下属预算单位，下设3个科室，分别是：“两企三新”党建工作室、行业协会商会工作室、基层治理室。</w:t>
      </w:r>
    </w:p>
    <w:p w14:paraId="0EBD91B4">
      <w:r>
        <w:br w:type="page"/>
      </w:r>
    </w:p>
    <w:p w14:paraId="3A7B6E53">
      <w:pPr>
        <w:spacing w:line="240" w:lineRule="auto"/>
        <w:jc w:val="center"/>
        <w:outlineLvl w:val="1"/>
      </w:pPr>
      <w:r>
        <w:rPr>
          <w:rFonts w:ascii="黑体" w:hAnsi="黑体" w:eastAsia="黑体"/>
          <w:sz w:val="32"/>
        </w:rPr>
        <w:t>第二部分 部门决算情况说明</w:t>
      </w:r>
    </w:p>
    <w:p w14:paraId="42CEFBD0">
      <w:pPr>
        <w:spacing w:line="640" w:lineRule="exact"/>
        <w:ind w:firstLine="640"/>
        <w:jc w:val="both"/>
        <w:outlineLvl w:val="2"/>
      </w:pPr>
      <w:r>
        <w:rPr>
          <w:rFonts w:ascii="黑体" w:hAnsi="黑体" w:eastAsia="黑体"/>
          <w:sz w:val="32"/>
        </w:rPr>
        <w:t>一、收入支出决算总体情况说明</w:t>
      </w:r>
    </w:p>
    <w:p w14:paraId="16F99EF3">
      <w:pPr>
        <w:spacing w:line="580" w:lineRule="exact"/>
        <w:ind w:firstLine="640"/>
        <w:jc w:val="both"/>
      </w:pPr>
      <w:r>
        <w:rPr>
          <w:rFonts w:ascii="仿宋_GB2312" w:hAnsi="仿宋_GB2312" w:eastAsia="仿宋_GB2312"/>
          <w:b/>
          <w:sz w:val="32"/>
        </w:rPr>
        <w:t>2024年度收入总计8.72万元，</w:t>
      </w:r>
      <w:r>
        <w:rPr>
          <w:rFonts w:ascii="仿宋_GB2312" w:hAnsi="仿宋_GB2312" w:eastAsia="仿宋_GB2312"/>
          <w:b w:val="0"/>
          <w:sz w:val="32"/>
        </w:rPr>
        <w:t>其中：本年收入合计8.72万元，使用非财政拨款结余（含专用结余）0.00万元，年初结转和结余0.00万元。</w:t>
      </w:r>
    </w:p>
    <w:p w14:paraId="63B401B3">
      <w:pPr>
        <w:spacing w:line="580" w:lineRule="exact"/>
        <w:ind w:firstLine="640"/>
        <w:jc w:val="both"/>
      </w:pPr>
      <w:r>
        <w:rPr>
          <w:rFonts w:ascii="仿宋_GB2312" w:hAnsi="仿宋_GB2312" w:eastAsia="仿宋_GB2312"/>
          <w:b/>
          <w:sz w:val="32"/>
        </w:rPr>
        <w:t>2024年度支出总计8.72万元，</w:t>
      </w:r>
      <w:r>
        <w:rPr>
          <w:rFonts w:ascii="仿宋_GB2312" w:hAnsi="仿宋_GB2312" w:eastAsia="仿宋_GB2312"/>
          <w:b w:val="0"/>
          <w:sz w:val="32"/>
        </w:rPr>
        <w:t>其中：本年支出合计8.72万元，结余分配0.00万元，年末结转和结余0.00万元。</w:t>
      </w:r>
    </w:p>
    <w:p w14:paraId="6831798C">
      <w:pPr>
        <w:spacing w:line="580" w:lineRule="exact"/>
        <w:ind w:firstLine="640"/>
        <w:jc w:val="both"/>
      </w:pPr>
      <w:r>
        <w:rPr>
          <w:rFonts w:ascii="仿宋_GB2312" w:hAnsi="仿宋_GB2312" w:eastAsia="仿宋_GB2312"/>
          <w:b w:val="0"/>
          <w:sz w:val="32"/>
        </w:rPr>
        <w:t>收入支出总体与上年相比，增加8.72万元，增长100.00%，主要原因是：本单位本年为新增单位，无上年对比数据。</w:t>
      </w:r>
    </w:p>
    <w:p w14:paraId="509237E3">
      <w:pPr>
        <w:spacing w:line="640" w:lineRule="exact"/>
        <w:ind w:firstLine="640"/>
        <w:jc w:val="both"/>
        <w:outlineLvl w:val="2"/>
      </w:pPr>
      <w:r>
        <w:rPr>
          <w:rFonts w:ascii="黑体" w:hAnsi="黑体" w:eastAsia="黑体"/>
          <w:sz w:val="32"/>
        </w:rPr>
        <w:t>二、收入决算情况说明</w:t>
      </w:r>
    </w:p>
    <w:p w14:paraId="72F1BA7C">
      <w:pPr>
        <w:spacing w:line="580" w:lineRule="exact"/>
        <w:ind w:firstLine="640"/>
        <w:jc w:val="both"/>
      </w:pPr>
      <w:r>
        <w:rPr>
          <w:rFonts w:ascii="仿宋_GB2312" w:hAnsi="仿宋_GB2312" w:eastAsia="仿宋_GB2312"/>
          <w:b/>
          <w:sz w:val="32"/>
        </w:rPr>
        <w:t>本年收入8.72万元，</w:t>
      </w:r>
      <w:r>
        <w:rPr>
          <w:rFonts w:ascii="仿宋_GB2312" w:hAnsi="仿宋_GB2312" w:eastAsia="仿宋_GB2312"/>
          <w:b w:val="0"/>
          <w:sz w:val="32"/>
        </w:rPr>
        <w:t>其中：财政拨款收入8.72万元，占100.00%；上级补助收入0.00万元，占0.00%；事业收入0.00万元，占0.00%；经营收入0.00万元，占0.00%；附属单位上缴收入0.00万元，占0.00%；其他收入0.00万元，占0.00%。</w:t>
      </w:r>
    </w:p>
    <w:p w14:paraId="78747F7C">
      <w:pPr>
        <w:spacing w:line="640" w:lineRule="exact"/>
        <w:ind w:firstLine="640"/>
        <w:jc w:val="both"/>
        <w:outlineLvl w:val="2"/>
      </w:pPr>
      <w:r>
        <w:rPr>
          <w:rFonts w:ascii="黑体" w:hAnsi="黑体" w:eastAsia="黑体"/>
          <w:sz w:val="32"/>
        </w:rPr>
        <w:t>三、支出决算情况说明</w:t>
      </w:r>
    </w:p>
    <w:p w14:paraId="372EB5A9">
      <w:pPr>
        <w:spacing w:line="580" w:lineRule="exact"/>
        <w:ind w:firstLine="640"/>
        <w:jc w:val="both"/>
      </w:pPr>
      <w:r>
        <w:rPr>
          <w:rFonts w:ascii="仿宋_GB2312" w:hAnsi="仿宋_GB2312" w:eastAsia="仿宋_GB2312"/>
          <w:b/>
          <w:sz w:val="32"/>
        </w:rPr>
        <w:t>本年支出8.72万元，</w:t>
      </w:r>
      <w:r>
        <w:rPr>
          <w:rFonts w:ascii="仿宋_GB2312" w:hAnsi="仿宋_GB2312" w:eastAsia="仿宋_GB2312"/>
          <w:b w:val="0"/>
          <w:sz w:val="32"/>
        </w:rPr>
        <w:t>其中：基本支出8.72万元，占100.00%；项目支出0.00万元，占0.00%；上缴上级支出0.00万元，占0.00%；经营支出0.00万元，占0.00%；对附属单位补助支出0.00万元，占0.00%。</w:t>
      </w:r>
    </w:p>
    <w:p w14:paraId="1B8BC38E">
      <w:pPr>
        <w:spacing w:line="640" w:lineRule="exact"/>
        <w:ind w:firstLine="640"/>
        <w:jc w:val="both"/>
        <w:outlineLvl w:val="2"/>
      </w:pPr>
      <w:r>
        <w:rPr>
          <w:rFonts w:ascii="黑体" w:hAnsi="黑体" w:eastAsia="黑体"/>
          <w:sz w:val="32"/>
        </w:rPr>
        <w:t>四、财政拨款收入支出决算总体情况说明</w:t>
      </w:r>
    </w:p>
    <w:p w14:paraId="1ACE7B45">
      <w:pPr>
        <w:spacing w:line="580" w:lineRule="exact"/>
        <w:ind w:firstLine="640"/>
        <w:jc w:val="both"/>
      </w:pPr>
      <w:r>
        <w:rPr>
          <w:rFonts w:ascii="仿宋_GB2312" w:hAnsi="仿宋_GB2312" w:eastAsia="仿宋_GB2312"/>
          <w:b/>
          <w:sz w:val="32"/>
        </w:rPr>
        <w:t>2024年度财政拨款收入总计8.72万元，</w:t>
      </w:r>
      <w:r>
        <w:rPr>
          <w:rFonts w:ascii="仿宋_GB2312" w:hAnsi="仿宋_GB2312" w:eastAsia="仿宋_GB2312"/>
          <w:b w:val="0"/>
          <w:sz w:val="32"/>
        </w:rPr>
        <w:t>其中：年初财政拨款结转和结余0.00万元，本年财政拨款收入8.72万元。</w:t>
      </w:r>
      <w:r>
        <w:rPr>
          <w:rFonts w:ascii="仿宋_GB2312" w:hAnsi="仿宋_GB2312" w:eastAsia="仿宋_GB2312"/>
          <w:b/>
          <w:sz w:val="32"/>
        </w:rPr>
        <w:t>财政拨款支出总计8.72万元，</w:t>
      </w:r>
      <w:r>
        <w:rPr>
          <w:rFonts w:ascii="仿宋_GB2312" w:hAnsi="仿宋_GB2312" w:eastAsia="仿宋_GB2312"/>
          <w:b w:val="0"/>
          <w:sz w:val="32"/>
        </w:rPr>
        <w:t>其中：年末财政拨款结转和结余0.00万元，本年财政拨款支出8.72万元。</w:t>
      </w:r>
    </w:p>
    <w:p w14:paraId="2EFF106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增加8.72万元，增长100.00%，主要原因是：本单位本年为新增单位，无上年对比数据。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年初预算数0.00万元，决算数8.72万元，预决算差异率100.00%，主要原因是：因本单位为年中新成立部门，年中追加人员工资、社保、公积金基数调增部分资金，导致预决算存在差异。</w:t>
      </w:r>
    </w:p>
    <w:p w14:paraId="7D0ADEAC">
      <w:pPr>
        <w:spacing w:line="640" w:lineRule="exact"/>
        <w:ind w:firstLine="640"/>
        <w:jc w:val="both"/>
        <w:outlineLvl w:val="2"/>
      </w:pPr>
      <w:r>
        <w:rPr>
          <w:rFonts w:ascii="黑体" w:hAnsi="黑体" w:eastAsia="黑体"/>
          <w:sz w:val="32"/>
        </w:rPr>
        <w:t>五、一般公共预算财政拨款支出决算情况说明</w:t>
      </w:r>
    </w:p>
    <w:p w14:paraId="39C049DD">
      <w:pPr>
        <w:spacing w:line="640" w:lineRule="exact"/>
        <w:ind w:firstLine="640"/>
        <w:jc w:val="both"/>
        <w:outlineLvl w:val="3"/>
      </w:pPr>
      <w:r>
        <w:rPr>
          <w:rFonts w:ascii="楷体_GB2312" w:hAnsi="楷体_GB2312" w:eastAsia="楷体_GB2312"/>
          <w:b/>
          <w:sz w:val="32"/>
        </w:rPr>
        <w:t>（一）一般公共预算财政拨款支出决算总体情况</w:t>
      </w:r>
    </w:p>
    <w:p w14:paraId="1C3923DD">
      <w:pPr>
        <w:spacing w:line="580" w:lineRule="exact"/>
        <w:ind w:firstLine="640"/>
        <w:jc w:val="both"/>
      </w:pPr>
      <w:r>
        <w:rPr>
          <w:rFonts w:ascii="仿宋_GB2312" w:hAnsi="仿宋_GB2312" w:eastAsia="仿宋_GB2312"/>
          <w:b/>
          <w:sz w:val="32"/>
        </w:rPr>
        <w:t>2024年度一般公共预算财政拨款支出8.72万元，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增加8.72万元，增长100.00%，主要原因是：本单位本年为新增单位，无上年对比数据。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年初预算数0.00万元，决算数8.72万元，预决算差异率100.00%，主要原因是：因本单位为年中新成立部门，年中追加人员工资、社保、公积金基数调增部分资金，导致预决算存在差异。</w:t>
      </w:r>
    </w:p>
    <w:p w14:paraId="5F7F0D38">
      <w:pPr>
        <w:spacing w:line="640" w:lineRule="exact"/>
        <w:ind w:firstLine="640"/>
        <w:jc w:val="both"/>
        <w:outlineLvl w:val="3"/>
      </w:pPr>
      <w:r>
        <w:rPr>
          <w:rFonts w:ascii="楷体_GB2312" w:hAnsi="楷体_GB2312" w:eastAsia="楷体_GB2312"/>
          <w:b/>
          <w:sz w:val="32"/>
        </w:rPr>
        <w:t>（二）一般公共预算财政拨款支出决算结构情况</w:t>
      </w:r>
    </w:p>
    <w:p w14:paraId="6436258B">
      <w:pPr>
        <w:spacing w:line="580" w:lineRule="exact"/>
        <w:ind w:firstLine="640"/>
        <w:jc w:val="both"/>
      </w:pPr>
      <w:r>
        <w:rPr>
          <w:rFonts w:ascii="仿宋_GB2312" w:hAnsi="仿宋_GB2312" w:eastAsia="仿宋_GB2312"/>
          <w:b w:val="0"/>
          <w:sz w:val="32"/>
        </w:rPr>
        <w:t>1.一般公共服务支出(类)6.84万元,占78.44%。</w:t>
      </w:r>
    </w:p>
    <w:p w14:paraId="07020FF9">
      <w:pPr>
        <w:spacing w:line="580" w:lineRule="exact"/>
        <w:ind w:firstLine="640"/>
        <w:jc w:val="both"/>
      </w:pPr>
      <w:r>
        <w:rPr>
          <w:rFonts w:ascii="仿宋_GB2312" w:hAnsi="仿宋_GB2312" w:eastAsia="仿宋_GB2312"/>
          <w:b w:val="0"/>
          <w:sz w:val="32"/>
        </w:rPr>
        <w:t>2.社会保障和就业支出(类)0.80万元,占9.17%。</w:t>
      </w:r>
    </w:p>
    <w:p w14:paraId="726E779E">
      <w:pPr>
        <w:spacing w:line="580" w:lineRule="exact"/>
        <w:ind w:firstLine="640"/>
        <w:jc w:val="both"/>
      </w:pPr>
      <w:r>
        <w:rPr>
          <w:rFonts w:ascii="仿宋_GB2312" w:hAnsi="仿宋_GB2312" w:eastAsia="仿宋_GB2312"/>
          <w:b w:val="0"/>
          <w:sz w:val="32"/>
        </w:rPr>
        <w:t>3.卫生健康支出(类)0.44万元,占5.05%。</w:t>
      </w:r>
    </w:p>
    <w:p w14:paraId="33AB7467">
      <w:pPr>
        <w:spacing w:line="580" w:lineRule="exact"/>
        <w:ind w:firstLine="640"/>
        <w:jc w:val="both"/>
      </w:pPr>
      <w:r>
        <w:rPr>
          <w:rFonts w:ascii="仿宋_GB2312" w:hAnsi="仿宋_GB2312" w:eastAsia="仿宋_GB2312"/>
          <w:b w:val="0"/>
          <w:sz w:val="32"/>
        </w:rPr>
        <w:t>4.住房保障支出(类)0.65万元,占7.45%。</w:t>
      </w:r>
    </w:p>
    <w:p w14:paraId="106CFB1D">
      <w:pPr>
        <w:spacing w:line="640" w:lineRule="exact"/>
        <w:ind w:firstLine="640"/>
        <w:jc w:val="both"/>
        <w:outlineLvl w:val="3"/>
      </w:pPr>
      <w:r>
        <w:rPr>
          <w:rFonts w:ascii="楷体_GB2312" w:hAnsi="楷体_GB2312" w:eastAsia="楷体_GB2312"/>
          <w:b/>
          <w:sz w:val="32"/>
        </w:rPr>
        <w:t>（三）一般公共预算财政拨款支出决算具体情况</w:t>
      </w:r>
    </w:p>
    <w:p w14:paraId="0CFB4284">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1.一般公共服务支出(类)党委办公厅（室）及相关机构事务(款)行政运行(项):支出决算数为6.84万元，比上年决算增加6.84万元，增长100.00%,主要原因是：本单位本年为新增单位，无上年对比数据。</w:t>
      </w:r>
    </w:p>
    <w:p w14:paraId="412B59C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2.社会保障和就业支出(类)行政事业单位养老支出(款)机关事业单位基本养老保险缴费支出(项):支出决算数为0.80万元，比上年决算增加0.80万元，增长100.00%,主要原因是：本单位本年为新增单位，无上年对比数据。</w:t>
      </w:r>
    </w:p>
    <w:p w14:paraId="33876C31">
      <w:pPr>
        <w:spacing w:line="580" w:lineRule="exact"/>
        <w:ind w:firstLine="640"/>
        <w:jc w:val="both"/>
      </w:pPr>
      <w:r>
        <w:rPr>
          <w:rFonts w:ascii="仿宋_GB2312" w:hAnsi="仿宋_GB2312" w:eastAsia="仿宋_GB2312"/>
          <w:b w:val="0"/>
          <w:sz w:val="32"/>
        </w:rPr>
        <w:t>3.卫生健康支出(类)行政事业单位医疗(款)行政单位医疗(项):支出决算数为0.34万元，比上年决算增加0.34万元，增长100.00%,主要原因是：本单位本年为新增单位，无上年对比数据。</w:t>
      </w:r>
    </w:p>
    <w:p w14:paraId="7C1C0FA6">
      <w:pPr>
        <w:spacing w:line="580" w:lineRule="exact"/>
        <w:ind w:firstLine="640"/>
        <w:jc w:val="both"/>
      </w:pPr>
      <w:r>
        <w:rPr>
          <w:rFonts w:ascii="仿宋_GB2312" w:hAnsi="仿宋_GB2312" w:eastAsia="仿宋_GB2312"/>
          <w:b w:val="0"/>
          <w:sz w:val="32"/>
        </w:rPr>
        <w:t>4.卫生健康支出(类)行政事业单位医疗(款)公务员医疗补助(项):支出决算数为0.10万元，比上年决算增加0.10万元，增长100.00%,主要原因是：本单位本年为新增单位，无上年对比数据。</w:t>
      </w:r>
    </w:p>
    <w:p w14:paraId="39054FF2">
      <w:pPr>
        <w:spacing w:line="580" w:lineRule="exact"/>
        <w:ind w:firstLine="640"/>
        <w:jc w:val="both"/>
      </w:pPr>
      <w:r>
        <w:rPr>
          <w:rFonts w:ascii="仿宋_GB2312" w:hAnsi="仿宋_GB2312" w:eastAsia="仿宋_GB2312"/>
          <w:b w:val="0"/>
          <w:sz w:val="32"/>
        </w:rPr>
        <w:t>5.住房保障支出(类)住房改革支出(款)住房公积金(项):支出决算数为0.65万元，比上年决算增加0.65万元，增长100.00%,主要原因是：本单位本年为新增单位，无上年对比数据。</w:t>
      </w:r>
    </w:p>
    <w:p w14:paraId="296CE037">
      <w:pPr>
        <w:spacing w:line="640" w:lineRule="exact"/>
        <w:ind w:firstLine="640"/>
        <w:jc w:val="both"/>
        <w:outlineLvl w:val="2"/>
      </w:pPr>
      <w:r>
        <w:rPr>
          <w:rFonts w:ascii="黑体" w:hAnsi="黑体" w:eastAsia="黑体"/>
          <w:sz w:val="32"/>
        </w:rPr>
        <w:t>六、一般公共预算财政拨款基本支出决算情况说明</w:t>
      </w:r>
    </w:p>
    <w:p w14:paraId="5F006896">
      <w:pPr>
        <w:spacing w:line="580" w:lineRule="exact"/>
        <w:ind w:firstLine="640"/>
        <w:jc w:val="both"/>
      </w:pPr>
      <w:r>
        <w:rPr>
          <w:rFonts w:ascii="仿宋_GB2312" w:hAnsi="仿宋_GB2312" w:eastAsia="仿宋_GB2312"/>
          <w:b w:val="0"/>
          <w:sz w:val="32"/>
        </w:rPr>
        <w:t>2024年度一般公共预算财政拨款基本支出8.72万元，其中：</w:t>
      </w:r>
      <w:r>
        <w:rPr>
          <w:rFonts w:ascii="仿宋_GB2312" w:hAnsi="仿宋_GB2312" w:eastAsia="仿宋_GB2312"/>
          <w:b/>
          <w:sz w:val="32"/>
        </w:rPr>
        <w:t>人员经费8.72万元，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14:paraId="6362D71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74E585B">
      <w:pPr>
        <w:spacing w:line="640" w:lineRule="exact"/>
        <w:ind w:firstLine="640"/>
        <w:jc w:val="both"/>
        <w:outlineLvl w:val="2"/>
      </w:pPr>
      <w:r>
        <w:rPr>
          <w:rFonts w:ascii="黑体" w:hAnsi="黑体" w:eastAsia="黑体"/>
          <w:sz w:val="32"/>
        </w:rPr>
        <w:t>七、政府性基金预算财政拨款收入支出决算情况说明</w:t>
      </w:r>
    </w:p>
    <w:p w14:paraId="3369851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6FBD483">
      <w:pPr>
        <w:spacing w:line="640" w:lineRule="exact"/>
        <w:ind w:firstLine="640"/>
        <w:jc w:val="both"/>
        <w:outlineLvl w:val="2"/>
      </w:pPr>
      <w:r>
        <w:rPr>
          <w:rFonts w:ascii="黑体" w:hAnsi="黑体" w:eastAsia="黑体"/>
          <w:sz w:val="32"/>
        </w:rPr>
        <w:t>八、国有资本经营预算财政拨款收入支出决算情况说明</w:t>
      </w:r>
    </w:p>
    <w:p w14:paraId="5A8AB71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45BF06F">
      <w:pPr>
        <w:spacing w:line="640" w:lineRule="exact"/>
        <w:ind w:firstLine="640"/>
        <w:jc w:val="both"/>
        <w:outlineLvl w:val="2"/>
      </w:pPr>
      <w:r>
        <w:rPr>
          <w:rFonts w:ascii="黑体" w:hAnsi="黑体" w:eastAsia="黑体"/>
          <w:sz w:val="32"/>
        </w:rPr>
        <w:t>九、财政拨款“三公”经费支出决算情况说明</w:t>
      </w:r>
    </w:p>
    <w:p w14:paraId="2B49B33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未安排财政拨款“三公”经费支出。其中：因公出国（境）费支出0.00万元，占0.00%，比上年增加0.00万元，增长0.00%，主要原因是：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未安排因公出国（境）费支出。公务用车购置及运行维护费支出0.00万元，占0.00%，比上年增加0.00万元，增长0.00%，主要原因是：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未安排公务用车购置及运行维护费支出。公务接待费支出0.00万元，占0.00%，比上年增加0.00万元，增长0.00%，主要原因是：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未安排公务接待费支出。</w:t>
      </w:r>
    </w:p>
    <w:p w14:paraId="47012694">
      <w:pPr>
        <w:spacing w:line="580" w:lineRule="exact"/>
        <w:ind w:firstLine="640"/>
        <w:jc w:val="both"/>
      </w:pPr>
      <w:r>
        <w:rPr>
          <w:rFonts w:ascii="仿宋_GB2312" w:hAnsi="仿宋_GB2312" w:eastAsia="仿宋_GB2312"/>
          <w:b/>
          <w:sz w:val="32"/>
        </w:rPr>
        <w:t>具体情况如下：</w:t>
      </w:r>
    </w:p>
    <w:p w14:paraId="1CF5334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C2F7A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14:paraId="180817A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1CBA2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AF5DC63">
      <w:pPr>
        <w:spacing w:line="640" w:lineRule="exact"/>
        <w:ind w:firstLine="640"/>
        <w:jc w:val="both"/>
        <w:outlineLvl w:val="2"/>
      </w:pPr>
      <w:r>
        <w:rPr>
          <w:rFonts w:ascii="黑体" w:hAnsi="黑体" w:eastAsia="黑体"/>
          <w:sz w:val="32"/>
        </w:rPr>
        <w:t>十、其他重要事项的情况说明</w:t>
      </w:r>
    </w:p>
    <w:p w14:paraId="3F1F5427">
      <w:pPr>
        <w:spacing w:line="640" w:lineRule="exact"/>
        <w:ind w:firstLine="640"/>
        <w:jc w:val="both"/>
        <w:outlineLvl w:val="3"/>
      </w:pPr>
      <w:r>
        <w:rPr>
          <w:rFonts w:ascii="楷体_GB2312" w:hAnsi="楷体_GB2312" w:eastAsia="楷体_GB2312"/>
          <w:b/>
          <w:sz w:val="32"/>
        </w:rPr>
        <w:t>（一）机关运行经费及公用经费支出情况</w:t>
      </w:r>
    </w:p>
    <w:p w14:paraId="2F35A03A">
      <w:pPr>
        <w:spacing w:line="580" w:lineRule="exact"/>
        <w:ind w:firstLine="640"/>
        <w:jc w:val="both"/>
      </w:pPr>
      <w:r>
        <w:rPr>
          <w:rFonts w:ascii="仿宋_GB2312" w:hAnsi="仿宋_GB2312" w:eastAsia="仿宋_GB2312"/>
          <w:b w:val="0"/>
          <w:sz w:val="32"/>
        </w:rPr>
        <w:t>2024年度中共疏勒县委员会社会工作部（行政单位和参照公务员法管理事业单位）机关运行经费支出0.00万元，比上年增加0.00万元，增长0.00%，主要原因是：本年未安排机关运行经费支出。</w:t>
      </w:r>
    </w:p>
    <w:p w14:paraId="6DB5A479">
      <w:pPr>
        <w:spacing w:line="640" w:lineRule="exact"/>
        <w:ind w:firstLine="640"/>
        <w:jc w:val="both"/>
        <w:outlineLvl w:val="3"/>
      </w:pPr>
      <w:r>
        <w:rPr>
          <w:rFonts w:ascii="楷体_GB2312" w:hAnsi="楷体_GB2312" w:eastAsia="楷体_GB2312"/>
          <w:b/>
          <w:sz w:val="32"/>
        </w:rPr>
        <w:t>（二）政府采购情况</w:t>
      </w:r>
    </w:p>
    <w:p w14:paraId="183D7680">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3E935C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1435BA3">
      <w:pPr>
        <w:spacing w:line="640" w:lineRule="exact"/>
        <w:ind w:firstLine="640"/>
        <w:jc w:val="both"/>
        <w:outlineLvl w:val="3"/>
      </w:pPr>
      <w:r>
        <w:rPr>
          <w:rFonts w:ascii="楷体_GB2312" w:hAnsi="楷体_GB2312" w:eastAsia="楷体_GB2312"/>
          <w:b/>
          <w:sz w:val="32"/>
        </w:rPr>
        <w:t>（三）国有资产占用情况说明</w:t>
      </w:r>
    </w:p>
    <w:p w14:paraId="3FD8A92A">
      <w:pPr>
        <w:spacing w:line="580" w:lineRule="exact"/>
        <w:ind w:firstLine="640"/>
        <w:jc w:val="both"/>
      </w:pPr>
      <w:r>
        <w:rPr>
          <w:rFonts w:ascii="仿宋_GB2312" w:hAnsi="仿宋_GB2312" w:eastAsia="仿宋_GB2312"/>
          <w:b w:val="0"/>
          <w:sz w:val="32"/>
        </w:rPr>
        <w:t>截至2024年12月31日，房屋0.00平方米，价值0.00万元。车辆1辆，价值6.00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32E25ACB">
      <w:pPr>
        <w:spacing w:line="640" w:lineRule="exact"/>
        <w:ind w:firstLine="640"/>
        <w:jc w:val="both"/>
        <w:outlineLvl w:val="2"/>
      </w:pPr>
      <w:r>
        <w:rPr>
          <w:rFonts w:ascii="黑体" w:hAnsi="黑体" w:eastAsia="黑体"/>
          <w:sz w:val="32"/>
        </w:rPr>
        <w:t>十一、预算绩效的情况说明</w:t>
      </w:r>
    </w:p>
    <w:p w14:paraId="32587A36">
      <w:pPr>
        <w:spacing w:line="580" w:lineRule="exact"/>
        <w:ind w:firstLine="640"/>
        <w:jc w:val="both"/>
        <w:rPr>
          <w:rFonts w:hint="eastAsia" w:eastAsia="仿宋_GB2312"/>
          <w:lang w:eastAsia="zh-CN"/>
        </w:rPr>
      </w:pPr>
      <w:r>
        <w:rPr>
          <w:rFonts w:ascii="仿宋_GB2312" w:hAnsi="仿宋_GB2312" w:eastAsia="仿宋_GB2312"/>
          <w:b w:val="0"/>
          <w:sz w:val="32"/>
        </w:rPr>
        <w:t>根据预算绩效管理要求，本单位2024年度预算绩效管理形成整体支出绩效自评表1个，全年预算总额8.72万元，实际执行总额8.72万元；预算绩效评价项目0个，全年预算数0.00万元，全年执行数0.00万元。预算绩效管理取得的成效：本单位无项目绩效自评表。发现的问题及原因：本单位无项目绩效自评表。下一步改进措施：本单位无项目绩效自评表。</w:t>
      </w:r>
      <w:r>
        <w:rPr>
          <w:rFonts w:hint="eastAsia" w:ascii="仿宋_GB2312" w:hAnsi="仿宋_GB2312" w:eastAsia="仿宋_GB2312"/>
          <w:b w:val="0"/>
          <w:sz w:val="32"/>
          <w:lang w:eastAsia="zh-CN"/>
        </w:rPr>
        <w:t>具体附整体支出绩效自评表。</w:t>
      </w:r>
    </w:p>
    <w:p w14:paraId="54D2DD8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66B0B54">
        <w:tblPrEx>
          <w:tblCellMar>
            <w:top w:w="0" w:type="dxa"/>
            <w:left w:w="108" w:type="dxa"/>
            <w:bottom w:w="0" w:type="dxa"/>
            <w:right w:w="108" w:type="dxa"/>
          </w:tblCellMar>
        </w:tblPrEx>
        <w:tc>
          <w:tcPr>
            <w:tcW w:w="8847" w:type="dxa"/>
            <w:gridSpan w:val="9"/>
            <w:vAlign w:val="center"/>
          </w:tcPr>
          <w:p w14:paraId="01A0A383">
            <w:pPr>
              <w:jc w:val="center"/>
            </w:pPr>
            <w:r>
              <w:rPr>
                <w:rFonts w:ascii="宋体" w:hAnsi="宋体" w:eastAsia="宋体"/>
                <w:sz w:val="24"/>
              </w:rPr>
              <w:t>单位整体支出绩效自评表</w:t>
            </w:r>
          </w:p>
        </w:tc>
      </w:tr>
      <w:tr w14:paraId="214C5800">
        <w:tblPrEx>
          <w:tblCellMar>
            <w:top w:w="0" w:type="dxa"/>
            <w:left w:w="108" w:type="dxa"/>
            <w:bottom w:w="0" w:type="dxa"/>
            <w:right w:w="108" w:type="dxa"/>
          </w:tblCellMar>
        </w:tblPrEx>
        <w:tc>
          <w:tcPr>
            <w:tcW w:w="8847" w:type="dxa"/>
            <w:gridSpan w:val="9"/>
            <w:vAlign w:val="center"/>
          </w:tcPr>
          <w:p w14:paraId="3A819BE2">
            <w:pPr>
              <w:jc w:val="center"/>
            </w:pPr>
            <w:r>
              <w:rPr>
                <w:rFonts w:ascii="宋体" w:hAnsi="宋体" w:eastAsia="宋体"/>
                <w:sz w:val="24"/>
              </w:rPr>
              <w:t>（2024年度）</w:t>
            </w:r>
          </w:p>
        </w:tc>
      </w:tr>
      <w:tr w14:paraId="4D61E84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F5EA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B4B5AA4">
            <w:pPr>
              <w:jc w:val="center"/>
            </w:pPr>
            <w:r>
              <w:rPr>
                <w:rFonts w:ascii="宋体" w:hAnsi="宋体" w:eastAsia="宋体"/>
                <w:sz w:val="16"/>
              </w:rPr>
              <w:t>中共疏勒县委员会社会工作部</w:t>
            </w:r>
          </w:p>
        </w:tc>
      </w:tr>
      <w:tr w14:paraId="502E94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801D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772A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3098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CF8C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3259B">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92CB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19B9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AC77F">
            <w:pPr>
              <w:jc w:val="center"/>
            </w:pPr>
            <w:r>
              <w:rPr>
                <w:rFonts w:ascii="宋体" w:hAnsi="宋体" w:eastAsia="宋体"/>
                <w:sz w:val="16"/>
              </w:rPr>
              <w:t>得分</w:t>
            </w:r>
          </w:p>
        </w:tc>
      </w:tr>
      <w:tr w14:paraId="5E9E3B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0F6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15600">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FEE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C10D6">
            <w:pPr>
              <w:jc w:val="center"/>
            </w:pPr>
            <w:r>
              <w:rPr>
                <w:rFonts w:ascii="宋体" w:hAnsi="宋体" w:eastAsia="宋体"/>
                <w:sz w:val="16"/>
              </w:rPr>
              <w:t>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10EB8">
            <w:pPr>
              <w:jc w:val="center"/>
            </w:pPr>
            <w:r>
              <w:rPr>
                <w:rFonts w:ascii="宋体" w:hAnsi="宋体" w:eastAsia="宋体"/>
                <w:sz w:val="16"/>
              </w:rPr>
              <w:t>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172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9D48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B1D58">
            <w:pPr>
              <w:jc w:val="center"/>
            </w:pPr>
            <w:r>
              <w:rPr>
                <w:rFonts w:ascii="宋体" w:hAnsi="宋体" w:eastAsia="宋体"/>
                <w:sz w:val="16"/>
              </w:rPr>
              <w:t>10</w:t>
            </w:r>
          </w:p>
        </w:tc>
      </w:tr>
      <w:tr w14:paraId="7BB820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0D64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7E24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B1DE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A7EF2">
            <w:pPr>
              <w:jc w:val="center"/>
            </w:pPr>
            <w:r>
              <w:rPr>
                <w:rFonts w:ascii="宋体" w:hAnsi="宋体" w:eastAsia="宋体"/>
                <w:sz w:val="16"/>
              </w:rPr>
              <w:t>8.31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64887">
            <w:pPr>
              <w:jc w:val="center"/>
            </w:pPr>
            <w:r>
              <w:rPr>
                <w:rFonts w:ascii="宋体" w:hAnsi="宋体" w:eastAsia="宋体"/>
                <w:sz w:val="16"/>
              </w:rPr>
              <w:t>8.31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C61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D0C8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78FD3">
            <w:pPr>
              <w:jc w:val="center"/>
            </w:pPr>
            <w:r>
              <w:rPr>
                <w:rFonts w:ascii="宋体" w:hAnsi="宋体" w:eastAsia="宋体"/>
                <w:sz w:val="16"/>
              </w:rPr>
              <w:t>—</w:t>
            </w:r>
          </w:p>
        </w:tc>
      </w:tr>
      <w:tr w14:paraId="38EE15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2CF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E153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C20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72262">
            <w:pPr>
              <w:jc w:val="center"/>
            </w:pPr>
            <w:r>
              <w:rPr>
                <w:rFonts w:ascii="宋体" w:hAnsi="宋体" w:eastAsia="宋体"/>
                <w:sz w:val="16"/>
              </w:rPr>
              <w:t>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55C58">
            <w:pPr>
              <w:jc w:val="center"/>
            </w:pPr>
            <w:r>
              <w:rPr>
                <w:rFonts w:ascii="宋体" w:hAnsi="宋体" w:eastAsia="宋体"/>
                <w:sz w:val="16"/>
              </w:rPr>
              <w:t>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525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156D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0171D">
            <w:pPr>
              <w:jc w:val="center"/>
            </w:pPr>
            <w:r>
              <w:rPr>
                <w:rFonts w:ascii="宋体" w:hAnsi="宋体" w:eastAsia="宋体"/>
                <w:sz w:val="16"/>
              </w:rPr>
              <w:t>—</w:t>
            </w:r>
          </w:p>
        </w:tc>
      </w:tr>
      <w:tr w14:paraId="0B0E4F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AD3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BB79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E91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4B8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F08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6C8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BE37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8F762">
            <w:pPr>
              <w:jc w:val="center"/>
            </w:pPr>
            <w:r>
              <w:rPr>
                <w:rFonts w:ascii="宋体" w:hAnsi="宋体" w:eastAsia="宋体"/>
                <w:sz w:val="16"/>
              </w:rPr>
              <w:t>—</w:t>
            </w:r>
          </w:p>
        </w:tc>
      </w:tr>
      <w:tr w14:paraId="5D4F36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B2EA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C2950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2A28F9">
            <w:pPr>
              <w:jc w:val="center"/>
            </w:pPr>
            <w:r>
              <w:rPr>
                <w:rFonts w:ascii="宋体" w:hAnsi="宋体" w:eastAsia="宋体"/>
                <w:sz w:val="16"/>
              </w:rPr>
              <w:t>实际完成情况</w:t>
            </w:r>
          </w:p>
        </w:tc>
      </w:tr>
      <w:tr w14:paraId="691AB7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392A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5F6432">
            <w:pPr>
              <w:jc w:val="both"/>
            </w:pPr>
            <w:r>
              <w:rPr>
                <w:rFonts w:hint="eastAsia" w:ascii="宋体" w:hAnsi="宋体"/>
                <w:sz w:val="16"/>
                <w:lang w:eastAsia="zh-CN"/>
              </w:rPr>
              <w:t>1.</w:t>
            </w:r>
            <w:r>
              <w:rPr>
                <w:rFonts w:ascii="宋体" w:hAnsi="宋体" w:eastAsia="宋体"/>
                <w:sz w:val="16"/>
              </w:rPr>
              <w:t>主要职能。</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(一)研究相关理论、政策和规划，拟定相关党内法规、地方性规章草案及规范性文件并组织实施，召开社会工作部“两新”工委重要会议2次</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(二)指导人民建议征集工作，负责征集、办理公民、法人和其他组织提出的意见建议，向县委、县人民政府及时反映公民、 法人和其他组织对党和国家、疏勒县各项事业发展提出的重要意见建议。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统筹推进党建引领基层治理和基层政权建设，协调推进城乡社区治理体系和治理能力建设，推进基层民主政治建设，指导监督基层群众自治制度的有效实施，健全和落实基层群众自治机制。全年对重点工作开展调研，党建引领基层治理调研1次，新就业群体调研1次，行业协会商会调研1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(四)指导全县社会组织党建工作，统一领导全县行业协会商会党的工作，协调推动行业协会商会深化改革和转型发展。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(五)指导全县混合所有制企业、非公有制企业和新经济组织、新社会组织、新就业群体党建工作，指导协调相关企业单位、 社会组织、就业群体中党员的教育、管理、监督和服务工作，研究完善相关领域群众利益协调机制。建立党组织3个，群团组织7个。 评选新兴领域“五个好”党支部1个。</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(六)负责全县志愿服务工作的统筹规划、协调指导、督促检查。指导社会工作人才队伍建设。召开了2024年疏勒县志愿者服务培训会议，发挥了17支专业志愿服</w:t>
            </w:r>
            <w:r>
              <w:rPr>
                <w:rFonts w:hint="eastAsia" w:ascii="宋体" w:hAnsi="宋体"/>
                <w:sz w:val="16"/>
                <w:lang w:eastAsia="zh-CN"/>
              </w:rPr>
              <w:t>务队</w:t>
            </w:r>
            <w:r>
              <w:rPr>
                <w:rFonts w:ascii="宋体" w:hAnsi="宋体" w:eastAsia="宋体"/>
                <w:sz w:val="16"/>
              </w:rPr>
              <w:t xml:space="preserve">的作用。开展县级社会工作干部人才、社区社会工作者培训1次。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(七)开展社会工作领域党建引领基层治理示范培训1次。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9F6587">
            <w:pPr>
              <w:jc w:val="both"/>
            </w:pPr>
            <w:r>
              <w:rPr>
                <w:rFonts w:ascii="宋体" w:hAnsi="宋体" w:eastAsia="宋体"/>
                <w:sz w:val="16"/>
              </w:rPr>
              <w:t>本年度已完成以下工作：（一）推动信访工作法制化，不断拓展群众问题反映渠道。我部与县信访局、县依法治理综合服务中心形成合力，通过运用集信访接待、多元调解、</w:t>
            </w:r>
            <w:r>
              <w:rPr>
                <w:rFonts w:hint="eastAsia" w:ascii="宋体" w:hAnsi="宋体"/>
                <w:sz w:val="16"/>
                <w:lang w:eastAsia="zh-CN"/>
              </w:rPr>
              <w:t>公证</w:t>
            </w:r>
            <w:r>
              <w:rPr>
                <w:rFonts w:ascii="宋体" w:hAnsi="宋体" w:eastAsia="宋体"/>
                <w:sz w:val="16"/>
              </w:rPr>
              <w:t>办理、法律咨询、综合服务等多功能为一体的社会矛盾纠纷接待化解集成化平台。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拓展党建引领基层治理新举措。一是统筹规范，集中整治挂牌乱象。全年对重点工作开展调研3次，其中对全县各村（社区）机制牌子和证明事项等相关工作进行全面检查指导，以“坚决摘牌、规范挂牌”为原则，整理出可以保留挂牌的具体清单，将不规范的牌子进行清理、整合，切实把村级机制牌子清理减负工作做深做实。二是强化管理，坚决破除“指尖上的形式主义”。</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深入一线调研，找准问题症结。评选1个县级新兴领域“五个好”党支部，坚持把调查研究作为工作的基本功，作为开局破题的着力点，突出加强基层党建这一核心任务，谋实选题找准调研切口。深入行业商会调研，积极与民政部门对接，通过系统与实际调研比对，对存在的5个方面的问题，进行梳理，并给民政部门发了《关于梳理属地协会商会相关工作的函》，进一步规范了我县行业协会商会的管理</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（四）聚焦三新重点，落实工作举措。建立两新工委工作规则、委员单位职责，召开两新会议2场次，</w:t>
            </w:r>
            <w:r>
              <w:rPr>
                <w:rFonts w:hint="eastAsia" w:ascii="宋体" w:hAnsi="宋体"/>
                <w:sz w:val="16"/>
                <w:lang w:eastAsia="zh-CN"/>
              </w:rPr>
              <w:t>制出</w:t>
            </w:r>
            <w:r>
              <w:rPr>
                <w:rFonts w:ascii="宋体" w:hAnsi="宋体" w:eastAsia="宋体"/>
                <w:sz w:val="16"/>
              </w:rPr>
              <w:t>党建</w:t>
            </w:r>
            <w:r>
              <w:rPr>
                <w:rFonts w:hint="eastAsia" w:ascii="宋体" w:hAnsi="宋体"/>
                <w:sz w:val="16"/>
                <w:lang w:eastAsia="zh-CN"/>
              </w:rPr>
              <w:t>工作</w:t>
            </w:r>
            <w:r>
              <w:rPr>
                <w:rFonts w:ascii="宋体" w:hAnsi="宋体" w:eastAsia="宋体"/>
                <w:sz w:val="16"/>
              </w:rPr>
              <w:t>清单，细化行业部门和乡镇抓</w:t>
            </w:r>
            <w:r>
              <w:rPr>
                <w:rFonts w:hint="eastAsia" w:ascii="宋体" w:hAnsi="宋体"/>
                <w:sz w:val="16"/>
                <w:lang w:eastAsia="zh-CN"/>
              </w:rPr>
              <w:t>“两新”组织</w:t>
            </w:r>
            <w:r>
              <w:rPr>
                <w:rFonts w:ascii="宋体" w:hAnsi="宋体" w:eastAsia="宋体"/>
                <w:sz w:val="16"/>
              </w:rPr>
              <w:t>党建工作责任，通过召开2024年度社会工作暨两新工委委员单位会议明确行业主管部门职责、任务，推动行业部门落实主体管理责任。制定县委两新工委年度重点任务清单、4个专项组重点任务清单，落实定期例会制度、互学互检制度、述职评议制度、联系点制度等。</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五)聚焦党建引领，赋能商会协会。一是坚持应建尽建、党群共建和结对帮建，压实明确主管部门的责任，采取单独建、联合建、依托组建、区域统建等方式建立党组织3个、群团组织7个，开展社会工作领域示范培训1场次，县级社会工作干部人才培训1次，党的组织覆盖面明显提升。二是全面推进党建入章，让做好党建工作成为商协会工作的重要内容和“法定”任务。建立“三同”工作机制，做到信息同步登记、组织同步成立、工作同步开展推动实现党的工作实现全覆盖。</w:t>
            </w:r>
          </w:p>
        </w:tc>
      </w:tr>
      <w:tr w14:paraId="7D0F1E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A6FB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507B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2C0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FAFE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83FB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76D2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C11A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E61A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F8E98">
            <w:pPr>
              <w:jc w:val="center"/>
            </w:pPr>
            <w:r>
              <w:rPr>
                <w:rFonts w:ascii="宋体" w:hAnsi="宋体" w:eastAsia="宋体"/>
                <w:sz w:val="16"/>
              </w:rPr>
              <w:t>得分</w:t>
            </w:r>
          </w:p>
        </w:tc>
      </w:tr>
      <w:tr w14:paraId="36FBB7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4D63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0B2D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ED6EF">
            <w:pPr>
              <w:jc w:val="center"/>
            </w:pPr>
            <w:r>
              <w:rPr>
                <w:rFonts w:ascii="宋体" w:hAnsi="宋体" w:eastAsia="宋体"/>
                <w:sz w:val="16"/>
              </w:rPr>
              <w:t>开展县级社会工作干部人才培训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DA2A4">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9C1D7">
            <w:pPr>
              <w:jc w:val="center"/>
            </w:pPr>
            <w:r>
              <w:rPr>
                <w:rFonts w:ascii="宋体" w:hAnsi="宋体" w:eastAsia="宋体"/>
                <w:sz w:val="16"/>
              </w:rPr>
              <w:t>社会工作部2024年工作计划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AE75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321B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10A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8FE7F">
            <w:pPr>
              <w:jc w:val="center"/>
            </w:pPr>
            <w:r>
              <w:rPr>
                <w:rFonts w:ascii="宋体" w:hAnsi="宋体" w:eastAsia="宋体"/>
                <w:sz w:val="16"/>
              </w:rPr>
              <w:t>15</w:t>
            </w:r>
          </w:p>
        </w:tc>
      </w:tr>
      <w:tr w14:paraId="32E62F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06E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EB2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D61A2">
            <w:pPr>
              <w:jc w:val="center"/>
            </w:pPr>
            <w:r>
              <w:rPr>
                <w:rFonts w:ascii="宋体" w:hAnsi="宋体" w:eastAsia="宋体"/>
                <w:sz w:val="16"/>
              </w:rPr>
              <w:t>全年对重点工作开展调研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31E11">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B920B">
            <w:pPr>
              <w:jc w:val="center"/>
            </w:pPr>
            <w:r>
              <w:rPr>
                <w:rFonts w:ascii="宋体" w:hAnsi="宋体" w:eastAsia="宋体"/>
                <w:sz w:val="16"/>
              </w:rPr>
              <w:t>社会工作部2024年工作计划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EE6D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F29F7">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F3F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56DE6">
            <w:pPr>
              <w:jc w:val="center"/>
            </w:pPr>
            <w:r>
              <w:rPr>
                <w:rFonts w:ascii="宋体" w:hAnsi="宋体" w:eastAsia="宋体"/>
                <w:sz w:val="16"/>
              </w:rPr>
              <w:t>20</w:t>
            </w:r>
          </w:p>
        </w:tc>
      </w:tr>
      <w:tr w14:paraId="0249CC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8BC7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F53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84F1A">
            <w:pPr>
              <w:jc w:val="center"/>
            </w:pPr>
            <w:r>
              <w:rPr>
                <w:rFonts w:ascii="宋体" w:hAnsi="宋体" w:eastAsia="宋体"/>
                <w:sz w:val="16"/>
              </w:rPr>
              <w:t>评选县级新兴领域“五个好”党支部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E9AFF">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58E02">
            <w:pPr>
              <w:jc w:val="center"/>
            </w:pPr>
            <w:r>
              <w:rPr>
                <w:rFonts w:ascii="宋体" w:hAnsi="宋体" w:eastAsia="宋体"/>
                <w:sz w:val="16"/>
              </w:rPr>
              <w:t>社会工作部2024年工作计划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34D7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A8E88">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105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784BF">
            <w:pPr>
              <w:jc w:val="center"/>
            </w:pPr>
            <w:r>
              <w:rPr>
                <w:rFonts w:ascii="宋体" w:hAnsi="宋体" w:eastAsia="宋体"/>
                <w:sz w:val="16"/>
              </w:rPr>
              <w:t>20</w:t>
            </w:r>
          </w:p>
        </w:tc>
      </w:tr>
      <w:tr w14:paraId="21234E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4C4D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2C64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3F625">
            <w:pPr>
              <w:jc w:val="center"/>
            </w:pPr>
            <w:r>
              <w:rPr>
                <w:rFonts w:ascii="宋体" w:hAnsi="宋体" w:eastAsia="宋体"/>
                <w:sz w:val="16"/>
              </w:rPr>
              <w:t>召开社会工作部暨“两新”工委重要会议场次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E29C3">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9AD9B">
            <w:pPr>
              <w:jc w:val="center"/>
            </w:pPr>
            <w:r>
              <w:rPr>
                <w:rFonts w:ascii="宋体" w:hAnsi="宋体" w:eastAsia="宋体"/>
                <w:sz w:val="16"/>
              </w:rPr>
              <w:t>社会工作部2024年工作计划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CED6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D12F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EED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38B1E">
            <w:pPr>
              <w:jc w:val="center"/>
            </w:pPr>
            <w:r>
              <w:rPr>
                <w:rFonts w:ascii="宋体" w:hAnsi="宋体" w:eastAsia="宋体"/>
                <w:sz w:val="16"/>
              </w:rPr>
              <w:t>20</w:t>
            </w:r>
          </w:p>
        </w:tc>
      </w:tr>
      <w:tr w14:paraId="5FDB3F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EE09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224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E2A70">
            <w:pPr>
              <w:jc w:val="center"/>
            </w:pPr>
            <w:r>
              <w:rPr>
                <w:rFonts w:ascii="宋体" w:hAnsi="宋体" w:eastAsia="宋体"/>
                <w:sz w:val="16"/>
              </w:rPr>
              <w:t>开展社会工作领域示范培训场次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6777C">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FCBAB">
            <w:pPr>
              <w:jc w:val="center"/>
            </w:pPr>
            <w:r>
              <w:rPr>
                <w:rFonts w:ascii="宋体" w:hAnsi="宋体" w:eastAsia="宋体"/>
                <w:sz w:val="16"/>
              </w:rPr>
              <w:t>社会工作部2024年工作计划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589E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FDAD0">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57B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BD147">
            <w:pPr>
              <w:jc w:val="center"/>
            </w:pPr>
            <w:r>
              <w:rPr>
                <w:rFonts w:ascii="宋体" w:hAnsi="宋体" w:eastAsia="宋体"/>
                <w:sz w:val="16"/>
              </w:rPr>
              <w:t>15</w:t>
            </w:r>
          </w:p>
        </w:tc>
      </w:tr>
    </w:tbl>
    <w:p w14:paraId="14B0E3C0">
      <w:r>
        <w:br w:type="page"/>
      </w:r>
    </w:p>
    <w:p w14:paraId="451410FF">
      <w:pPr>
        <w:spacing w:line="640" w:lineRule="exact"/>
        <w:ind w:firstLine="640"/>
        <w:jc w:val="both"/>
        <w:outlineLvl w:val="2"/>
      </w:pPr>
      <w:r>
        <w:rPr>
          <w:rFonts w:ascii="黑体" w:hAnsi="黑体" w:eastAsia="黑体"/>
          <w:sz w:val="32"/>
        </w:rPr>
        <w:t>十二、其他需说明的事项</w:t>
      </w:r>
    </w:p>
    <w:p w14:paraId="45D970E2">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E6341BD">
      <w:r>
        <w:br w:type="page"/>
      </w:r>
    </w:p>
    <w:p w14:paraId="2DD811F0">
      <w:pPr>
        <w:spacing w:line="240" w:lineRule="auto"/>
        <w:jc w:val="center"/>
        <w:outlineLvl w:val="1"/>
      </w:pPr>
      <w:r>
        <w:rPr>
          <w:rFonts w:ascii="黑体" w:hAnsi="黑体" w:eastAsia="黑体"/>
          <w:sz w:val="32"/>
        </w:rPr>
        <w:t>第三部分 专业名词解释</w:t>
      </w:r>
    </w:p>
    <w:p w14:paraId="45F368F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DDBD4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34E956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194372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3B6D54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DB3FF1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A7F27F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055B3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EB669B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5CFA0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321C48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5269E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F40343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9BF84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83642D0">
      <w:r>
        <w:br w:type="page"/>
      </w:r>
    </w:p>
    <w:p w14:paraId="7360599A">
      <w:pPr>
        <w:spacing w:line="240" w:lineRule="auto"/>
        <w:jc w:val="center"/>
        <w:outlineLvl w:val="1"/>
      </w:pPr>
      <w:r>
        <w:rPr>
          <w:rFonts w:ascii="黑体" w:hAnsi="黑体" w:eastAsia="黑体"/>
          <w:sz w:val="32"/>
        </w:rPr>
        <w:t>第四部分 部门决算报表（见附表）</w:t>
      </w:r>
    </w:p>
    <w:p w14:paraId="0AFE6E61">
      <w:pPr>
        <w:spacing w:line="240" w:lineRule="auto"/>
        <w:ind w:firstLine="640"/>
        <w:jc w:val="both"/>
      </w:pPr>
      <w:r>
        <w:rPr>
          <w:rFonts w:ascii="仿宋_GB2312" w:hAnsi="仿宋_GB2312" w:eastAsia="仿宋_GB2312"/>
          <w:b w:val="0"/>
          <w:sz w:val="32"/>
        </w:rPr>
        <w:t>一、《收入支出决算总表》</w:t>
      </w:r>
    </w:p>
    <w:p w14:paraId="06AE8A2F">
      <w:pPr>
        <w:spacing w:line="240" w:lineRule="auto"/>
        <w:ind w:firstLine="640"/>
        <w:jc w:val="both"/>
      </w:pPr>
      <w:r>
        <w:rPr>
          <w:rFonts w:ascii="仿宋_GB2312" w:hAnsi="仿宋_GB2312" w:eastAsia="仿宋_GB2312"/>
          <w:b w:val="0"/>
          <w:sz w:val="32"/>
        </w:rPr>
        <w:t>二、《收入决算表》</w:t>
      </w:r>
    </w:p>
    <w:p w14:paraId="64100B19">
      <w:pPr>
        <w:spacing w:line="240" w:lineRule="auto"/>
        <w:ind w:firstLine="640"/>
        <w:jc w:val="both"/>
      </w:pPr>
      <w:r>
        <w:rPr>
          <w:rFonts w:ascii="仿宋_GB2312" w:hAnsi="仿宋_GB2312" w:eastAsia="仿宋_GB2312"/>
          <w:b w:val="0"/>
          <w:sz w:val="32"/>
        </w:rPr>
        <w:t>三、《支出决算表》</w:t>
      </w:r>
    </w:p>
    <w:p w14:paraId="5BAD628D">
      <w:pPr>
        <w:spacing w:line="240" w:lineRule="auto"/>
        <w:ind w:firstLine="640"/>
        <w:jc w:val="both"/>
      </w:pPr>
      <w:r>
        <w:rPr>
          <w:rFonts w:ascii="仿宋_GB2312" w:hAnsi="仿宋_GB2312" w:eastAsia="仿宋_GB2312"/>
          <w:b w:val="0"/>
          <w:sz w:val="32"/>
        </w:rPr>
        <w:t>四、《财政拨款收入支出决算总表》</w:t>
      </w:r>
    </w:p>
    <w:p w14:paraId="2B996DEA">
      <w:pPr>
        <w:spacing w:line="240" w:lineRule="auto"/>
        <w:ind w:firstLine="640"/>
        <w:jc w:val="both"/>
      </w:pPr>
      <w:r>
        <w:rPr>
          <w:rFonts w:ascii="仿宋_GB2312" w:hAnsi="仿宋_GB2312" w:eastAsia="仿宋_GB2312"/>
          <w:b w:val="0"/>
          <w:sz w:val="32"/>
        </w:rPr>
        <w:t>五、《一般公共预算财政拨款支出决算表》</w:t>
      </w:r>
    </w:p>
    <w:p w14:paraId="7DBFA8CE">
      <w:pPr>
        <w:spacing w:line="240" w:lineRule="auto"/>
        <w:ind w:firstLine="640"/>
        <w:jc w:val="both"/>
      </w:pPr>
      <w:r>
        <w:rPr>
          <w:rFonts w:ascii="仿宋_GB2312" w:hAnsi="仿宋_GB2312" w:eastAsia="仿宋_GB2312"/>
          <w:b w:val="0"/>
          <w:sz w:val="32"/>
        </w:rPr>
        <w:t>六、《一般公共预算财政拨款基本支出决算表》</w:t>
      </w:r>
    </w:p>
    <w:p w14:paraId="03009721">
      <w:pPr>
        <w:spacing w:line="240" w:lineRule="auto"/>
        <w:ind w:firstLine="640"/>
        <w:jc w:val="both"/>
      </w:pPr>
      <w:r>
        <w:rPr>
          <w:rFonts w:ascii="仿宋_GB2312" w:hAnsi="仿宋_GB2312" w:eastAsia="仿宋_GB2312"/>
          <w:b w:val="0"/>
          <w:sz w:val="32"/>
        </w:rPr>
        <w:t>七、《政府性基金预算财政拨款收入支出决算表》</w:t>
      </w:r>
    </w:p>
    <w:p w14:paraId="1F3471E8">
      <w:pPr>
        <w:spacing w:line="240" w:lineRule="auto"/>
        <w:ind w:firstLine="640"/>
        <w:jc w:val="both"/>
      </w:pPr>
      <w:r>
        <w:rPr>
          <w:rFonts w:ascii="仿宋_GB2312" w:hAnsi="仿宋_GB2312" w:eastAsia="仿宋_GB2312"/>
          <w:b w:val="0"/>
          <w:sz w:val="32"/>
        </w:rPr>
        <w:t>八、《国有资本经营预算财政拨款收入支出决算表》</w:t>
      </w:r>
    </w:p>
    <w:p w14:paraId="2B4ECE40">
      <w:pPr>
        <w:spacing w:line="240" w:lineRule="auto"/>
        <w:ind w:firstLine="640"/>
        <w:jc w:val="both"/>
      </w:pPr>
      <w:r>
        <w:rPr>
          <w:rFonts w:ascii="仿宋_GB2312" w:hAnsi="仿宋_GB2312" w:eastAsia="仿宋_GB2312"/>
          <w:b w:val="0"/>
          <w:sz w:val="32"/>
        </w:rPr>
        <w:t>九、《财政拨款“三公”经费支出决算表》</w:t>
      </w:r>
    </w:p>
    <w:p w14:paraId="435A1438">
      <w:pPr>
        <w:spacing w:line="240" w:lineRule="auto"/>
        <w:ind w:firstLine="640"/>
        <w:jc w:val="both"/>
      </w:pPr>
    </w:p>
    <w:p w14:paraId="2271FF56">
      <w:pPr>
        <w:spacing w:line="240" w:lineRule="auto"/>
        <w:ind w:firstLine="640"/>
        <w:jc w:val="both"/>
      </w:pPr>
    </w:p>
    <w:p w14:paraId="509901AB">
      <w:pPr>
        <w:spacing w:line="240" w:lineRule="auto"/>
        <w:ind w:firstLine="640"/>
        <w:jc w:val="both"/>
      </w:pPr>
    </w:p>
    <w:p w14:paraId="48786279">
      <w:pPr>
        <w:spacing w:line="240" w:lineRule="auto"/>
        <w:ind w:firstLine="640"/>
        <w:jc w:val="both"/>
      </w:pPr>
    </w:p>
    <w:p w14:paraId="63AF026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AD56B7"/>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556108"/>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4095</Words>
  <Characters>4646</Characters>
  <Lines>0</Lines>
  <Paragraphs>0</Paragraphs>
  <TotalTime>1</TotalTime>
  <ScaleCrop>false</ScaleCrop>
  <LinksUpToDate>false</LinksUpToDate>
  <CharactersWithSpaces>4654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2025-09-26T10:17:20Z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