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中共疏勒县纪律检查委员会2024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CC825FA">
      <w:r>
        <w:br w:type="page"/>
      </w:r>
    </w:p>
    <w:p w14:paraId="10373BC8">
      <w:pPr>
        <w:spacing w:line="640" w:lineRule="exact"/>
        <w:jc w:val="center"/>
        <w:outlineLvl w:val="1"/>
      </w:pPr>
      <w:r>
        <w:rPr>
          <w:rFonts w:ascii="黑体" w:hAnsi="黑体" w:eastAsia="黑体"/>
          <w:sz w:val="32"/>
        </w:rPr>
        <w:t>第一部分 单位概况</w:t>
      </w:r>
    </w:p>
    <w:p w14:paraId="332A66A9">
      <w:pPr>
        <w:spacing w:line="640" w:lineRule="exact"/>
        <w:ind w:firstLine="640"/>
        <w:jc w:val="both"/>
        <w:outlineLvl w:val="2"/>
      </w:pPr>
      <w:r>
        <w:rPr>
          <w:rFonts w:ascii="黑体" w:hAnsi="黑体" w:eastAsia="黑体"/>
          <w:sz w:val="32"/>
        </w:rPr>
        <w:t>一、主要职能</w:t>
      </w:r>
    </w:p>
    <w:p w14:paraId="56E9E748">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负责党的纪律检查工作。</w:t>
      </w:r>
    </w:p>
    <w:p w14:paraId="3FF0711D">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依照党的章程和其他党内法规履行监督、执纪、问责职责。</w:t>
      </w:r>
    </w:p>
    <w:p w14:paraId="3987434F">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在县委领导下组织开展工作。</w:t>
      </w:r>
    </w:p>
    <w:p w14:paraId="6D89E131">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负责全县监察工作。</w:t>
      </w:r>
    </w:p>
    <w:p w14:paraId="46D9DE02">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依照法律规定履行监督、调查、处置职责。</w:t>
      </w:r>
    </w:p>
    <w:p w14:paraId="67AD2B51">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负责组织协调全县全面从严治党、党风廉政建设和反腐败宣传教育工作。</w:t>
      </w:r>
    </w:p>
    <w:p w14:paraId="167F315E">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负责综合分析全县全面从严治党、党风廉政建设和反腐败工作情况，对纪检监察工作重要理论及实践问题进行调查研究；提出全县纪检监察法规制度建设规划、计划和立法立规建议。</w:t>
      </w:r>
    </w:p>
    <w:p w14:paraId="110E71B8">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负责配合自治区纪委监委、地区纪委监委做好与其他国家、地区、国际组织的反腐败国际交流、合作，加强对反</w:t>
      </w:r>
      <w:r>
        <w:rPr>
          <w:rFonts w:hint="eastAsia" w:ascii="仿宋_GB2312" w:hAnsi="仿宋_GB2312" w:eastAsia="仿宋_GB2312"/>
          <w:sz w:val="32"/>
          <w:lang w:eastAsia="zh-CN"/>
        </w:rPr>
        <w:t>腐败</w:t>
      </w:r>
      <w:r>
        <w:rPr>
          <w:rFonts w:ascii="仿宋_GB2312" w:hAnsi="仿宋_GB2312" w:eastAsia="仿宋_GB2312"/>
          <w:sz w:val="32"/>
        </w:rPr>
        <w:t>国际追逃追赃和防逃工作的组织协调，督促有关单位做好相关工作。</w:t>
      </w:r>
    </w:p>
    <w:p w14:paraId="1C3DEA98">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根据干部管理权限，负责县纪检监察系统领导班子建设、干部队伍建设和组织建设的综合规划、政策研究、制度建设和业务指导等。</w:t>
      </w:r>
    </w:p>
    <w:p w14:paraId="0EDB563A">
      <w:pPr>
        <w:spacing w:line="640" w:lineRule="exact"/>
        <w:ind w:firstLine="640"/>
        <w:jc w:val="both"/>
        <w:outlineLvl w:val="2"/>
      </w:pPr>
      <w:r>
        <w:rPr>
          <w:rFonts w:ascii="黑体" w:hAnsi="黑体" w:eastAsia="黑体"/>
          <w:sz w:val="32"/>
        </w:rPr>
        <w:t>二、机构设置及人员情况</w:t>
      </w:r>
    </w:p>
    <w:p w14:paraId="5EA92C5D">
      <w:pPr>
        <w:spacing w:line="580" w:lineRule="exact"/>
        <w:ind w:firstLine="640"/>
        <w:jc w:val="both"/>
      </w:pPr>
      <w:r>
        <w:rPr>
          <w:rFonts w:ascii="仿宋_GB2312" w:hAnsi="仿宋_GB2312" w:eastAsia="仿宋_GB2312"/>
          <w:sz w:val="32"/>
        </w:rPr>
        <w:t>中共疏勒县纪律检查委员会2024年度，实有人数132人，其中：在职人员124人，增加13人；离休人员0人，增加0人；退休人员8人,增加1人。</w:t>
      </w:r>
    </w:p>
    <w:p w14:paraId="3C28A5C1">
      <w:pPr>
        <w:spacing w:line="580" w:lineRule="exact"/>
        <w:ind w:firstLine="640"/>
        <w:jc w:val="both"/>
      </w:pPr>
      <w:r>
        <w:rPr>
          <w:rFonts w:ascii="仿宋_GB2312" w:hAnsi="仿宋_GB2312" w:eastAsia="仿宋_GB2312"/>
          <w:sz w:val="32"/>
        </w:rPr>
        <w:t>中共疏勒县纪律检查委员会无下属预算单位，下设9个科室，分别是：办公室、组织部（干部监督室）、宣传部（政策法规研究室）、党风政风监督室、信访室、案件监督管理室、第一至第四纪检监察室、案件审理室、机关党总支。</w:t>
      </w:r>
    </w:p>
    <w:p w14:paraId="33AFA21D">
      <w:r>
        <w:br w:type="page"/>
      </w:r>
    </w:p>
    <w:p w14:paraId="1C7B55D0">
      <w:pPr>
        <w:spacing w:line="240" w:lineRule="auto"/>
        <w:jc w:val="center"/>
        <w:outlineLvl w:val="1"/>
      </w:pPr>
      <w:r>
        <w:rPr>
          <w:rFonts w:ascii="黑体" w:hAnsi="黑体" w:eastAsia="黑体"/>
          <w:sz w:val="32"/>
        </w:rPr>
        <w:t>第二部分 部门决算情况说明</w:t>
      </w:r>
    </w:p>
    <w:p w14:paraId="4AC371F4">
      <w:pPr>
        <w:spacing w:line="640" w:lineRule="exact"/>
        <w:ind w:firstLine="640"/>
        <w:jc w:val="both"/>
        <w:outlineLvl w:val="2"/>
      </w:pPr>
      <w:r>
        <w:rPr>
          <w:rFonts w:ascii="黑体" w:hAnsi="黑体" w:eastAsia="黑体"/>
          <w:sz w:val="32"/>
        </w:rPr>
        <w:t>一、收入支出决算总体情况说明</w:t>
      </w:r>
    </w:p>
    <w:p w14:paraId="6E11CCCE">
      <w:pPr>
        <w:spacing w:line="580" w:lineRule="exact"/>
        <w:ind w:firstLine="640"/>
        <w:jc w:val="both"/>
      </w:pPr>
      <w:r>
        <w:rPr>
          <w:rFonts w:ascii="仿宋_GB2312" w:hAnsi="仿宋_GB2312" w:eastAsia="仿宋_GB2312"/>
          <w:b/>
          <w:sz w:val="32"/>
        </w:rPr>
        <w:t>2024年度收入总计2,418.80万元，</w:t>
      </w:r>
      <w:r>
        <w:rPr>
          <w:rFonts w:ascii="仿宋_GB2312" w:hAnsi="仿宋_GB2312" w:eastAsia="仿宋_GB2312"/>
          <w:b w:val="0"/>
          <w:sz w:val="32"/>
        </w:rPr>
        <w:t>其中：本年收入合计2,418.80万元，使用非财政拨款结余（含专用结余）0.00万元，年初结转和结余0.00万元。</w:t>
      </w:r>
    </w:p>
    <w:p w14:paraId="7C6B0047">
      <w:pPr>
        <w:spacing w:line="580" w:lineRule="exact"/>
        <w:ind w:firstLine="640"/>
        <w:jc w:val="both"/>
        <w:rPr>
          <w:spacing w:val="-11"/>
          <w:sz w:val="32"/>
        </w:rPr>
      </w:pPr>
      <w:r>
        <w:rPr>
          <w:rFonts w:ascii="仿宋_GB2312" w:hAnsi="仿宋_GB2312" w:eastAsia="仿宋_GB2312"/>
          <w:b/>
          <w:spacing w:val="-11"/>
          <w:sz w:val="32"/>
        </w:rPr>
        <w:t>2024年度支出总计2,418.80万元，</w:t>
      </w:r>
      <w:r>
        <w:rPr>
          <w:rFonts w:ascii="仿宋_GB2312" w:hAnsi="仿宋_GB2312" w:eastAsia="仿宋_GB2312"/>
          <w:b w:val="0"/>
          <w:spacing w:val="-11"/>
          <w:sz w:val="32"/>
        </w:rPr>
        <w:t>其中：本年支出合计2,418.80万元，结余分配0.00万元，年末结转和结余0.00万元。</w:t>
      </w:r>
    </w:p>
    <w:p w14:paraId="34FD7F47">
      <w:pPr>
        <w:spacing w:line="580" w:lineRule="exact"/>
        <w:ind w:firstLine="640"/>
        <w:jc w:val="both"/>
      </w:pPr>
      <w:r>
        <w:rPr>
          <w:rFonts w:ascii="仿宋_GB2312" w:hAnsi="仿宋_GB2312" w:eastAsia="仿宋_GB2312"/>
          <w:b w:val="0"/>
          <w:sz w:val="32"/>
        </w:rPr>
        <w:t>收入支出总体与上年相比，增加288.07万元，增长13.52%，主要原因是：本年度在职人员增加，在职人员工资调增，社保、公积金基数调增，</w:t>
      </w:r>
      <w:r>
        <w:rPr>
          <w:rFonts w:hint="eastAsia" w:ascii="仿宋_GB2312" w:hAnsi="仿宋_GB2312" w:eastAsia="仿宋_GB2312"/>
          <w:b w:val="0"/>
          <w:sz w:val="32"/>
          <w:lang w:val="en-US" w:eastAsia="zh-CN"/>
        </w:rPr>
        <w:t>导致</w:t>
      </w:r>
      <w:r>
        <w:rPr>
          <w:rFonts w:ascii="仿宋_GB2312" w:hAnsi="仿宋_GB2312" w:eastAsia="仿宋_GB2312"/>
          <w:b w:val="0"/>
          <w:sz w:val="32"/>
        </w:rPr>
        <w:t>人员经费增加，新增疏勒县巡察办工作经费项目。</w:t>
      </w:r>
    </w:p>
    <w:p w14:paraId="65700DD7">
      <w:pPr>
        <w:spacing w:line="640" w:lineRule="exact"/>
        <w:ind w:firstLine="640"/>
        <w:jc w:val="both"/>
        <w:outlineLvl w:val="2"/>
      </w:pPr>
      <w:r>
        <w:rPr>
          <w:rFonts w:ascii="黑体" w:hAnsi="黑体" w:eastAsia="黑体"/>
          <w:sz w:val="32"/>
        </w:rPr>
        <w:t>二、收入决算情况说明</w:t>
      </w:r>
    </w:p>
    <w:p w14:paraId="5E7BFAA3">
      <w:pPr>
        <w:spacing w:line="580" w:lineRule="exact"/>
        <w:ind w:firstLine="640"/>
        <w:jc w:val="both"/>
      </w:pPr>
      <w:r>
        <w:rPr>
          <w:rFonts w:ascii="仿宋_GB2312" w:hAnsi="仿宋_GB2312" w:eastAsia="仿宋_GB2312"/>
          <w:b/>
          <w:sz w:val="32"/>
        </w:rPr>
        <w:t>本年收入2,418.80万元，</w:t>
      </w:r>
      <w:r>
        <w:rPr>
          <w:rFonts w:ascii="仿宋_GB2312" w:hAnsi="仿宋_GB2312" w:eastAsia="仿宋_GB2312"/>
          <w:b w:val="0"/>
          <w:sz w:val="32"/>
        </w:rPr>
        <w:t>其中：财政拨款收入2,418.80万元，占100.00%；上级补助收入0.00万元，占0.00%；事业收入0.00万元，占0.00%；经营收入0.00万元，占0.00%；附属单位上缴收入0.00万元，占0.00%；其他收入0.00万元，占0.00%。</w:t>
      </w:r>
    </w:p>
    <w:p w14:paraId="031ADD8E">
      <w:pPr>
        <w:spacing w:line="640" w:lineRule="exact"/>
        <w:ind w:firstLine="640"/>
        <w:jc w:val="both"/>
        <w:outlineLvl w:val="2"/>
      </w:pPr>
      <w:r>
        <w:rPr>
          <w:rFonts w:ascii="黑体" w:hAnsi="黑体" w:eastAsia="黑体"/>
          <w:sz w:val="32"/>
        </w:rPr>
        <w:t>三、支出决算情况说明</w:t>
      </w:r>
    </w:p>
    <w:p w14:paraId="2F246CC6">
      <w:pPr>
        <w:spacing w:line="580" w:lineRule="exact"/>
        <w:ind w:firstLine="640"/>
        <w:jc w:val="both"/>
      </w:pPr>
      <w:r>
        <w:rPr>
          <w:rFonts w:ascii="仿宋_GB2312" w:hAnsi="仿宋_GB2312" w:eastAsia="仿宋_GB2312"/>
          <w:b/>
          <w:sz w:val="32"/>
        </w:rPr>
        <w:t>本年支出2,418.80万元，</w:t>
      </w:r>
      <w:r>
        <w:rPr>
          <w:rFonts w:ascii="仿宋_GB2312" w:hAnsi="仿宋_GB2312" w:eastAsia="仿宋_GB2312"/>
          <w:b w:val="0"/>
          <w:sz w:val="32"/>
        </w:rPr>
        <w:t>其中：基本支出2,147.37万元，占88.78%；项目支出271.43万元，占11.22%；上缴上级支出0.00万元，占0.00%；经营支出0.00万元，占0.00%；对附属单位补助支出0.00万元，占0.00%。</w:t>
      </w:r>
    </w:p>
    <w:p w14:paraId="07DBC930">
      <w:pPr>
        <w:spacing w:line="640" w:lineRule="exact"/>
        <w:ind w:firstLine="640"/>
        <w:jc w:val="both"/>
        <w:outlineLvl w:val="2"/>
      </w:pPr>
      <w:r>
        <w:rPr>
          <w:rFonts w:ascii="黑体" w:hAnsi="黑体" w:eastAsia="黑体"/>
          <w:sz w:val="32"/>
        </w:rPr>
        <w:t>四、财政拨款收入支出决算总体情况说明</w:t>
      </w:r>
    </w:p>
    <w:p w14:paraId="69130E01">
      <w:pPr>
        <w:spacing w:line="580" w:lineRule="exact"/>
        <w:ind w:firstLine="640"/>
        <w:jc w:val="both"/>
      </w:pPr>
      <w:r>
        <w:rPr>
          <w:rFonts w:ascii="仿宋_GB2312" w:hAnsi="仿宋_GB2312" w:eastAsia="仿宋_GB2312"/>
          <w:b/>
          <w:sz w:val="32"/>
        </w:rPr>
        <w:t>2024年度财政拨款收入总计2,418.80万元，</w:t>
      </w:r>
      <w:r>
        <w:rPr>
          <w:rFonts w:ascii="仿宋_GB2312" w:hAnsi="仿宋_GB2312" w:eastAsia="仿宋_GB2312"/>
          <w:b w:val="0"/>
          <w:sz w:val="32"/>
        </w:rPr>
        <w:t>其中：年初财政拨款结转和结余0.00万元，本年财政拨款收入2,418.80万元。</w:t>
      </w:r>
      <w:r>
        <w:rPr>
          <w:rFonts w:ascii="仿宋_GB2312" w:hAnsi="仿宋_GB2312" w:eastAsia="仿宋_GB2312"/>
          <w:b/>
          <w:sz w:val="32"/>
        </w:rPr>
        <w:t>财政拨款支出总计2,418.80万元，</w:t>
      </w:r>
      <w:r>
        <w:rPr>
          <w:rFonts w:ascii="仿宋_GB2312" w:hAnsi="仿宋_GB2312" w:eastAsia="仿宋_GB2312"/>
          <w:b w:val="0"/>
          <w:sz w:val="32"/>
        </w:rPr>
        <w:t>其中：年末财政拨款结转和结余0.00万元，本年财政拨款支出2,418.80万元。</w:t>
      </w:r>
    </w:p>
    <w:p w14:paraId="5BF56F7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增加288.07万元，增长13.52%，主要原因是：本年度在职人员增加，在职人员工资调增，社保、公积金基数调增，人员经费增加，新增疏勒县巡察办工作经费项目。</w:t>
      </w:r>
      <w:r>
        <w:rPr>
          <w:rFonts w:ascii="仿宋_GB2312" w:hAnsi="仿宋_GB2312" w:eastAsia="仿宋_GB2312"/>
          <w:b/>
          <w:sz w:val="32"/>
        </w:rPr>
        <w:t>与年初预算相比，</w:t>
      </w:r>
      <w:r>
        <w:rPr>
          <w:rFonts w:ascii="仿宋_GB2312" w:hAnsi="仿宋_GB2312" w:eastAsia="仿宋_GB2312"/>
          <w:b w:val="0"/>
          <w:sz w:val="32"/>
        </w:rPr>
        <w:t>年初预算数2,265.57万元，决算数2,418.80万元，预决算差异率6.76%，主要原因是：本年在职人员增加，年中追加人员经费及人员工资、社保、公积金基数调增部分资金。</w:t>
      </w:r>
    </w:p>
    <w:p w14:paraId="08FB0885">
      <w:pPr>
        <w:spacing w:line="640" w:lineRule="exact"/>
        <w:ind w:firstLine="640"/>
        <w:jc w:val="both"/>
        <w:outlineLvl w:val="2"/>
      </w:pPr>
      <w:r>
        <w:rPr>
          <w:rFonts w:ascii="黑体" w:hAnsi="黑体" w:eastAsia="黑体"/>
          <w:sz w:val="32"/>
        </w:rPr>
        <w:t>五、一般公共预算财政拨款支出决算情况说明</w:t>
      </w:r>
    </w:p>
    <w:p w14:paraId="048A7365">
      <w:pPr>
        <w:spacing w:line="640" w:lineRule="exact"/>
        <w:ind w:firstLine="640"/>
        <w:jc w:val="both"/>
        <w:outlineLvl w:val="3"/>
      </w:pPr>
      <w:r>
        <w:rPr>
          <w:rFonts w:ascii="楷体_GB2312" w:hAnsi="楷体_GB2312" w:eastAsia="楷体_GB2312"/>
          <w:b/>
          <w:sz w:val="32"/>
        </w:rPr>
        <w:t>（一）一般公共预算财政拨款支出决算总体情况</w:t>
      </w:r>
    </w:p>
    <w:p w14:paraId="294E8746">
      <w:pPr>
        <w:spacing w:line="580" w:lineRule="exact"/>
        <w:ind w:firstLine="640"/>
        <w:jc w:val="both"/>
      </w:pPr>
      <w:r>
        <w:rPr>
          <w:rFonts w:ascii="仿宋_GB2312" w:hAnsi="仿宋_GB2312" w:eastAsia="仿宋_GB2312"/>
          <w:b/>
          <w:sz w:val="32"/>
        </w:rPr>
        <w:t>2024年度一般公共预算财政拨款支出2,418.80万元，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增加288.07万元，增长13.52%，主要原因是：本年度在职人员增加，在职人员工资调增，社保、公积金基数调增，人员经费增加，新增疏勒县巡察办工作经费项目。</w:t>
      </w:r>
      <w:r>
        <w:rPr>
          <w:rFonts w:ascii="仿宋_GB2312" w:hAnsi="仿宋_GB2312" w:eastAsia="仿宋_GB2312"/>
          <w:b/>
          <w:sz w:val="32"/>
        </w:rPr>
        <w:t>与年初预算相比,</w:t>
      </w:r>
      <w:r>
        <w:rPr>
          <w:rFonts w:ascii="仿宋_GB2312" w:hAnsi="仿宋_GB2312" w:eastAsia="仿宋_GB2312"/>
          <w:b w:val="0"/>
          <w:sz w:val="32"/>
        </w:rPr>
        <w:t>年初预算数2,265.57万元，决算数2,418.80万元，预决算差异率6.76%，主要原因是：本年在职人员增加，年中追加人员经费及人员工资、社保、公积金基数调增部分资金。</w:t>
      </w:r>
    </w:p>
    <w:p w14:paraId="7341A907">
      <w:pPr>
        <w:spacing w:line="640" w:lineRule="exact"/>
        <w:ind w:firstLine="640"/>
        <w:jc w:val="both"/>
        <w:outlineLvl w:val="3"/>
      </w:pPr>
      <w:r>
        <w:rPr>
          <w:rFonts w:ascii="楷体_GB2312" w:hAnsi="楷体_GB2312" w:eastAsia="楷体_GB2312"/>
          <w:b/>
          <w:sz w:val="32"/>
        </w:rPr>
        <w:t>（二）一般公共预算财政拨款支出决算结构情况</w:t>
      </w:r>
    </w:p>
    <w:p w14:paraId="7F55EAFC">
      <w:pPr>
        <w:spacing w:line="580" w:lineRule="exact"/>
        <w:ind w:firstLine="640"/>
        <w:jc w:val="both"/>
      </w:pPr>
      <w:r>
        <w:rPr>
          <w:rFonts w:ascii="仿宋_GB2312" w:hAnsi="仿宋_GB2312" w:eastAsia="仿宋_GB2312"/>
          <w:b w:val="0"/>
          <w:sz w:val="32"/>
        </w:rPr>
        <w:t>1.一般公共服务支出(类)1,869.44万元,占77.29%。</w:t>
      </w:r>
    </w:p>
    <w:p w14:paraId="728987CA">
      <w:pPr>
        <w:spacing w:line="580" w:lineRule="exact"/>
        <w:ind w:firstLine="640"/>
        <w:jc w:val="both"/>
      </w:pPr>
      <w:r>
        <w:rPr>
          <w:rFonts w:ascii="仿宋_GB2312" w:hAnsi="仿宋_GB2312" w:eastAsia="仿宋_GB2312"/>
          <w:b w:val="0"/>
          <w:sz w:val="32"/>
        </w:rPr>
        <w:t>2.社会保障和就业支出(类)229.78万元,占9.50%。</w:t>
      </w:r>
    </w:p>
    <w:p w14:paraId="05A179FE">
      <w:pPr>
        <w:spacing w:line="580" w:lineRule="exact"/>
        <w:ind w:firstLine="640"/>
        <w:jc w:val="both"/>
      </w:pPr>
      <w:r>
        <w:rPr>
          <w:rFonts w:ascii="仿宋_GB2312" w:hAnsi="仿宋_GB2312" w:eastAsia="仿宋_GB2312"/>
          <w:b w:val="0"/>
          <w:sz w:val="32"/>
        </w:rPr>
        <w:t>3.卫生健康支出(类)112.95万元,占4.67%。</w:t>
      </w:r>
    </w:p>
    <w:p w14:paraId="4C4D07FB">
      <w:pPr>
        <w:spacing w:line="580" w:lineRule="exact"/>
        <w:ind w:firstLine="640"/>
        <w:jc w:val="both"/>
      </w:pPr>
      <w:r>
        <w:rPr>
          <w:rFonts w:ascii="仿宋_GB2312" w:hAnsi="仿宋_GB2312" w:eastAsia="仿宋_GB2312"/>
          <w:b w:val="0"/>
          <w:sz w:val="32"/>
        </w:rPr>
        <w:t>4.农林水支出(类)40.48万元,占1.67%。</w:t>
      </w:r>
    </w:p>
    <w:p w14:paraId="38E67285">
      <w:pPr>
        <w:spacing w:line="580" w:lineRule="exact"/>
        <w:ind w:firstLine="640"/>
        <w:jc w:val="both"/>
      </w:pPr>
      <w:r>
        <w:rPr>
          <w:rFonts w:ascii="仿宋_GB2312" w:hAnsi="仿宋_GB2312" w:eastAsia="仿宋_GB2312"/>
          <w:b w:val="0"/>
          <w:sz w:val="32"/>
        </w:rPr>
        <w:t>5.住房保障支出(类)166.15万元,占6.87%。</w:t>
      </w:r>
    </w:p>
    <w:p w14:paraId="3E138208">
      <w:pPr>
        <w:spacing w:line="640" w:lineRule="exact"/>
        <w:ind w:firstLine="640"/>
        <w:jc w:val="both"/>
        <w:outlineLvl w:val="3"/>
      </w:pPr>
      <w:r>
        <w:rPr>
          <w:rFonts w:ascii="楷体_GB2312" w:hAnsi="楷体_GB2312" w:eastAsia="楷体_GB2312"/>
          <w:b/>
          <w:sz w:val="32"/>
        </w:rPr>
        <w:t>（三）一般公共预算财政拨款支出决算具体情况</w:t>
      </w:r>
    </w:p>
    <w:p w14:paraId="51E3C0A0">
      <w:pPr>
        <w:spacing w:line="580" w:lineRule="exact"/>
        <w:ind w:firstLine="640"/>
        <w:jc w:val="both"/>
      </w:pPr>
      <w:r>
        <w:rPr>
          <w:rFonts w:ascii="仿宋_GB2312" w:hAnsi="仿宋_GB2312" w:eastAsia="仿宋_GB2312"/>
          <w:b w:val="0"/>
          <w:sz w:val="32"/>
        </w:rPr>
        <w:t>1.一般公共服务支出(类)纪检监察事务(款)行政运行(项):支出决算数为1,638.49万元，比上年决算增加97.99万元，增长6.36%,主要原因是：本年新增在职人员，人员经费增加，导致经费较上年有所增加。</w:t>
      </w:r>
    </w:p>
    <w:p w14:paraId="7E8E5D0A">
      <w:pPr>
        <w:spacing w:line="580" w:lineRule="exact"/>
        <w:ind w:firstLine="640"/>
        <w:jc w:val="both"/>
      </w:pPr>
      <w:r>
        <w:rPr>
          <w:rFonts w:ascii="仿宋_GB2312" w:hAnsi="仿宋_GB2312" w:eastAsia="仿宋_GB2312"/>
          <w:b w:val="0"/>
          <w:sz w:val="32"/>
        </w:rPr>
        <w:t>2.一般公共服务支出(类)纪检监察事务(款)一般行政管理事务(项):支出决算数为0.00万元，比上年决算减少17.07万元，下降100.00%,主要原因是：本年科目调整，疏勒县乡（镇）纪检监察干部津贴项目调整至其他纪检监察事务支出，</w:t>
      </w:r>
      <w:r>
        <w:rPr>
          <w:rFonts w:hint="eastAsia" w:ascii="仿宋_GB2312" w:hAnsi="仿宋_GB2312" w:eastAsia="仿宋_GB2312"/>
          <w:b w:val="0"/>
          <w:sz w:val="32"/>
          <w:lang w:val="en-US" w:eastAsia="zh-CN"/>
        </w:rPr>
        <w:t>导致</w:t>
      </w:r>
      <w:r>
        <w:rPr>
          <w:rFonts w:ascii="仿宋_GB2312" w:hAnsi="仿宋_GB2312" w:eastAsia="仿宋_GB2312"/>
          <w:b w:val="0"/>
          <w:sz w:val="32"/>
        </w:rPr>
        <w:t>相关经费减少。</w:t>
      </w:r>
    </w:p>
    <w:p w14:paraId="52F74409">
      <w:pPr>
        <w:spacing w:line="580" w:lineRule="exact"/>
        <w:ind w:firstLine="640"/>
        <w:jc w:val="both"/>
      </w:pPr>
      <w:r>
        <w:rPr>
          <w:rFonts w:ascii="仿宋_GB2312" w:hAnsi="仿宋_GB2312" w:eastAsia="仿宋_GB2312"/>
          <w:b w:val="0"/>
          <w:sz w:val="32"/>
        </w:rPr>
        <w:t>3.一般公共服务支出(类)纪检监察事务(款)巡视工作(项):支出决算数为24.46万元，比上年决算增加24.46万元，增长100.00%,主要原因是：本年度本单位新增疏勒县巡察办工作经费项目。</w:t>
      </w:r>
    </w:p>
    <w:p w14:paraId="212BC263">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206.49万元，比上年决算增加78.84万元，增长61.76%,主要原因是：本年增加乡（镇）纪检监察干部津贴项目及工作经费项目、疏勒县纪委监委案件处理经费及业务经费项目、增加上级安排专项资金，纪委案件处理专项经费（回补）。</w:t>
      </w:r>
    </w:p>
    <w:p w14:paraId="722C8CCB">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5.社会保障和就业支出(类)行政事业单位养老支出(款)行政单位离退休(项):支出决算数为10.15万元，比上年决算增加1.89万元，增长22.88%,主要原因是：本年增加退休人员基础绩效奖，退休费支出增加。</w:t>
      </w:r>
    </w:p>
    <w:p w14:paraId="100DC593">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210.54万元，比上年决算增加34.67万元，增长19.71%,主要原因是：本年在职人员增加，养老缴费基数上涨，养老保险缴费较上年增加，相应支出增加。</w:t>
      </w:r>
    </w:p>
    <w:p w14:paraId="46D84902">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7.社会保障和就业支出(类)行政事业单位养老支出(款)机关事业单位职业年金缴费支出(项):支出决算数为9.09万元，比上年决算增加1.18万元，增长14.92%,主要原因是：本年新增退休人员，职业年金缴费支出增加。</w:t>
      </w:r>
    </w:p>
    <w:p w14:paraId="10D4F012">
      <w:pPr>
        <w:spacing w:line="580" w:lineRule="exact"/>
        <w:ind w:firstLine="640"/>
        <w:jc w:val="both"/>
      </w:pPr>
      <w:r>
        <w:rPr>
          <w:rFonts w:ascii="仿宋_GB2312" w:hAnsi="仿宋_GB2312" w:eastAsia="仿宋_GB2312"/>
          <w:b w:val="0"/>
          <w:sz w:val="32"/>
        </w:rPr>
        <w:t>8.卫生健康支出(类)行政事业单位医疗(款)行政单位医疗(项):支出决算数为89.48万元，比上年决算增加14.82万元，增长19.85%,主要原因是：本年在职人员增加，行政单位医疗支出较上年增加。</w:t>
      </w:r>
    </w:p>
    <w:p w14:paraId="2C351D9A">
      <w:pPr>
        <w:spacing w:line="580" w:lineRule="exact"/>
        <w:ind w:firstLine="640"/>
        <w:jc w:val="both"/>
      </w:pPr>
      <w:r>
        <w:rPr>
          <w:rFonts w:ascii="仿宋_GB2312" w:hAnsi="仿宋_GB2312" w:eastAsia="仿宋_GB2312"/>
          <w:b w:val="0"/>
          <w:sz w:val="32"/>
        </w:rPr>
        <w:t>9.卫生健康支出(类)行政事业单位医疗(款)公务员医疗补助(项):支出决算数为23.47万元，比上年决算增加3.71万元，增长18.78%,主要原因是：本年在职人员增加，公务员医疗补助较上年增加。</w:t>
      </w:r>
    </w:p>
    <w:p w14:paraId="763A856E">
      <w:pPr>
        <w:spacing w:line="580" w:lineRule="exact"/>
        <w:ind w:firstLine="640"/>
        <w:jc w:val="both"/>
      </w:pPr>
      <w:r>
        <w:rPr>
          <w:rFonts w:ascii="仿宋_GB2312" w:hAnsi="仿宋_GB2312" w:eastAsia="仿宋_GB2312"/>
          <w:b w:val="0"/>
          <w:sz w:val="32"/>
        </w:rPr>
        <w:t>10.农林水支出(类)农业农村(款)其他农业农村支出(项):支出决算数为40.48万元，比上年决算增加21.16万元，增长109.52%,主要原因是：本年2024年工作队为民办实事经费项目资金增加。</w:t>
      </w:r>
    </w:p>
    <w:p w14:paraId="66E826E1">
      <w:pPr>
        <w:spacing w:line="580" w:lineRule="exact"/>
        <w:ind w:firstLine="640"/>
        <w:jc w:val="both"/>
      </w:pPr>
      <w:r>
        <w:rPr>
          <w:rFonts w:ascii="仿宋_GB2312" w:hAnsi="仿宋_GB2312" w:eastAsia="仿宋_GB2312"/>
          <w:b w:val="0"/>
          <w:sz w:val="32"/>
        </w:rPr>
        <w:t>11.住房保障支出(类)住房改革支出(款)住房公积金(项):支出决算数为166.15万元，比上年决算增加26.41万元，增长18.90%,主要原因是：本年在职人员增加，住房公积金支出较上年增加。</w:t>
      </w:r>
    </w:p>
    <w:p w14:paraId="7ED54887">
      <w:pPr>
        <w:spacing w:line="640" w:lineRule="exact"/>
        <w:ind w:firstLine="640"/>
        <w:jc w:val="both"/>
        <w:outlineLvl w:val="2"/>
      </w:pPr>
      <w:r>
        <w:rPr>
          <w:rFonts w:ascii="黑体" w:hAnsi="黑体" w:eastAsia="黑体"/>
          <w:sz w:val="32"/>
        </w:rPr>
        <w:t>六、一般公共预算财政拨款基本支出决算情况说明</w:t>
      </w:r>
    </w:p>
    <w:p w14:paraId="7432E82C">
      <w:pPr>
        <w:spacing w:line="580" w:lineRule="exact"/>
        <w:ind w:firstLine="640"/>
        <w:jc w:val="both"/>
      </w:pPr>
      <w:r>
        <w:rPr>
          <w:rFonts w:ascii="仿宋_GB2312" w:hAnsi="仿宋_GB2312" w:eastAsia="仿宋_GB2312"/>
          <w:b w:val="0"/>
          <w:sz w:val="32"/>
        </w:rPr>
        <w:t>2024年度一般公共预算财政拨款基本支出2,147.37万元，其中：</w:t>
      </w:r>
      <w:r>
        <w:rPr>
          <w:rFonts w:ascii="仿宋_GB2312" w:hAnsi="仿宋_GB2312" w:eastAsia="仿宋_GB2312"/>
          <w:b/>
          <w:sz w:val="32"/>
        </w:rPr>
        <w:t>人员经费2,094.80万元，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7DFA468D">
      <w:pPr>
        <w:spacing w:line="580" w:lineRule="exact"/>
        <w:ind w:firstLine="640"/>
        <w:jc w:val="both"/>
      </w:pPr>
      <w:r>
        <w:rPr>
          <w:rFonts w:ascii="仿宋_GB2312" w:hAnsi="仿宋_GB2312" w:eastAsia="仿宋_GB2312"/>
          <w:b/>
          <w:sz w:val="32"/>
        </w:rPr>
        <w:t>公用经费52.57万元，</w:t>
      </w:r>
      <w:r>
        <w:rPr>
          <w:rFonts w:ascii="仿宋_GB2312" w:hAnsi="仿宋_GB2312" w:eastAsia="仿宋_GB2312"/>
          <w:b w:val="0"/>
          <w:sz w:val="32"/>
        </w:rPr>
        <w:t>包括：办公费、水费、电费、邮电费、取暖费、差旅费、公务用车运行维护费、其他商品和服务支出。</w:t>
      </w:r>
    </w:p>
    <w:p w14:paraId="089CAFD5">
      <w:pPr>
        <w:spacing w:line="640" w:lineRule="exact"/>
        <w:ind w:firstLine="640"/>
        <w:jc w:val="both"/>
        <w:outlineLvl w:val="2"/>
      </w:pPr>
      <w:r>
        <w:rPr>
          <w:rFonts w:ascii="黑体" w:hAnsi="黑体" w:eastAsia="黑体"/>
          <w:sz w:val="32"/>
        </w:rPr>
        <w:t>七、政府性基金预算财政拨款收入支出决算情况说明</w:t>
      </w:r>
    </w:p>
    <w:p w14:paraId="757969D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0711D34">
      <w:pPr>
        <w:spacing w:line="640" w:lineRule="exact"/>
        <w:ind w:firstLine="640"/>
        <w:jc w:val="both"/>
        <w:outlineLvl w:val="2"/>
      </w:pPr>
      <w:r>
        <w:rPr>
          <w:rFonts w:ascii="黑体" w:hAnsi="黑体" w:eastAsia="黑体"/>
          <w:sz w:val="32"/>
        </w:rPr>
        <w:t>八、国有资本经营预算财政拨款收入支出决算情况说明</w:t>
      </w:r>
    </w:p>
    <w:p w14:paraId="4F16E2A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1AC2A4A">
      <w:pPr>
        <w:spacing w:line="640" w:lineRule="exact"/>
        <w:ind w:firstLine="640"/>
        <w:jc w:val="both"/>
        <w:outlineLvl w:val="2"/>
      </w:pPr>
      <w:r>
        <w:rPr>
          <w:rFonts w:ascii="黑体" w:hAnsi="黑体" w:eastAsia="黑体"/>
          <w:sz w:val="32"/>
        </w:rPr>
        <w:t>九、财政拨款“三公”经费支出决算情况说明</w:t>
      </w:r>
    </w:p>
    <w:p w14:paraId="1FAD4869">
      <w:pPr>
        <w:spacing w:line="580" w:lineRule="exact"/>
        <w:ind w:firstLine="640"/>
        <w:jc w:val="both"/>
      </w:pPr>
      <w:r>
        <w:rPr>
          <w:rFonts w:ascii="仿宋_GB2312" w:hAnsi="仿宋_GB2312" w:eastAsia="仿宋_GB2312"/>
          <w:b/>
          <w:sz w:val="32"/>
        </w:rPr>
        <w:t>2024年度财政拨款“三公”经费支出11.66万元，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11.66万元，占100.00%，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30074AFB">
      <w:pPr>
        <w:spacing w:line="580" w:lineRule="exact"/>
        <w:ind w:firstLine="640"/>
        <w:jc w:val="both"/>
      </w:pPr>
      <w:r>
        <w:rPr>
          <w:rFonts w:ascii="仿宋_GB2312" w:hAnsi="仿宋_GB2312" w:eastAsia="仿宋_GB2312"/>
          <w:b/>
          <w:sz w:val="32"/>
        </w:rPr>
        <w:t>具体情况如下：</w:t>
      </w:r>
    </w:p>
    <w:p w14:paraId="1A08246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93F2320">
      <w:pPr>
        <w:spacing w:line="580" w:lineRule="exact"/>
        <w:ind w:firstLine="640"/>
        <w:jc w:val="both"/>
      </w:pPr>
      <w:r>
        <w:rPr>
          <w:rFonts w:ascii="仿宋_GB2312" w:hAnsi="仿宋_GB2312" w:eastAsia="仿宋_GB2312"/>
          <w:b w:val="0"/>
          <w:sz w:val="32"/>
        </w:rPr>
        <w:t>公务用车购置及运行维护费11.66万元，其中：公务用车购置费0.00万元，公务用车运行维护费11.66万元。公务用车运行维护费开支内容包括车辆加油费、维修费、保险费、审车费、过路费等。公务用车购置数0辆，公务用车保有量15辆。国有资产占用情况中固定资产车辆15辆，与公务用车保有量差异原因是：本单位固定资产车辆与公务用车保有量一致无差异。</w:t>
      </w:r>
    </w:p>
    <w:p w14:paraId="7CFD106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95216F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11.66万元，决算数11.66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11.66万元，决算数11.66万元，预决算差异率0.00%，主要原因是：严格按照预算执行，预决算无差异。公务接待费全年预算数0.00万元，决算数0.00万元，预决算差异率0.00%，主要原因是：本单位无公务接待费。</w:t>
      </w:r>
    </w:p>
    <w:p w14:paraId="5C00AD67">
      <w:pPr>
        <w:spacing w:line="640" w:lineRule="exact"/>
        <w:ind w:firstLine="640"/>
        <w:jc w:val="both"/>
        <w:outlineLvl w:val="2"/>
      </w:pPr>
      <w:r>
        <w:rPr>
          <w:rFonts w:ascii="黑体" w:hAnsi="黑体" w:eastAsia="黑体"/>
          <w:sz w:val="32"/>
        </w:rPr>
        <w:t>十、其他重要事项的情况说明</w:t>
      </w:r>
    </w:p>
    <w:p w14:paraId="4709EEBB">
      <w:pPr>
        <w:spacing w:line="640" w:lineRule="exact"/>
        <w:ind w:firstLine="640"/>
        <w:jc w:val="both"/>
        <w:outlineLvl w:val="3"/>
      </w:pPr>
      <w:r>
        <w:rPr>
          <w:rFonts w:ascii="楷体_GB2312" w:hAnsi="楷体_GB2312" w:eastAsia="楷体_GB2312"/>
          <w:b/>
          <w:sz w:val="32"/>
        </w:rPr>
        <w:t>（一）机关运行经费及公用经费支出情况</w:t>
      </w:r>
    </w:p>
    <w:p w14:paraId="30D01DF6">
      <w:pPr>
        <w:spacing w:line="580" w:lineRule="exact"/>
        <w:ind w:firstLine="640"/>
        <w:jc w:val="both"/>
      </w:pPr>
      <w:r>
        <w:rPr>
          <w:rFonts w:ascii="仿宋_GB2312" w:hAnsi="仿宋_GB2312" w:eastAsia="仿宋_GB2312"/>
          <w:b w:val="0"/>
          <w:sz w:val="32"/>
        </w:rPr>
        <w:t>2024年度中共疏勒县纪律检查委员会（行政单位和参照公务员法管理事业单位）机关运行经费支出52.57万元，比上年增加6.87万元，增长15.03%，主要原因是：本年在职人员增加，办公费用增加。</w:t>
      </w:r>
    </w:p>
    <w:p w14:paraId="199D6991">
      <w:pPr>
        <w:spacing w:line="640" w:lineRule="exact"/>
        <w:ind w:firstLine="640"/>
        <w:jc w:val="both"/>
        <w:outlineLvl w:val="3"/>
      </w:pPr>
      <w:r>
        <w:rPr>
          <w:rFonts w:ascii="楷体_GB2312" w:hAnsi="楷体_GB2312" w:eastAsia="楷体_GB2312"/>
          <w:b/>
          <w:sz w:val="32"/>
        </w:rPr>
        <w:t>（二）政府采购情况</w:t>
      </w:r>
    </w:p>
    <w:p w14:paraId="0033ED7B">
      <w:pPr>
        <w:spacing w:line="580" w:lineRule="exact"/>
        <w:ind w:firstLine="640"/>
        <w:jc w:val="both"/>
      </w:pPr>
      <w:r>
        <w:rPr>
          <w:rFonts w:ascii="仿宋_GB2312" w:hAnsi="仿宋_GB2312" w:eastAsia="仿宋_GB2312"/>
          <w:b w:val="0"/>
          <w:sz w:val="32"/>
        </w:rPr>
        <w:t>2024年度政府采购支出总额115.97万元，其中：政府采购货物支出78.61万元、政府采购工程支出20.96万元、政府采购服务支出16.40万元。</w:t>
      </w:r>
    </w:p>
    <w:p w14:paraId="0AECDB2F">
      <w:pPr>
        <w:spacing w:line="580" w:lineRule="exact"/>
        <w:ind w:firstLine="640"/>
        <w:jc w:val="both"/>
      </w:pPr>
      <w:r>
        <w:rPr>
          <w:rFonts w:ascii="仿宋_GB2312" w:hAnsi="仿宋_GB2312" w:eastAsia="仿宋_GB2312"/>
          <w:b w:val="0"/>
          <w:sz w:val="32"/>
        </w:rPr>
        <w:t>授予中小企业合同金额115.49万元，占政府采购支出总额的99.59%，其中：授予小微企业合同金额115.49万元，占政府采购支出总额的99.59%。</w:t>
      </w:r>
    </w:p>
    <w:p w14:paraId="2B7992DE">
      <w:pPr>
        <w:spacing w:line="640" w:lineRule="exact"/>
        <w:ind w:firstLine="640"/>
        <w:jc w:val="both"/>
        <w:outlineLvl w:val="3"/>
      </w:pPr>
      <w:r>
        <w:rPr>
          <w:rFonts w:ascii="楷体_GB2312" w:hAnsi="楷体_GB2312" w:eastAsia="楷体_GB2312"/>
          <w:b/>
          <w:sz w:val="32"/>
        </w:rPr>
        <w:t>（三）国有资产占用情况说明</w:t>
      </w:r>
    </w:p>
    <w:p w14:paraId="6D299CEC">
      <w:pPr>
        <w:spacing w:line="580" w:lineRule="exact"/>
        <w:ind w:firstLine="640"/>
        <w:jc w:val="both"/>
      </w:pPr>
      <w:r>
        <w:rPr>
          <w:rFonts w:ascii="仿宋_GB2312" w:hAnsi="仿宋_GB2312" w:eastAsia="仿宋_GB2312"/>
          <w:b w:val="0"/>
          <w:sz w:val="32"/>
        </w:rPr>
        <w:t>截至2024年12月31日，房屋110.00平方米，价值29.84万元。车辆15辆，价值148.38万元，其中：副部（省）级及以上领导用车0辆、主要负责人用车0辆、机要通信用车0辆、应急保障用车0辆、执法执勤用车15辆、特种专业技术用车0辆、离退休干部服务用车0辆、其他用车0辆，其他用车主要是：本单位无其他用车。单价100万元（含）以上设备（不含车辆）0台（套）。</w:t>
      </w:r>
    </w:p>
    <w:p w14:paraId="5ABA6C7F">
      <w:pPr>
        <w:spacing w:line="640" w:lineRule="exact"/>
        <w:ind w:firstLine="640"/>
        <w:jc w:val="both"/>
        <w:outlineLvl w:val="2"/>
      </w:pPr>
      <w:r>
        <w:rPr>
          <w:rFonts w:ascii="黑体" w:hAnsi="黑体" w:eastAsia="黑体"/>
          <w:sz w:val="32"/>
        </w:rPr>
        <w:t>十一、预算绩效的情况说明</w:t>
      </w:r>
    </w:p>
    <w:p w14:paraId="3793847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2,418.80万元，实际执行总额2,418.80万元；预算绩效评价项目3个，全年预算数217.63万元，全年执行数217.63万元。预算绩效管理取得的成效：一是根据《项目绩效管理办法》及单位相关项目管理制度的规定，对项目的实施进行监督管理。建立健全项目后续各项监督管理制度，确保项目正常运转，长期发挥效益。二是不定期对项目进度和质量等进行监督检查，并且组织开展多种形式的监督检查，以加强日常监管为主，自查、随机抽查、专项检查等方式进行。对检查中发现的问题，及时纠正。三是项目实施紧扣各个环节，逐步推进，及时与职能部门跟踪项目进展，加强项目督办，充分调动职能部门的积极性，加大项目投入工作的力度，加快项目实施进度。发现的问题及原因：一是绩效指标的明确性、可衡量性、相关性还需进一步提升。预算精细化管理还需完善，预算编制管理水平仍有进一步提升的空间。下一步改进措施：一是加大绩效工作宣传力度，强化绩效理念。二是完善绩效指标，提高整体绩效目标质量。提升预算精细化管理水平。三是继续完善预算绩效管理相关工作制度，建立全过程预算绩效管理链条，有效贯彻落实全面实施绩效管理的精神。具体附整体支出绩效自评表，项目支出绩效自评表和评价报告。</w:t>
      </w:r>
    </w:p>
    <w:p w14:paraId="2DE61CF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1260"/>
        <w:gridCol w:w="971"/>
        <w:gridCol w:w="1102"/>
        <w:gridCol w:w="599"/>
        <w:gridCol w:w="983"/>
        <w:gridCol w:w="983"/>
        <w:gridCol w:w="983"/>
      </w:tblGrid>
      <w:tr w14:paraId="1CD755BB">
        <w:tblPrEx>
          <w:tblCellMar>
            <w:top w:w="0" w:type="dxa"/>
            <w:left w:w="108" w:type="dxa"/>
            <w:bottom w:w="0" w:type="dxa"/>
            <w:right w:w="108" w:type="dxa"/>
          </w:tblCellMar>
        </w:tblPrEx>
        <w:tc>
          <w:tcPr>
            <w:tcW w:w="8847" w:type="dxa"/>
            <w:gridSpan w:val="9"/>
            <w:vAlign w:val="center"/>
          </w:tcPr>
          <w:p w14:paraId="35C3FF86">
            <w:pPr>
              <w:jc w:val="center"/>
            </w:pPr>
            <w:r>
              <w:rPr>
                <w:rFonts w:ascii="宋体" w:hAnsi="宋体" w:eastAsia="宋体"/>
                <w:sz w:val="24"/>
              </w:rPr>
              <w:t>单位整体支出绩效自评表</w:t>
            </w:r>
          </w:p>
        </w:tc>
      </w:tr>
      <w:tr w14:paraId="6701D58E">
        <w:tblPrEx>
          <w:tblCellMar>
            <w:top w:w="0" w:type="dxa"/>
            <w:left w:w="108" w:type="dxa"/>
            <w:bottom w:w="0" w:type="dxa"/>
            <w:right w:w="108" w:type="dxa"/>
          </w:tblCellMar>
        </w:tblPrEx>
        <w:tc>
          <w:tcPr>
            <w:tcW w:w="8847" w:type="dxa"/>
            <w:gridSpan w:val="9"/>
            <w:vAlign w:val="center"/>
          </w:tcPr>
          <w:p w14:paraId="05207D78">
            <w:pPr>
              <w:jc w:val="center"/>
            </w:pPr>
            <w:r>
              <w:rPr>
                <w:rFonts w:ascii="宋体" w:hAnsi="宋体" w:eastAsia="宋体"/>
                <w:sz w:val="24"/>
              </w:rPr>
              <w:t>（2024年度）</w:t>
            </w:r>
          </w:p>
        </w:tc>
      </w:tr>
      <w:tr w14:paraId="75984D9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E5E56">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295AD9C">
            <w:pPr>
              <w:jc w:val="center"/>
            </w:pPr>
            <w:r>
              <w:rPr>
                <w:rFonts w:ascii="宋体" w:hAnsi="宋体" w:eastAsia="宋体"/>
                <w:sz w:val="16"/>
              </w:rPr>
              <w:t>中共疏勒县纪律检查委员会</w:t>
            </w:r>
          </w:p>
        </w:tc>
      </w:tr>
      <w:tr w14:paraId="4EDB209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551901">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FADF4">
            <w:pPr>
              <w:jc w:val="center"/>
            </w:pPr>
            <w:r>
              <w:rPr>
                <w:rFonts w:ascii="宋体" w:hAnsi="宋体" w:eastAsia="宋体"/>
                <w:sz w:val="16"/>
              </w:rPr>
              <w:t>资金来源</w:t>
            </w:r>
          </w:p>
        </w:tc>
        <w:tc>
          <w:tcPr>
            <w:tcW w:w="1260" w:type="dxa"/>
            <w:tcBorders>
              <w:top w:val="single" w:color="auto" w:sz="10" w:space="0"/>
              <w:left w:val="single" w:color="auto" w:sz="10" w:space="0"/>
              <w:bottom w:val="single" w:color="auto" w:sz="10" w:space="0"/>
              <w:right w:val="single" w:color="auto" w:sz="10" w:space="0"/>
              <w:insideV w:val="single" w:sz="10" w:space="0"/>
            </w:tcBorders>
            <w:vAlign w:val="center"/>
          </w:tcPr>
          <w:p w14:paraId="05F7AD86">
            <w:pPr>
              <w:jc w:val="center"/>
            </w:pPr>
            <w:r>
              <w:rPr>
                <w:rFonts w:ascii="宋体" w:hAnsi="宋体" w:eastAsia="宋体"/>
                <w:sz w:val="16"/>
              </w:rPr>
              <w:t>年初预算数</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63B2C71B">
            <w:pPr>
              <w:jc w:val="center"/>
            </w:pPr>
            <w:r>
              <w:rPr>
                <w:rFonts w:ascii="宋体" w:hAnsi="宋体" w:eastAsia="宋体"/>
                <w:sz w:val="16"/>
              </w:rPr>
              <w:t>预算数（调整后）</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487EFFEF">
            <w:pPr>
              <w:jc w:val="center"/>
            </w:pPr>
            <w:r>
              <w:rPr>
                <w:rFonts w:ascii="宋体" w:hAnsi="宋体" w:eastAsia="宋体"/>
                <w:sz w:val="16"/>
              </w:rPr>
              <w:t>执行数</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6577B52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8CE1A">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1D27D">
            <w:pPr>
              <w:jc w:val="center"/>
            </w:pPr>
            <w:r>
              <w:rPr>
                <w:rFonts w:ascii="宋体" w:hAnsi="宋体" w:eastAsia="宋体"/>
                <w:sz w:val="16"/>
              </w:rPr>
              <w:t>得分</w:t>
            </w:r>
          </w:p>
        </w:tc>
      </w:tr>
      <w:tr w14:paraId="333BB7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AF8A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D66FD">
            <w:pPr>
              <w:jc w:val="center"/>
            </w:pPr>
            <w:r>
              <w:rPr>
                <w:rFonts w:ascii="宋体" w:hAnsi="宋体" w:eastAsia="宋体"/>
                <w:sz w:val="16"/>
              </w:rPr>
              <w:t>年度总资金：</w:t>
            </w:r>
          </w:p>
        </w:tc>
        <w:tc>
          <w:tcPr>
            <w:tcW w:w="1260" w:type="dxa"/>
            <w:tcBorders>
              <w:top w:val="single" w:color="auto" w:sz="10" w:space="0"/>
              <w:left w:val="single" w:color="auto" w:sz="10" w:space="0"/>
              <w:bottom w:val="single" w:color="auto" w:sz="10" w:space="0"/>
              <w:right w:val="single" w:color="auto" w:sz="10" w:space="0"/>
              <w:insideV w:val="single" w:sz="10" w:space="0"/>
            </w:tcBorders>
            <w:vAlign w:val="center"/>
          </w:tcPr>
          <w:p w14:paraId="63B14F8D">
            <w:pPr>
              <w:jc w:val="center"/>
            </w:pPr>
            <w:r>
              <w:rPr>
                <w:rFonts w:ascii="宋体" w:hAnsi="宋体" w:eastAsia="宋体"/>
                <w:sz w:val="16"/>
              </w:rPr>
              <w:t>2,265.56</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352A1C1D">
            <w:pPr>
              <w:jc w:val="center"/>
            </w:pPr>
            <w:r>
              <w:rPr>
                <w:rFonts w:ascii="宋体" w:hAnsi="宋体" w:eastAsia="宋体"/>
                <w:sz w:val="16"/>
              </w:rPr>
              <w:t>2,418.80</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0CAEF7DE">
            <w:pPr>
              <w:jc w:val="center"/>
            </w:pPr>
            <w:r>
              <w:rPr>
                <w:rFonts w:ascii="宋体" w:hAnsi="宋体" w:eastAsia="宋体"/>
                <w:sz w:val="16"/>
              </w:rPr>
              <w:t>2,418.80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1C7A1E7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7D7EB">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059C8">
            <w:pPr>
              <w:jc w:val="center"/>
            </w:pPr>
            <w:r>
              <w:rPr>
                <w:rFonts w:ascii="宋体" w:hAnsi="宋体" w:eastAsia="宋体"/>
                <w:sz w:val="16"/>
              </w:rPr>
              <w:t>10</w:t>
            </w:r>
          </w:p>
        </w:tc>
      </w:tr>
      <w:tr w14:paraId="2862DA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678A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B0A52">
            <w:pPr>
              <w:jc w:val="center"/>
            </w:pPr>
            <w:r>
              <w:rPr>
                <w:rFonts w:ascii="宋体" w:hAnsi="宋体" w:eastAsia="宋体"/>
                <w:sz w:val="16"/>
              </w:rPr>
              <w:t>上级资金：</w:t>
            </w:r>
          </w:p>
        </w:tc>
        <w:tc>
          <w:tcPr>
            <w:tcW w:w="1260" w:type="dxa"/>
            <w:tcBorders>
              <w:top w:val="single" w:color="auto" w:sz="10" w:space="0"/>
              <w:left w:val="single" w:color="auto" w:sz="10" w:space="0"/>
              <w:bottom w:val="single" w:color="auto" w:sz="10" w:space="0"/>
              <w:right w:val="single" w:color="auto" w:sz="10" w:space="0"/>
              <w:insideV w:val="single" w:sz="10" w:space="0"/>
            </w:tcBorders>
            <w:vAlign w:val="center"/>
          </w:tcPr>
          <w:p w14:paraId="3972F3FE">
            <w:pPr>
              <w:jc w:val="center"/>
            </w:pPr>
            <w:r>
              <w:rPr>
                <w:rFonts w:ascii="宋体" w:hAnsi="宋体" w:eastAsia="宋体"/>
                <w:sz w:val="16"/>
              </w:rPr>
              <w:t>450.87</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4B019BED">
            <w:pPr>
              <w:jc w:val="center"/>
            </w:pPr>
            <w:r>
              <w:rPr>
                <w:rFonts w:ascii="宋体" w:hAnsi="宋体" w:eastAsia="宋体"/>
                <w:sz w:val="16"/>
              </w:rPr>
              <w:t>527.36</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5E2ECDD1">
            <w:pPr>
              <w:jc w:val="center"/>
            </w:pPr>
            <w:r>
              <w:rPr>
                <w:rFonts w:ascii="宋体" w:hAnsi="宋体" w:eastAsia="宋体"/>
                <w:sz w:val="16"/>
              </w:rPr>
              <w:t>527.36</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4E035C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7E24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B6989">
            <w:pPr>
              <w:jc w:val="center"/>
            </w:pPr>
            <w:r>
              <w:rPr>
                <w:rFonts w:ascii="宋体" w:hAnsi="宋体" w:eastAsia="宋体"/>
                <w:sz w:val="16"/>
              </w:rPr>
              <w:t>—</w:t>
            </w:r>
          </w:p>
        </w:tc>
      </w:tr>
      <w:tr w14:paraId="1B0EA5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A6FD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D2EF4">
            <w:pPr>
              <w:jc w:val="center"/>
            </w:pPr>
            <w:r>
              <w:rPr>
                <w:rFonts w:ascii="宋体" w:hAnsi="宋体" w:eastAsia="宋体"/>
                <w:sz w:val="16"/>
              </w:rPr>
              <w:t>本级资金：</w:t>
            </w:r>
          </w:p>
        </w:tc>
        <w:tc>
          <w:tcPr>
            <w:tcW w:w="1260" w:type="dxa"/>
            <w:tcBorders>
              <w:top w:val="single" w:color="auto" w:sz="10" w:space="0"/>
              <w:left w:val="single" w:color="auto" w:sz="10" w:space="0"/>
              <w:bottom w:val="single" w:color="auto" w:sz="10" w:space="0"/>
              <w:right w:val="single" w:color="auto" w:sz="10" w:space="0"/>
              <w:insideV w:val="single" w:sz="10" w:space="0"/>
            </w:tcBorders>
            <w:vAlign w:val="center"/>
          </w:tcPr>
          <w:p w14:paraId="2CFFC4B7">
            <w:pPr>
              <w:jc w:val="center"/>
            </w:pPr>
            <w:r>
              <w:rPr>
                <w:rFonts w:ascii="宋体" w:hAnsi="宋体" w:eastAsia="宋体"/>
                <w:sz w:val="16"/>
              </w:rPr>
              <w:t>1,814.69</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2148498A">
            <w:pPr>
              <w:jc w:val="center"/>
            </w:pPr>
            <w:r>
              <w:rPr>
                <w:rFonts w:ascii="宋体" w:hAnsi="宋体" w:eastAsia="宋体"/>
                <w:sz w:val="16"/>
              </w:rPr>
              <w:t>1,891.44</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570E34B2">
            <w:pPr>
              <w:jc w:val="center"/>
            </w:pPr>
            <w:r>
              <w:rPr>
                <w:rFonts w:ascii="宋体" w:hAnsi="宋体" w:eastAsia="宋体"/>
                <w:sz w:val="16"/>
              </w:rPr>
              <w:t>1,891.44</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56213BC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E4EC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FDAFA">
            <w:pPr>
              <w:jc w:val="center"/>
            </w:pPr>
            <w:r>
              <w:rPr>
                <w:rFonts w:ascii="宋体" w:hAnsi="宋体" w:eastAsia="宋体"/>
                <w:sz w:val="16"/>
              </w:rPr>
              <w:t>—</w:t>
            </w:r>
          </w:p>
        </w:tc>
      </w:tr>
      <w:tr w14:paraId="1A52E9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708A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D7FB8">
            <w:pPr>
              <w:jc w:val="center"/>
            </w:pPr>
            <w:r>
              <w:rPr>
                <w:rFonts w:ascii="宋体" w:hAnsi="宋体" w:eastAsia="宋体"/>
                <w:sz w:val="16"/>
              </w:rPr>
              <w:t>其他资金：</w:t>
            </w:r>
          </w:p>
        </w:tc>
        <w:tc>
          <w:tcPr>
            <w:tcW w:w="1260" w:type="dxa"/>
            <w:tcBorders>
              <w:top w:val="single" w:color="auto" w:sz="10" w:space="0"/>
              <w:left w:val="single" w:color="auto" w:sz="10" w:space="0"/>
              <w:bottom w:val="single" w:color="auto" w:sz="10" w:space="0"/>
              <w:right w:val="single" w:color="auto" w:sz="10" w:space="0"/>
              <w:insideV w:val="single" w:sz="10" w:space="0"/>
            </w:tcBorders>
            <w:vAlign w:val="center"/>
          </w:tcPr>
          <w:p w14:paraId="59536D79">
            <w:pPr>
              <w:jc w:val="center"/>
            </w:pPr>
            <w:r>
              <w:rPr>
                <w:rFonts w:ascii="宋体" w:hAnsi="宋体" w:eastAsia="宋体"/>
                <w:sz w:val="16"/>
              </w:rPr>
              <w:t>0.00</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41E093A4">
            <w:pPr>
              <w:jc w:val="center"/>
            </w:pPr>
            <w:r>
              <w:rPr>
                <w:rFonts w:ascii="宋体" w:hAnsi="宋体" w:eastAsia="宋体"/>
                <w:sz w:val="16"/>
              </w:rPr>
              <w:t>0.00</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77A05A0C">
            <w:pPr>
              <w:jc w:val="center"/>
            </w:pPr>
            <w:r>
              <w:rPr>
                <w:rFonts w:ascii="宋体" w:hAnsi="宋体" w:eastAsia="宋体"/>
                <w:sz w:val="16"/>
              </w:rPr>
              <w:t>0.00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62B09B6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3758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B18F7">
            <w:pPr>
              <w:jc w:val="center"/>
            </w:pPr>
            <w:r>
              <w:rPr>
                <w:rFonts w:ascii="宋体" w:hAnsi="宋体" w:eastAsia="宋体"/>
                <w:sz w:val="16"/>
              </w:rPr>
              <w:t>—</w:t>
            </w:r>
          </w:p>
        </w:tc>
      </w:tr>
      <w:tr w14:paraId="4391FD7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FD2865">
            <w:pPr>
              <w:jc w:val="center"/>
            </w:pPr>
            <w:r>
              <w:rPr>
                <w:rFonts w:ascii="宋体" w:hAnsi="宋体" w:eastAsia="宋体"/>
                <w:sz w:val="16"/>
              </w:rPr>
              <w:t>年度总体目标</w:t>
            </w:r>
          </w:p>
        </w:tc>
        <w:tc>
          <w:tcPr>
            <w:tcW w:w="321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353AF6">
            <w:pPr>
              <w:jc w:val="center"/>
            </w:pPr>
            <w:r>
              <w:rPr>
                <w:rFonts w:ascii="宋体" w:hAnsi="宋体" w:eastAsia="宋体"/>
                <w:sz w:val="16"/>
              </w:rPr>
              <w:t>预期目标</w:t>
            </w:r>
          </w:p>
        </w:tc>
        <w:tc>
          <w:tcPr>
            <w:tcW w:w="465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F4DF9E">
            <w:pPr>
              <w:jc w:val="center"/>
            </w:pPr>
            <w:r>
              <w:rPr>
                <w:rFonts w:ascii="宋体" w:hAnsi="宋体" w:eastAsia="宋体"/>
                <w:sz w:val="16"/>
              </w:rPr>
              <w:t>实际完成情况</w:t>
            </w:r>
          </w:p>
        </w:tc>
      </w:tr>
      <w:tr w14:paraId="44464A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BFA900"/>
        </w:tc>
        <w:tc>
          <w:tcPr>
            <w:tcW w:w="321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FD7218">
            <w:pPr>
              <w:jc w:val="both"/>
            </w:pPr>
            <w:r>
              <w:rPr>
                <w:rFonts w:ascii="宋体" w:hAnsi="宋体" w:eastAsia="宋体"/>
                <w:sz w:val="16"/>
              </w:rPr>
              <w:t>坚持以习近平新时代中国特色社会主义思想为指导，以学习宣传贯彻党的二十大精神为主线，深刻领悟“两个确立”的决定性意义，全面贯彻党的二十大关于全面从严治党的新部署新要求，时刻保持永远在路上的清醒和坚定，坚决打赢反腐败斗争攻坚战持久战。1.全面做好主题教育和教育整顿工作。2.推动政治监督具体化、3.精准化、常态化。4.持续打好正风肃纪“持久战”。5.在一体推进“三不腐”上持续用力。6.深入推进纪检监察体制改革。有效推进巡察监督全覆盖。7.全面加强干部队伍自身建设。</w:t>
            </w:r>
          </w:p>
        </w:tc>
        <w:tc>
          <w:tcPr>
            <w:tcW w:w="465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BC4754">
            <w:pPr>
              <w:jc w:val="both"/>
            </w:pPr>
            <w:r>
              <w:rPr>
                <w:rFonts w:ascii="宋体" w:hAnsi="宋体" w:eastAsia="宋体"/>
                <w:sz w:val="16"/>
              </w:rPr>
              <w:t>坚持以习近平新时代中国特色社会主义思想为指导，以学习宣传贯彻党的二十大精神为主线，深刻领悟“两个确立”的决定性意义，全面贯彻党的二十大关于全面从严治党的新部署新要求，时刻保持永远在路上的清醒和坚定，坚决打赢反腐败斗争攻坚战持久战。围绕政治忠诚、政治安全、政治责任、政治立场、党内政治生活等方面开展监督223场次，开展常规巡视巡察次3轮，组织召开警示教育会议开展警示教育场次884场次，开展集中学习专题培训场次4场次，督促整改问题100%，全县纪检监察机关处置问题线索案件办结率达到96.44%，排查廉政风险点率100%。</w:t>
            </w:r>
          </w:p>
        </w:tc>
      </w:tr>
      <w:tr w14:paraId="733A7AB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226C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E85AC">
            <w:pPr>
              <w:jc w:val="center"/>
            </w:pPr>
            <w:r>
              <w:rPr>
                <w:rFonts w:ascii="宋体" w:hAnsi="宋体" w:eastAsia="宋体"/>
                <w:sz w:val="16"/>
              </w:rPr>
              <w:t>二级指标</w:t>
            </w:r>
          </w:p>
        </w:tc>
        <w:tc>
          <w:tcPr>
            <w:tcW w:w="1260" w:type="dxa"/>
            <w:tcBorders>
              <w:top w:val="single" w:color="auto" w:sz="10" w:space="0"/>
              <w:left w:val="single" w:color="auto" w:sz="10" w:space="0"/>
              <w:bottom w:val="single" w:color="auto" w:sz="10" w:space="0"/>
              <w:right w:val="single" w:color="auto" w:sz="10" w:space="0"/>
              <w:insideV w:val="single" w:sz="10" w:space="0"/>
            </w:tcBorders>
            <w:vAlign w:val="center"/>
          </w:tcPr>
          <w:p w14:paraId="541942E3">
            <w:pPr>
              <w:jc w:val="center"/>
            </w:pPr>
            <w:r>
              <w:rPr>
                <w:rFonts w:ascii="宋体" w:hAnsi="宋体" w:eastAsia="宋体"/>
                <w:sz w:val="16"/>
              </w:rPr>
              <w:t>三级指标</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39AF7AB4">
            <w:pPr>
              <w:jc w:val="center"/>
            </w:pPr>
            <w:r>
              <w:rPr>
                <w:rFonts w:ascii="宋体" w:hAnsi="宋体" w:eastAsia="宋体"/>
                <w:sz w:val="16"/>
              </w:rPr>
              <w:t>指标值</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20820CE0">
            <w:pPr>
              <w:jc w:val="center"/>
            </w:pPr>
            <w:r>
              <w:rPr>
                <w:rFonts w:ascii="宋体" w:hAnsi="宋体" w:eastAsia="宋体"/>
                <w:sz w:val="16"/>
              </w:rPr>
              <w:t>指标值设定依据</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3EDFD0F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ABB8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921A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20816">
            <w:pPr>
              <w:jc w:val="center"/>
            </w:pPr>
            <w:r>
              <w:rPr>
                <w:rFonts w:ascii="宋体" w:hAnsi="宋体" w:eastAsia="宋体"/>
                <w:sz w:val="16"/>
              </w:rPr>
              <w:t>得分</w:t>
            </w:r>
          </w:p>
        </w:tc>
      </w:tr>
      <w:tr w14:paraId="5516155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2B02D">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B18C2">
            <w:pPr>
              <w:jc w:val="center"/>
            </w:pPr>
            <w:r>
              <w:rPr>
                <w:rFonts w:ascii="宋体" w:hAnsi="宋体" w:eastAsia="宋体"/>
                <w:sz w:val="16"/>
              </w:rPr>
              <w:t>数量指标</w:t>
            </w:r>
          </w:p>
        </w:tc>
        <w:tc>
          <w:tcPr>
            <w:tcW w:w="1260" w:type="dxa"/>
            <w:tcBorders>
              <w:top w:val="single" w:color="auto" w:sz="10" w:space="0"/>
              <w:left w:val="single" w:color="auto" w:sz="10" w:space="0"/>
              <w:bottom w:val="single" w:color="auto" w:sz="10" w:space="0"/>
              <w:right w:val="single" w:color="auto" w:sz="10" w:space="0"/>
              <w:insideV w:val="single" w:sz="10" w:space="0"/>
            </w:tcBorders>
            <w:vAlign w:val="center"/>
          </w:tcPr>
          <w:p w14:paraId="6FF084B0">
            <w:pPr>
              <w:jc w:val="center"/>
            </w:pPr>
            <w:r>
              <w:rPr>
                <w:rFonts w:ascii="宋体" w:hAnsi="宋体" w:eastAsia="宋体"/>
                <w:sz w:val="16"/>
              </w:rPr>
              <w:t>开展政治监督检查</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1F8B0B8D">
            <w:pPr>
              <w:jc w:val="center"/>
            </w:pPr>
            <w:r>
              <w:rPr>
                <w:rFonts w:ascii="宋体" w:hAnsi="宋体" w:eastAsia="宋体"/>
                <w:sz w:val="16"/>
              </w:rPr>
              <w:t>&gt;=223场次</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57BFC0F2">
            <w:pPr>
              <w:jc w:val="center"/>
            </w:pPr>
            <w:r>
              <w:rPr>
                <w:rFonts w:ascii="宋体" w:hAnsi="宋体" w:eastAsia="宋体"/>
                <w:sz w:val="16"/>
              </w:rPr>
              <w:t>2024年工作重点</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474D17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EB1D0">
            <w:pPr>
              <w:jc w:val="center"/>
            </w:pPr>
            <w:r>
              <w:rPr>
                <w:rFonts w:ascii="宋体" w:hAnsi="宋体" w:eastAsia="宋体"/>
                <w:sz w:val="16"/>
              </w:rPr>
              <w:t>223场次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2E03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98D45">
            <w:pPr>
              <w:jc w:val="center"/>
            </w:pPr>
            <w:r>
              <w:rPr>
                <w:rFonts w:ascii="宋体" w:hAnsi="宋体" w:eastAsia="宋体"/>
                <w:sz w:val="16"/>
              </w:rPr>
              <w:t>10</w:t>
            </w:r>
          </w:p>
        </w:tc>
      </w:tr>
      <w:tr w14:paraId="2AE79E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A33D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A06468"/>
        </w:tc>
        <w:tc>
          <w:tcPr>
            <w:tcW w:w="1260" w:type="dxa"/>
            <w:tcBorders>
              <w:top w:val="single" w:color="auto" w:sz="10" w:space="0"/>
              <w:left w:val="single" w:color="auto" w:sz="10" w:space="0"/>
              <w:bottom w:val="single" w:color="auto" w:sz="10" w:space="0"/>
              <w:right w:val="single" w:color="auto" w:sz="10" w:space="0"/>
              <w:insideV w:val="single" w:sz="10" w:space="0"/>
            </w:tcBorders>
            <w:vAlign w:val="center"/>
          </w:tcPr>
          <w:p w14:paraId="4A5492AE">
            <w:pPr>
              <w:jc w:val="center"/>
            </w:pPr>
            <w:r>
              <w:rPr>
                <w:rFonts w:ascii="宋体" w:hAnsi="宋体" w:eastAsia="宋体"/>
                <w:sz w:val="16"/>
              </w:rPr>
              <w:t>开展常规巡视巡察次</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2C5CE1CB">
            <w:pPr>
              <w:jc w:val="center"/>
            </w:pPr>
            <w:r>
              <w:rPr>
                <w:rFonts w:ascii="宋体" w:hAnsi="宋体" w:eastAsia="宋体"/>
                <w:sz w:val="16"/>
              </w:rPr>
              <w:t>&gt;=3轮</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20C29AEA">
            <w:pPr>
              <w:jc w:val="center"/>
            </w:pPr>
            <w:r>
              <w:rPr>
                <w:rFonts w:ascii="宋体" w:hAnsi="宋体" w:eastAsia="宋体"/>
                <w:sz w:val="16"/>
              </w:rPr>
              <w:t>2024年工作重点</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14F933D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404B3">
            <w:pPr>
              <w:jc w:val="center"/>
            </w:pPr>
            <w:r>
              <w:rPr>
                <w:rFonts w:ascii="宋体" w:hAnsi="宋体" w:eastAsia="宋体"/>
                <w:sz w:val="16"/>
              </w:rPr>
              <w:t>3轮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FE34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556D1">
            <w:pPr>
              <w:jc w:val="center"/>
            </w:pPr>
            <w:r>
              <w:rPr>
                <w:rFonts w:ascii="宋体" w:hAnsi="宋体" w:eastAsia="宋体"/>
                <w:sz w:val="16"/>
              </w:rPr>
              <w:t>15</w:t>
            </w:r>
          </w:p>
        </w:tc>
      </w:tr>
      <w:tr w14:paraId="73E190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EDF1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1B688F"/>
        </w:tc>
        <w:tc>
          <w:tcPr>
            <w:tcW w:w="1260" w:type="dxa"/>
            <w:tcBorders>
              <w:top w:val="single" w:color="auto" w:sz="10" w:space="0"/>
              <w:left w:val="single" w:color="auto" w:sz="10" w:space="0"/>
              <w:bottom w:val="single" w:color="auto" w:sz="10" w:space="0"/>
              <w:right w:val="single" w:color="auto" w:sz="10" w:space="0"/>
              <w:insideV w:val="single" w:sz="10" w:space="0"/>
            </w:tcBorders>
            <w:vAlign w:val="center"/>
          </w:tcPr>
          <w:p w14:paraId="7CA62CAC">
            <w:pPr>
              <w:jc w:val="center"/>
            </w:pPr>
            <w:r>
              <w:rPr>
                <w:rFonts w:ascii="宋体" w:hAnsi="宋体" w:eastAsia="宋体"/>
                <w:sz w:val="16"/>
              </w:rPr>
              <w:t>开展警示教育场次</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09532E72">
            <w:pPr>
              <w:jc w:val="center"/>
            </w:pPr>
            <w:r>
              <w:rPr>
                <w:rFonts w:ascii="宋体" w:hAnsi="宋体" w:eastAsia="宋体"/>
                <w:sz w:val="16"/>
              </w:rPr>
              <w:t>&gt;=884场次</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478C338D">
            <w:pPr>
              <w:jc w:val="center"/>
            </w:pPr>
            <w:r>
              <w:rPr>
                <w:rFonts w:ascii="宋体" w:hAnsi="宋体" w:eastAsia="宋体"/>
                <w:sz w:val="16"/>
              </w:rPr>
              <w:t>2024年工作重点</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24D0244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D18E4">
            <w:pPr>
              <w:jc w:val="center"/>
            </w:pPr>
            <w:r>
              <w:rPr>
                <w:rFonts w:ascii="宋体" w:hAnsi="宋体" w:eastAsia="宋体"/>
                <w:sz w:val="16"/>
              </w:rPr>
              <w:t>884场次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310B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68F1C">
            <w:pPr>
              <w:jc w:val="center"/>
            </w:pPr>
            <w:r>
              <w:rPr>
                <w:rFonts w:ascii="宋体" w:hAnsi="宋体" w:eastAsia="宋体"/>
                <w:sz w:val="16"/>
              </w:rPr>
              <w:t>15</w:t>
            </w:r>
          </w:p>
        </w:tc>
      </w:tr>
      <w:tr w14:paraId="3E87DE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1E94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8458BF"/>
        </w:tc>
        <w:tc>
          <w:tcPr>
            <w:tcW w:w="1260" w:type="dxa"/>
            <w:tcBorders>
              <w:top w:val="single" w:color="auto" w:sz="10" w:space="0"/>
              <w:left w:val="single" w:color="auto" w:sz="10" w:space="0"/>
              <w:bottom w:val="single" w:color="auto" w:sz="10" w:space="0"/>
              <w:right w:val="single" w:color="auto" w:sz="10" w:space="0"/>
              <w:insideV w:val="single" w:sz="10" w:space="0"/>
            </w:tcBorders>
            <w:vAlign w:val="center"/>
          </w:tcPr>
          <w:p w14:paraId="2EE31947">
            <w:pPr>
              <w:jc w:val="center"/>
            </w:pPr>
            <w:r>
              <w:rPr>
                <w:rFonts w:ascii="宋体" w:hAnsi="宋体" w:eastAsia="宋体"/>
                <w:sz w:val="16"/>
              </w:rPr>
              <w:t>督促整改问题</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3A691807">
            <w:pPr>
              <w:jc w:val="center"/>
            </w:pPr>
            <w:r>
              <w:rPr>
                <w:rFonts w:ascii="宋体" w:hAnsi="宋体" w:eastAsia="宋体"/>
                <w:sz w:val="16"/>
              </w:rPr>
              <w:t>=100%</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2511FF46">
            <w:pPr>
              <w:jc w:val="center"/>
            </w:pPr>
            <w:r>
              <w:rPr>
                <w:rFonts w:ascii="宋体" w:hAnsi="宋体" w:eastAsia="宋体"/>
                <w:sz w:val="16"/>
              </w:rPr>
              <w:t>2024年工作重点</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6AD3C37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DCF3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FE1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FE643">
            <w:pPr>
              <w:jc w:val="center"/>
            </w:pPr>
            <w:r>
              <w:rPr>
                <w:rFonts w:ascii="宋体" w:hAnsi="宋体" w:eastAsia="宋体"/>
                <w:sz w:val="16"/>
              </w:rPr>
              <w:t>15</w:t>
            </w:r>
          </w:p>
        </w:tc>
      </w:tr>
      <w:tr w14:paraId="1ABFE6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36967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BB72E">
            <w:pPr>
              <w:jc w:val="center"/>
            </w:pPr>
            <w:r>
              <w:rPr>
                <w:rFonts w:ascii="宋体" w:hAnsi="宋体" w:eastAsia="宋体"/>
                <w:sz w:val="16"/>
              </w:rPr>
              <w:t>质量指标</w:t>
            </w:r>
          </w:p>
        </w:tc>
        <w:tc>
          <w:tcPr>
            <w:tcW w:w="1260" w:type="dxa"/>
            <w:tcBorders>
              <w:top w:val="single" w:color="auto" w:sz="10" w:space="0"/>
              <w:left w:val="single" w:color="auto" w:sz="10" w:space="0"/>
              <w:bottom w:val="single" w:color="auto" w:sz="10" w:space="0"/>
              <w:right w:val="single" w:color="auto" w:sz="10" w:space="0"/>
              <w:insideV w:val="single" w:sz="10" w:space="0"/>
            </w:tcBorders>
            <w:vAlign w:val="center"/>
          </w:tcPr>
          <w:p w14:paraId="7F470A03">
            <w:pPr>
              <w:jc w:val="center"/>
            </w:pPr>
            <w:r>
              <w:rPr>
                <w:rFonts w:ascii="宋体" w:hAnsi="宋体" w:eastAsia="宋体"/>
                <w:sz w:val="16"/>
              </w:rPr>
              <w:t>专题培训场次</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37D0AB08">
            <w:pPr>
              <w:jc w:val="center"/>
            </w:pPr>
            <w:r>
              <w:rPr>
                <w:rFonts w:ascii="宋体" w:hAnsi="宋体" w:eastAsia="宋体"/>
                <w:sz w:val="16"/>
              </w:rPr>
              <w:t>&gt;=4场次</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7F583F1A">
            <w:pPr>
              <w:jc w:val="center"/>
            </w:pPr>
            <w:r>
              <w:rPr>
                <w:rFonts w:ascii="宋体" w:hAnsi="宋体" w:eastAsia="宋体"/>
                <w:sz w:val="16"/>
              </w:rPr>
              <w:t>2024年工作重点</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149587C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C1A2C">
            <w:pPr>
              <w:jc w:val="center"/>
            </w:pPr>
            <w:r>
              <w:rPr>
                <w:rFonts w:ascii="宋体" w:hAnsi="宋体" w:eastAsia="宋体"/>
                <w:sz w:val="16"/>
              </w:rPr>
              <w:t>4场次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277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9DBCB">
            <w:pPr>
              <w:jc w:val="center"/>
            </w:pPr>
            <w:r>
              <w:rPr>
                <w:rFonts w:ascii="宋体" w:hAnsi="宋体" w:eastAsia="宋体"/>
                <w:sz w:val="16"/>
              </w:rPr>
              <w:t>5</w:t>
            </w:r>
          </w:p>
        </w:tc>
      </w:tr>
      <w:tr w14:paraId="21E26C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D14A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E33624"/>
        </w:tc>
        <w:tc>
          <w:tcPr>
            <w:tcW w:w="1260" w:type="dxa"/>
            <w:tcBorders>
              <w:top w:val="single" w:color="auto" w:sz="10" w:space="0"/>
              <w:left w:val="single" w:color="auto" w:sz="10" w:space="0"/>
              <w:bottom w:val="single" w:color="auto" w:sz="10" w:space="0"/>
              <w:right w:val="single" w:color="auto" w:sz="10" w:space="0"/>
              <w:insideV w:val="single" w:sz="10" w:space="0"/>
            </w:tcBorders>
            <w:vAlign w:val="center"/>
          </w:tcPr>
          <w:p w14:paraId="39DC4DBF">
            <w:pPr>
              <w:jc w:val="center"/>
            </w:pPr>
            <w:r>
              <w:rPr>
                <w:rFonts w:ascii="宋体" w:hAnsi="宋体" w:eastAsia="宋体"/>
                <w:sz w:val="16"/>
              </w:rPr>
              <w:t>案件办结率</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4C9359E1">
            <w:pPr>
              <w:jc w:val="center"/>
            </w:pPr>
            <w:r>
              <w:rPr>
                <w:rFonts w:ascii="宋体" w:hAnsi="宋体" w:eastAsia="宋体"/>
                <w:sz w:val="16"/>
              </w:rPr>
              <w:t>=96.44%</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233AC543">
            <w:pPr>
              <w:jc w:val="center"/>
            </w:pPr>
            <w:r>
              <w:rPr>
                <w:rFonts w:ascii="宋体" w:hAnsi="宋体" w:eastAsia="宋体"/>
                <w:sz w:val="16"/>
              </w:rPr>
              <w:t>2024年工作重点</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3075F02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81471">
            <w:pPr>
              <w:jc w:val="center"/>
            </w:pPr>
            <w:r>
              <w:rPr>
                <w:rFonts w:ascii="宋体" w:hAnsi="宋体" w:eastAsia="宋体"/>
                <w:sz w:val="16"/>
              </w:rPr>
              <w:t>96.44%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62AA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05C18">
            <w:pPr>
              <w:jc w:val="center"/>
            </w:pPr>
            <w:r>
              <w:rPr>
                <w:rFonts w:ascii="宋体" w:hAnsi="宋体" w:eastAsia="宋体"/>
                <w:sz w:val="16"/>
              </w:rPr>
              <w:t>15</w:t>
            </w:r>
          </w:p>
        </w:tc>
      </w:tr>
      <w:tr w14:paraId="4FE784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6132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740CE2"/>
        </w:tc>
        <w:tc>
          <w:tcPr>
            <w:tcW w:w="1260" w:type="dxa"/>
            <w:tcBorders>
              <w:top w:val="single" w:color="auto" w:sz="10" w:space="0"/>
              <w:left w:val="single" w:color="auto" w:sz="10" w:space="0"/>
              <w:bottom w:val="single" w:color="auto" w:sz="10" w:space="0"/>
              <w:right w:val="single" w:color="auto" w:sz="10" w:space="0"/>
              <w:insideV w:val="single" w:sz="10" w:space="0"/>
            </w:tcBorders>
            <w:vAlign w:val="center"/>
          </w:tcPr>
          <w:p w14:paraId="1A201244">
            <w:pPr>
              <w:jc w:val="center"/>
            </w:pPr>
            <w:r>
              <w:rPr>
                <w:rFonts w:ascii="宋体" w:hAnsi="宋体" w:eastAsia="宋体"/>
                <w:sz w:val="16"/>
              </w:rPr>
              <w:t>排查廉政风险点率</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35F86BEF">
            <w:pPr>
              <w:jc w:val="center"/>
            </w:pPr>
            <w:r>
              <w:rPr>
                <w:rFonts w:ascii="宋体" w:hAnsi="宋体" w:eastAsia="宋体"/>
                <w:sz w:val="16"/>
              </w:rPr>
              <w:t>=100%</w:t>
            </w:r>
          </w:p>
        </w:tc>
        <w:tc>
          <w:tcPr>
            <w:tcW w:w="1102" w:type="dxa"/>
            <w:tcBorders>
              <w:top w:val="single" w:color="auto" w:sz="10" w:space="0"/>
              <w:left w:val="single" w:color="auto" w:sz="10" w:space="0"/>
              <w:bottom w:val="single" w:color="auto" w:sz="10" w:space="0"/>
              <w:right w:val="single" w:color="auto" w:sz="10" w:space="0"/>
              <w:insideV w:val="single" w:sz="10" w:space="0"/>
            </w:tcBorders>
            <w:vAlign w:val="center"/>
          </w:tcPr>
          <w:p w14:paraId="1E51E1CE">
            <w:pPr>
              <w:jc w:val="center"/>
            </w:pPr>
            <w:r>
              <w:rPr>
                <w:rFonts w:ascii="宋体" w:hAnsi="宋体" w:eastAsia="宋体"/>
                <w:sz w:val="16"/>
              </w:rPr>
              <w:t>2024年工作重点</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6CE76CB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D86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7774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7F9C6">
            <w:pPr>
              <w:jc w:val="center"/>
            </w:pPr>
            <w:r>
              <w:rPr>
                <w:rFonts w:ascii="宋体" w:hAnsi="宋体" w:eastAsia="宋体"/>
                <w:sz w:val="16"/>
              </w:rPr>
              <w:t>15</w:t>
            </w:r>
          </w:p>
        </w:tc>
      </w:tr>
    </w:tbl>
    <w:p w14:paraId="2C75C414">
      <w:r>
        <w:br w:type="page"/>
      </w:r>
    </w:p>
    <w:tbl>
      <w:tblPr>
        <w:tblStyle w:val="9"/>
        <w:tblW w:w="0" w:type="auto"/>
        <w:tblInd w:w="0" w:type="dxa"/>
        <w:tblLayout w:type="autofit"/>
        <w:tblCellMar>
          <w:top w:w="0" w:type="dxa"/>
          <w:left w:w="108" w:type="dxa"/>
          <w:bottom w:w="0" w:type="dxa"/>
          <w:right w:w="108" w:type="dxa"/>
        </w:tblCellMar>
      </w:tblPr>
      <w:tblGrid>
        <w:gridCol w:w="628"/>
        <w:gridCol w:w="622"/>
        <w:gridCol w:w="622"/>
        <w:gridCol w:w="631"/>
        <w:gridCol w:w="776"/>
        <w:gridCol w:w="622"/>
        <w:gridCol w:w="628"/>
        <w:gridCol w:w="625"/>
        <w:gridCol w:w="622"/>
        <w:gridCol w:w="625"/>
        <w:gridCol w:w="776"/>
        <w:gridCol w:w="633"/>
        <w:gridCol w:w="617"/>
        <w:gridCol w:w="633"/>
      </w:tblGrid>
      <w:tr w14:paraId="78135F4B">
        <w:tblPrEx>
          <w:tblCellMar>
            <w:top w:w="0" w:type="dxa"/>
            <w:left w:w="108" w:type="dxa"/>
            <w:bottom w:w="0" w:type="dxa"/>
            <w:right w:w="108" w:type="dxa"/>
          </w:tblCellMar>
        </w:tblPrEx>
        <w:tc>
          <w:tcPr>
            <w:tcW w:w="8848" w:type="dxa"/>
            <w:gridSpan w:val="14"/>
            <w:vAlign w:val="center"/>
          </w:tcPr>
          <w:p w14:paraId="4EA022C5">
            <w:pPr>
              <w:jc w:val="center"/>
            </w:pPr>
            <w:r>
              <w:rPr>
                <w:rFonts w:ascii="宋体" w:hAnsi="宋体" w:eastAsia="宋体"/>
                <w:sz w:val="24"/>
              </w:rPr>
              <w:t>项目支出绩效自评表</w:t>
            </w:r>
          </w:p>
        </w:tc>
      </w:tr>
      <w:tr w14:paraId="4BD615AA">
        <w:tblPrEx>
          <w:tblCellMar>
            <w:top w:w="0" w:type="dxa"/>
            <w:left w:w="108" w:type="dxa"/>
            <w:bottom w:w="0" w:type="dxa"/>
            <w:right w:w="108" w:type="dxa"/>
          </w:tblCellMar>
        </w:tblPrEx>
        <w:tc>
          <w:tcPr>
            <w:tcW w:w="8848" w:type="dxa"/>
            <w:gridSpan w:val="14"/>
            <w:vAlign w:val="center"/>
          </w:tcPr>
          <w:p w14:paraId="0BEBBAE5">
            <w:pPr>
              <w:jc w:val="center"/>
            </w:pPr>
            <w:r>
              <w:rPr>
                <w:rFonts w:ascii="宋体" w:hAnsi="宋体" w:eastAsia="宋体"/>
                <w:sz w:val="24"/>
              </w:rPr>
              <w:t>(2024年度)</w:t>
            </w:r>
          </w:p>
        </w:tc>
      </w:tr>
      <w:tr w14:paraId="7B15D0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AF78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73CB47">
            <w:pPr>
              <w:jc w:val="center"/>
            </w:pPr>
            <w:r>
              <w:rPr>
                <w:rFonts w:ascii="宋体" w:hAnsi="宋体" w:eastAsia="宋体"/>
                <w:sz w:val="16"/>
              </w:rPr>
              <w:t>疏勒县乡（镇）纪检监察干部津贴项目</w:t>
            </w:r>
          </w:p>
        </w:tc>
      </w:tr>
      <w:tr w14:paraId="77715B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895B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C545DF">
            <w:pPr>
              <w:jc w:val="center"/>
            </w:pPr>
            <w:r>
              <w:rPr>
                <w:rFonts w:ascii="宋体" w:hAnsi="宋体" w:eastAsia="宋体"/>
                <w:sz w:val="16"/>
              </w:rPr>
              <w:t>中共疏勒县纪律检查委员会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BDC2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F6069F">
            <w:pPr>
              <w:jc w:val="center"/>
            </w:pPr>
            <w:r>
              <w:rPr>
                <w:rFonts w:ascii="宋体" w:hAnsi="宋体" w:eastAsia="宋体"/>
                <w:sz w:val="16"/>
              </w:rPr>
              <w:t>中共疏勒县纪律检查委员会</w:t>
            </w:r>
          </w:p>
        </w:tc>
      </w:tr>
      <w:tr w14:paraId="5ED72E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A8AC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72C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C65B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6ECE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B462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545A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FA94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BFC7C">
            <w:pPr>
              <w:jc w:val="center"/>
            </w:pPr>
            <w:r>
              <w:rPr>
                <w:rFonts w:ascii="宋体" w:hAnsi="宋体" w:eastAsia="宋体"/>
                <w:sz w:val="16"/>
              </w:rPr>
              <w:t>得分</w:t>
            </w:r>
          </w:p>
        </w:tc>
      </w:tr>
      <w:tr w14:paraId="10520B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277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78B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7ACB8">
            <w:pPr>
              <w:jc w:val="center"/>
            </w:pPr>
            <w:r>
              <w:rPr>
                <w:rFonts w:ascii="宋体" w:hAnsi="宋体" w:eastAsia="宋体"/>
                <w:sz w:val="16"/>
              </w:rPr>
              <w:t>23.10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B725E">
            <w:pPr>
              <w:jc w:val="center"/>
            </w:pPr>
            <w:r>
              <w:rPr>
                <w:rFonts w:ascii="宋体" w:hAnsi="宋体" w:eastAsia="宋体"/>
                <w:sz w:val="16"/>
              </w:rPr>
              <w:t>29.15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1D645">
            <w:pPr>
              <w:jc w:val="center"/>
            </w:pPr>
            <w:r>
              <w:rPr>
                <w:rFonts w:ascii="宋体" w:hAnsi="宋体" w:eastAsia="宋体"/>
                <w:sz w:val="16"/>
              </w:rPr>
              <w:t>29.15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739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C1B3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672C">
            <w:pPr>
              <w:jc w:val="center"/>
            </w:pPr>
            <w:r>
              <w:rPr>
                <w:rFonts w:ascii="宋体" w:hAnsi="宋体" w:eastAsia="宋体"/>
                <w:sz w:val="16"/>
              </w:rPr>
              <w:t>10.00分</w:t>
            </w:r>
          </w:p>
        </w:tc>
      </w:tr>
      <w:tr w14:paraId="7C34C0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645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38E3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26E4D">
            <w:pPr>
              <w:jc w:val="center"/>
            </w:pPr>
            <w:r>
              <w:rPr>
                <w:rFonts w:ascii="宋体" w:hAnsi="宋体" w:eastAsia="宋体"/>
                <w:sz w:val="16"/>
              </w:rPr>
              <w:t>23.10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7D487">
            <w:pPr>
              <w:jc w:val="center"/>
            </w:pPr>
            <w:r>
              <w:rPr>
                <w:rFonts w:ascii="宋体" w:hAnsi="宋体" w:eastAsia="宋体"/>
                <w:sz w:val="16"/>
              </w:rPr>
              <w:t>29.15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2005E">
            <w:pPr>
              <w:jc w:val="center"/>
            </w:pPr>
            <w:r>
              <w:rPr>
                <w:rFonts w:ascii="宋体" w:hAnsi="宋体" w:eastAsia="宋体"/>
                <w:sz w:val="16"/>
              </w:rPr>
              <w:t>29.15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D31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732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1F580">
            <w:pPr>
              <w:jc w:val="center"/>
            </w:pPr>
            <w:r>
              <w:rPr>
                <w:rFonts w:ascii="宋体" w:hAnsi="宋体" w:eastAsia="宋体"/>
                <w:sz w:val="16"/>
              </w:rPr>
              <w:t>—</w:t>
            </w:r>
          </w:p>
        </w:tc>
      </w:tr>
      <w:tr w14:paraId="596680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29D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0800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CEB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C0C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73F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782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60C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8A57D">
            <w:pPr>
              <w:jc w:val="center"/>
            </w:pPr>
            <w:r>
              <w:rPr>
                <w:rFonts w:ascii="宋体" w:hAnsi="宋体" w:eastAsia="宋体"/>
                <w:sz w:val="16"/>
              </w:rPr>
              <w:t>—</w:t>
            </w:r>
          </w:p>
        </w:tc>
      </w:tr>
      <w:tr w14:paraId="3CB230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3F9B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32193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C1792B">
            <w:pPr>
              <w:jc w:val="center"/>
            </w:pPr>
            <w:r>
              <w:rPr>
                <w:rFonts w:ascii="宋体" w:hAnsi="宋体" w:eastAsia="宋体"/>
                <w:sz w:val="16"/>
              </w:rPr>
              <w:t>实际完成情况</w:t>
            </w:r>
          </w:p>
        </w:tc>
      </w:tr>
      <w:tr w14:paraId="6F5613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7224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188AD6">
            <w:pPr>
              <w:jc w:val="both"/>
            </w:pPr>
            <w:r>
              <w:rPr>
                <w:rFonts w:ascii="宋体" w:hAnsi="宋体" w:eastAsia="宋体"/>
                <w:sz w:val="16"/>
              </w:rPr>
              <w:t>项目预算安排资金29.15万元，其中：财政资金29.15万元，用于疏勒县15个乡镇75名纪检监察干部岗位津贴2023年6</w:t>
            </w:r>
            <w:r>
              <w:rPr>
                <w:rFonts w:hint="eastAsia" w:ascii="宋体" w:hAnsi="宋体"/>
                <w:sz w:val="16"/>
                <w:lang w:eastAsia="zh-CN"/>
              </w:rPr>
              <w:t>—</w:t>
            </w:r>
            <w:r>
              <w:rPr>
                <w:rFonts w:ascii="宋体" w:hAnsi="宋体" w:eastAsia="宋体"/>
                <w:sz w:val="16"/>
              </w:rPr>
              <w:t>12月、2024年1</w:t>
            </w:r>
            <w:r>
              <w:rPr>
                <w:rFonts w:hint="eastAsia" w:ascii="宋体" w:hAnsi="宋体"/>
                <w:sz w:val="16"/>
                <w:lang w:eastAsia="zh-CN"/>
              </w:rPr>
              <w:t>—</w:t>
            </w:r>
            <w:r>
              <w:rPr>
                <w:rFonts w:ascii="宋体" w:hAnsi="宋体" w:eastAsia="宋体"/>
                <w:sz w:val="16"/>
              </w:rPr>
              <w:t>12月，共计29.15万元，项目的实施有利于提升干部的积极性，使其</w:t>
            </w:r>
            <w:r>
              <w:rPr>
                <w:rFonts w:hint="eastAsia" w:ascii="宋体" w:hAnsi="宋体"/>
                <w:sz w:val="16"/>
                <w:lang w:eastAsia="zh-CN"/>
              </w:rPr>
              <w:t>更好地</w:t>
            </w:r>
            <w:r>
              <w:rPr>
                <w:rFonts w:ascii="宋体" w:hAnsi="宋体" w:eastAsia="宋体"/>
                <w:sz w:val="16"/>
              </w:rPr>
              <w:t>服务于群众。</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217743">
            <w:pPr>
              <w:jc w:val="both"/>
            </w:pPr>
            <w:r>
              <w:rPr>
                <w:rFonts w:hint="eastAsia" w:ascii="宋体" w:hAnsi="宋体"/>
                <w:sz w:val="16"/>
                <w:lang w:eastAsia="zh-CN"/>
              </w:rPr>
              <w:t>截至2024</w:t>
            </w:r>
            <w:r>
              <w:rPr>
                <w:rFonts w:ascii="宋体" w:hAnsi="宋体" w:eastAsia="宋体"/>
                <w:sz w:val="16"/>
              </w:rPr>
              <w:t>年12月31日，项目总投资29.15万元，用于疏勒县15个乡镇75名纪检监察干部岗位津贴2023年6</w:t>
            </w:r>
            <w:r>
              <w:rPr>
                <w:rFonts w:hint="eastAsia" w:ascii="宋体" w:hAnsi="宋体"/>
                <w:sz w:val="16"/>
                <w:lang w:eastAsia="zh-CN"/>
              </w:rPr>
              <w:t>—</w:t>
            </w:r>
            <w:r>
              <w:rPr>
                <w:rFonts w:ascii="宋体" w:hAnsi="宋体" w:eastAsia="宋体"/>
                <w:sz w:val="16"/>
              </w:rPr>
              <w:t>12月、2024年1</w:t>
            </w:r>
            <w:r>
              <w:rPr>
                <w:rFonts w:hint="eastAsia" w:ascii="宋体" w:hAnsi="宋体"/>
                <w:sz w:val="16"/>
                <w:lang w:eastAsia="zh-CN"/>
              </w:rPr>
              <w:t>—</w:t>
            </w:r>
            <w:r>
              <w:rPr>
                <w:rFonts w:ascii="宋体" w:hAnsi="宋体" w:eastAsia="宋体"/>
                <w:sz w:val="16"/>
              </w:rPr>
              <w:t>12月，项目的实施有利于提升干部的积极性，使其更好</w:t>
            </w:r>
            <w:r>
              <w:rPr>
                <w:rFonts w:hint="eastAsia" w:ascii="宋体" w:hAnsi="宋体"/>
                <w:sz w:val="16"/>
                <w:lang w:eastAsia="zh-CN"/>
              </w:rPr>
              <w:t>地</w:t>
            </w:r>
            <w:r>
              <w:rPr>
                <w:rFonts w:ascii="宋体" w:hAnsi="宋体" w:eastAsia="宋体"/>
                <w:sz w:val="16"/>
              </w:rPr>
              <w:t>服务于群众。</w:t>
            </w:r>
          </w:p>
        </w:tc>
      </w:tr>
      <w:tr w14:paraId="387E3E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C041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F88C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5A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226B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D738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C8DA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F424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00E1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70C0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916C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753F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674F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CBB93">
            <w:pPr>
              <w:jc w:val="center"/>
            </w:pPr>
            <w:r>
              <w:rPr>
                <w:rFonts w:ascii="宋体" w:hAnsi="宋体" w:eastAsia="宋体"/>
                <w:sz w:val="16"/>
              </w:rPr>
              <w:t>偏差原因分析及改进措施</w:t>
            </w:r>
          </w:p>
        </w:tc>
      </w:tr>
      <w:tr w14:paraId="5F03A5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31438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2AA10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F503B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267EC">
            <w:pPr>
              <w:jc w:val="center"/>
            </w:pPr>
            <w:r>
              <w:rPr>
                <w:rFonts w:ascii="宋体" w:hAnsi="宋体" w:eastAsia="宋体"/>
                <w:sz w:val="16"/>
              </w:rPr>
              <w:t>保障基层组织数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9F5D8">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09B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7C24D">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CED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97B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E37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EBEF8">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31AB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6F528">
            <w:pPr>
              <w:jc w:val="center"/>
            </w:pPr>
          </w:p>
        </w:tc>
      </w:tr>
      <w:tr w14:paraId="4F35FB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0E3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AC1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604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EECC4">
            <w:pPr>
              <w:jc w:val="center"/>
            </w:pPr>
            <w:r>
              <w:rPr>
                <w:rFonts w:ascii="宋体" w:hAnsi="宋体" w:eastAsia="宋体"/>
                <w:sz w:val="16"/>
              </w:rPr>
              <w:t>保障基层纪检监察干部人数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FE35B">
            <w:pPr>
              <w:jc w:val="center"/>
            </w:pPr>
            <w:r>
              <w:rPr>
                <w:rFonts w:ascii="宋体" w:hAnsi="宋体" w:eastAsia="宋体"/>
                <w:sz w:val="16"/>
              </w:rPr>
              <w:t>=75名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E15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EFD08">
            <w:pPr>
              <w:jc w:val="center"/>
            </w:pPr>
            <w:r>
              <w:rPr>
                <w:rFonts w:ascii="宋体" w:hAnsi="宋体" w:eastAsia="宋体"/>
                <w:sz w:val="16"/>
              </w:rPr>
              <w:t>75名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C34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FE5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F9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B18E9">
            <w:pPr>
              <w:jc w:val="center"/>
            </w:pPr>
            <w:r>
              <w:rPr>
                <w:rFonts w:ascii="宋体" w:hAnsi="宋体" w:eastAsia="宋体"/>
                <w:sz w:val="16"/>
              </w:rPr>
              <w:t>=75名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EABB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32C2F">
            <w:pPr>
              <w:jc w:val="center"/>
            </w:pPr>
          </w:p>
        </w:tc>
      </w:tr>
      <w:tr w14:paraId="01823B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754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D84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AE49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AB80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DFE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3CB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A13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52E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032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8168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064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453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1E3AF">
            <w:pPr>
              <w:jc w:val="center"/>
            </w:pPr>
          </w:p>
        </w:tc>
      </w:tr>
      <w:tr w14:paraId="784718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D55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C39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203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E6F63">
            <w:pPr>
              <w:jc w:val="center"/>
            </w:pPr>
            <w:r>
              <w:rPr>
                <w:rFonts w:ascii="宋体" w:hAnsi="宋体" w:eastAsia="宋体"/>
                <w:sz w:val="16"/>
              </w:rPr>
              <w:t>乡镇纪检监察干部考核率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9A5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625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F7F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6F7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56F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EAA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572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DF3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19086">
            <w:pPr>
              <w:jc w:val="center"/>
            </w:pPr>
          </w:p>
        </w:tc>
      </w:tr>
      <w:tr w14:paraId="44125D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9D7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32D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3A43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28742">
            <w:pPr>
              <w:jc w:val="center"/>
            </w:pPr>
            <w:r>
              <w:rPr>
                <w:rFonts w:ascii="宋体" w:hAnsi="宋体" w:eastAsia="宋体"/>
                <w:sz w:val="16"/>
              </w:rPr>
              <w:t>保障纪检监察干部岗位津贴发放及时到位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A11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77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5AF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30D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BCD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D359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F17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E314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9A85C">
            <w:pPr>
              <w:jc w:val="center"/>
            </w:pPr>
          </w:p>
        </w:tc>
      </w:tr>
      <w:tr w14:paraId="11685E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D84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D83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2B2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3685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2D0C7">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07B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609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602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C57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070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2AA21">
            <w:pPr>
              <w:jc w:val="center"/>
            </w:pPr>
            <w:r>
              <w:rPr>
                <w:rFonts w:ascii="宋体" w:hAnsi="宋体" w:eastAsia="宋体"/>
                <w:sz w:val="16"/>
              </w:rPr>
              <w:t>=2024年3月26日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96E0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0BE36">
            <w:pPr>
              <w:jc w:val="center"/>
            </w:pPr>
          </w:p>
        </w:tc>
      </w:tr>
      <w:tr w14:paraId="0BC7E0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BD9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AAC7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6899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7F032">
            <w:pPr>
              <w:jc w:val="center"/>
            </w:pPr>
            <w:r>
              <w:rPr>
                <w:rFonts w:ascii="宋体" w:hAnsi="宋体" w:eastAsia="宋体"/>
                <w:sz w:val="16"/>
              </w:rPr>
              <w:t>乡镇纪检监察干部2023年岗位津贴数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84EEA">
            <w:pPr>
              <w:jc w:val="center"/>
            </w:pPr>
            <w:r>
              <w:rPr>
                <w:rFonts w:ascii="宋体" w:hAnsi="宋体" w:eastAsia="宋体"/>
                <w:sz w:val="16"/>
              </w:rPr>
              <w:t>&lt;=10.78万元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A63A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77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627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52C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A24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E37A4">
            <w:pPr>
              <w:jc w:val="center"/>
            </w:pPr>
            <w:r>
              <w:rPr>
                <w:rFonts w:ascii="宋体" w:hAnsi="宋体" w:eastAsia="宋体"/>
                <w:sz w:val="16"/>
              </w:rPr>
              <w:t>=10.78万元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120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9FABD">
            <w:pPr>
              <w:jc w:val="center"/>
            </w:pPr>
          </w:p>
        </w:tc>
      </w:tr>
      <w:tr w14:paraId="08C7EA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82D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EE7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E5E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122B0">
            <w:pPr>
              <w:jc w:val="center"/>
            </w:pPr>
            <w:r>
              <w:rPr>
                <w:rFonts w:ascii="宋体" w:hAnsi="宋体" w:eastAsia="宋体"/>
                <w:sz w:val="16"/>
              </w:rPr>
              <w:t>乡镇纪检监察干部2024年1</w:t>
            </w:r>
            <w:r>
              <w:rPr>
                <w:rFonts w:hint="eastAsia" w:ascii="宋体" w:hAnsi="宋体"/>
                <w:sz w:val="16"/>
                <w:lang w:eastAsia="zh-CN"/>
              </w:rPr>
              <w:t>—</w:t>
            </w:r>
            <w:r>
              <w:rPr>
                <w:rFonts w:ascii="宋体" w:hAnsi="宋体" w:eastAsia="宋体"/>
                <w:sz w:val="16"/>
              </w:rPr>
              <w:t>12月岗位津贴数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62F3A">
            <w:pPr>
              <w:jc w:val="center"/>
            </w:pPr>
            <w:r>
              <w:rPr>
                <w:rFonts w:ascii="宋体" w:hAnsi="宋体" w:eastAsia="宋体"/>
                <w:sz w:val="16"/>
              </w:rPr>
              <w:t>&lt;=18.37万元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ACC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6B8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B70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AC9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BEC5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56989">
            <w:pPr>
              <w:jc w:val="center"/>
            </w:pPr>
            <w:r>
              <w:rPr>
                <w:rFonts w:ascii="宋体" w:hAnsi="宋体" w:eastAsia="宋体"/>
                <w:sz w:val="16"/>
              </w:rPr>
              <w:t>=18.37万元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D76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17D41">
            <w:pPr>
              <w:jc w:val="center"/>
            </w:pPr>
          </w:p>
        </w:tc>
      </w:tr>
      <w:tr w14:paraId="2819A2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A25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AE23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D9884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DF413">
            <w:pPr>
              <w:jc w:val="center"/>
            </w:pPr>
            <w:r>
              <w:rPr>
                <w:rFonts w:ascii="宋体" w:hAnsi="宋体" w:eastAsia="宋体"/>
                <w:sz w:val="16"/>
              </w:rPr>
              <w:t>提升干部工作积极性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81F8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E9C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F590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878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80E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640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27D9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D3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2E15D">
            <w:pPr>
              <w:jc w:val="center"/>
            </w:pPr>
          </w:p>
        </w:tc>
      </w:tr>
      <w:tr w14:paraId="24B98B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4E5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1BF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594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8576F">
            <w:pPr>
              <w:jc w:val="center"/>
            </w:pPr>
            <w:r>
              <w:rPr>
                <w:rFonts w:ascii="宋体" w:hAnsi="宋体" w:eastAsia="宋体"/>
                <w:sz w:val="16"/>
              </w:rPr>
              <w:t>提升干部政治素养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E651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F48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6CF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667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0D3E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0E9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957C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D57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5BE15">
            <w:pPr>
              <w:jc w:val="center"/>
            </w:pPr>
          </w:p>
        </w:tc>
      </w:tr>
      <w:tr w14:paraId="4F329C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A4A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F2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36C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825A5">
            <w:pPr>
              <w:jc w:val="center"/>
            </w:pPr>
            <w:r>
              <w:rPr>
                <w:rFonts w:ascii="宋体" w:hAnsi="宋体" w:eastAsia="宋体"/>
                <w:sz w:val="16"/>
              </w:rPr>
              <w:t>受益纪检监察干部满意度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F287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284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61D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B1A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7AA2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65E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9000F">
            <w:pPr>
              <w:jc w:val="center"/>
            </w:pPr>
            <w:r>
              <w:rPr>
                <w:rFonts w:ascii="宋体" w:hAnsi="宋体" w:eastAsia="宋体"/>
                <w:sz w:val="16"/>
              </w:rPr>
              <w:t>=99.09%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097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CFC2C">
            <w:pPr>
              <w:jc w:val="center"/>
            </w:pPr>
            <w:r>
              <w:rPr>
                <w:rFonts w:ascii="宋体" w:hAnsi="宋体" w:eastAsia="宋体"/>
                <w:sz w:val="16"/>
              </w:rPr>
              <w:t>受益纪检监察干部满意度99.09%，故存在4%的偏差。</w:t>
            </w:r>
          </w:p>
        </w:tc>
      </w:tr>
      <w:tr w14:paraId="575FB24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FBBB8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AD78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92DC0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0670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C31F733"/>
        </w:tc>
      </w:tr>
    </w:tbl>
    <w:p w14:paraId="588DBF3C">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24"/>
        <w:gridCol w:w="627"/>
        <w:gridCol w:w="624"/>
        <w:gridCol w:w="627"/>
        <w:gridCol w:w="776"/>
        <w:gridCol w:w="632"/>
        <w:gridCol w:w="616"/>
        <w:gridCol w:w="633"/>
      </w:tblGrid>
      <w:tr w14:paraId="6E9B5577">
        <w:tblPrEx>
          <w:tblCellMar>
            <w:top w:w="0" w:type="dxa"/>
            <w:left w:w="108" w:type="dxa"/>
            <w:bottom w:w="0" w:type="dxa"/>
            <w:right w:w="108" w:type="dxa"/>
          </w:tblCellMar>
        </w:tblPrEx>
        <w:tc>
          <w:tcPr>
            <w:tcW w:w="8848" w:type="dxa"/>
            <w:gridSpan w:val="14"/>
            <w:vAlign w:val="center"/>
          </w:tcPr>
          <w:p w14:paraId="2E4AC3F9">
            <w:pPr>
              <w:jc w:val="center"/>
            </w:pPr>
            <w:r>
              <w:rPr>
                <w:rFonts w:ascii="宋体" w:hAnsi="宋体" w:eastAsia="宋体"/>
                <w:sz w:val="24"/>
              </w:rPr>
              <w:t>项目支出绩效自评表</w:t>
            </w:r>
          </w:p>
        </w:tc>
      </w:tr>
      <w:tr w14:paraId="3EDAA040">
        <w:tblPrEx>
          <w:tblCellMar>
            <w:top w:w="0" w:type="dxa"/>
            <w:left w:w="108" w:type="dxa"/>
            <w:bottom w:w="0" w:type="dxa"/>
            <w:right w:w="108" w:type="dxa"/>
          </w:tblCellMar>
        </w:tblPrEx>
        <w:tc>
          <w:tcPr>
            <w:tcW w:w="8848" w:type="dxa"/>
            <w:gridSpan w:val="14"/>
            <w:vAlign w:val="center"/>
          </w:tcPr>
          <w:p w14:paraId="37EB59ED">
            <w:pPr>
              <w:jc w:val="center"/>
            </w:pPr>
            <w:r>
              <w:rPr>
                <w:rFonts w:ascii="宋体" w:hAnsi="宋体" w:eastAsia="宋体"/>
                <w:sz w:val="24"/>
              </w:rPr>
              <w:t>(2024年度)</w:t>
            </w:r>
          </w:p>
        </w:tc>
      </w:tr>
      <w:tr w14:paraId="6FFFEA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97CC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3CE269">
            <w:pPr>
              <w:jc w:val="center"/>
            </w:pPr>
            <w:r>
              <w:rPr>
                <w:rFonts w:ascii="宋体" w:hAnsi="宋体" w:eastAsia="宋体"/>
                <w:sz w:val="16"/>
              </w:rPr>
              <w:t>疏勒县巡察办工作经费项目</w:t>
            </w:r>
          </w:p>
        </w:tc>
      </w:tr>
      <w:tr w14:paraId="7EFF58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A045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DE8575">
            <w:pPr>
              <w:jc w:val="center"/>
            </w:pPr>
            <w:r>
              <w:rPr>
                <w:rFonts w:ascii="宋体" w:hAnsi="宋体" w:eastAsia="宋体"/>
                <w:sz w:val="16"/>
              </w:rPr>
              <w:t>中共疏勒县纪律检查委员会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054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86E8A9">
            <w:pPr>
              <w:jc w:val="center"/>
            </w:pPr>
            <w:r>
              <w:rPr>
                <w:rFonts w:ascii="宋体" w:hAnsi="宋体" w:eastAsia="宋体"/>
                <w:sz w:val="16"/>
              </w:rPr>
              <w:t>中共疏勒县纪律检查委员会</w:t>
            </w:r>
          </w:p>
        </w:tc>
      </w:tr>
      <w:tr w14:paraId="42A26A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2481F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AD64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FFBA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ACBB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3DA7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0D3D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5CC7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4AE58">
            <w:pPr>
              <w:jc w:val="center"/>
            </w:pPr>
            <w:r>
              <w:rPr>
                <w:rFonts w:ascii="宋体" w:hAnsi="宋体" w:eastAsia="宋体"/>
                <w:sz w:val="16"/>
              </w:rPr>
              <w:t>得分</w:t>
            </w:r>
          </w:p>
        </w:tc>
      </w:tr>
      <w:tr w14:paraId="0FEB06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E59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50AF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3E838">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6352E">
            <w:pPr>
              <w:jc w:val="center"/>
            </w:pPr>
            <w:r>
              <w:rPr>
                <w:rFonts w:ascii="宋体" w:hAnsi="宋体" w:eastAsia="宋体"/>
                <w:sz w:val="16"/>
              </w:rPr>
              <w:t>24.46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872AD">
            <w:pPr>
              <w:jc w:val="center"/>
            </w:pPr>
            <w:r>
              <w:rPr>
                <w:rFonts w:ascii="宋体" w:hAnsi="宋体" w:eastAsia="宋体"/>
                <w:sz w:val="16"/>
              </w:rPr>
              <w:t>24.46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78D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2E2D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FE528">
            <w:pPr>
              <w:jc w:val="center"/>
            </w:pPr>
            <w:r>
              <w:rPr>
                <w:rFonts w:ascii="宋体" w:hAnsi="宋体" w:eastAsia="宋体"/>
                <w:sz w:val="16"/>
              </w:rPr>
              <w:t>10.00分</w:t>
            </w:r>
          </w:p>
        </w:tc>
      </w:tr>
      <w:tr w14:paraId="1A4494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8CA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2BBD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68D18">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82C1B">
            <w:pPr>
              <w:jc w:val="center"/>
            </w:pPr>
            <w:r>
              <w:rPr>
                <w:rFonts w:ascii="宋体" w:hAnsi="宋体" w:eastAsia="宋体"/>
                <w:sz w:val="16"/>
              </w:rPr>
              <w:t>24.46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990B6">
            <w:pPr>
              <w:jc w:val="center"/>
            </w:pPr>
            <w:r>
              <w:rPr>
                <w:rFonts w:ascii="宋体" w:hAnsi="宋体" w:eastAsia="宋体"/>
                <w:sz w:val="16"/>
              </w:rPr>
              <w:t>24.46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464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DD2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34522">
            <w:pPr>
              <w:jc w:val="center"/>
            </w:pPr>
            <w:r>
              <w:rPr>
                <w:rFonts w:ascii="宋体" w:hAnsi="宋体" w:eastAsia="宋体"/>
                <w:sz w:val="16"/>
              </w:rPr>
              <w:t>—</w:t>
            </w:r>
          </w:p>
        </w:tc>
      </w:tr>
      <w:tr w14:paraId="387BD2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8BF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5646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B74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A6C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063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D91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3B7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4A64D">
            <w:pPr>
              <w:jc w:val="center"/>
            </w:pPr>
            <w:r>
              <w:rPr>
                <w:rFonts w:ascii="宋体" w:hAnsi="宋体" w:eastAsia="宋体"/>
                <w:sz w:val="16"/>
              </w:rPr>
              <w:t>—</w:t>
            </w:r>
          </w:p>
        </w:tc>
      </w:tr>
      <w:tr w14:paraId="5DF2D0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45B1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56A2D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6956EC">
            <w:pPr>
              <w:jc w:val="center"/>
            </w:pPr>
            <w:r>
              <w:rPr>
                <w:rFonts w:ascii="宋体" w:hAnsi="宋体" w:eastAsia="宋体"/>
                <w:sz w:val="16"/>
              </w:rPr>
              <w:t>实际完成情况</w:t>
            </w:r>
          </w:p>
        </w:tc>
      </w:tr>
      <w:tr w14:paraId="36D147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30E0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597A90">
            <w:pPr>
              <w:jc w:val="both"/>
            </w:pPr>
            <w:r>
              <w:rPr>
                <w:rFonts w:ascii="宋体" w:hAnsi="宋体" w:eastAsia="宋体"/>
                <w:sz w:val="16"/>
              </w:rPr>
              <w:t>项目总投资24.46万元，该项目实施地点县纪委监委及县委巡察办合署办公，该项目保障巡察办日常的办公用品6.06万元，其他交通费用4.39万元，保障巡察办信息化建设14.01万元，保障巡察办开展常规巡察工作顺利开展，深化政治巡视，提升监督质效，彰显巡察利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C5879E">
            <w:pPr>
              <w:jc w:val="both"/>
            </w:pPr>
            <w:r>
              <w:rPr>
                <w:rFonts w:ascii="宋体" w:hAnsi="宋体" w:eastAsia="宋体"/>
                <w:sz w:val="16"/>
              </w:rPr>
              <w:t>截至2024年12月31日，项目实际支出24.46万元，该项目实施地点县纪委监委及县委巡察办合署办公，该项目保障本单位运行数3轮巡察，通过项目的实施保障巡察办开展常规巡察工作顺利开展，深化政治巡视，提升监督质效，彰显巡察利剑。</w:t>
            </w:r>
          </w:p>
        </w:tc>
      </w:tr>
      <w:tr w14:paraId="5C129E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43EA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6865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3CC5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3F0F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01CB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728D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F3AE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81BC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8620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478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47C7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555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7213F">
            <w:pPr>
              <w:jc w:val="center"/>
            </w:pPr>
            <w:r>
              <w:rPr>
                <w:rFonts w:ascii="宋体" w:hAnsi="宋体" w:eastAsia="宋体"/>
                <w:sz w:val="16"/>
              </w:rPr>
              <w:t>偏差原因分析及改进措施</w:t>
            </w:r>
          </w:p>
        </w:tc>
      </w:tr>
      <w:tr w14:paraId="363B6E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F0FB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46CB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1003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482E1">
            <w:pPr>
              <w:jc w:val="center"/>
            </w:pPr>
            <w:r>
              <w:rPr>
                <w:rFonts w:ascii="宋体" w:hAnsi="宋体" w:eastAsia="宋体"/>
                <w:sz w:val="16"/>
              </w:rPr>
              <w:t>保障单位运行数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C9A8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1AA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3FB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0E4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C78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97A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D68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A0A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C287C">
            <w:pPr>
              <w:jc w:val="center"/>
            </w:pPr>
          </w:p>
        </w:tc>
      </w:tr>
      <w:tr w14:paraId="50FFBE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90A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7FA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043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68643">
            <w:pPr>
              <w:jc w:val="center"/>
            </w:pPr>
            <w:r>
              <w:rPr>
                <w:rFonts w:ascii="宋体" w:hAnsi="宋体" w:eastAsia="宋体"/>
                <w:sz w:val="16"/>
              </w:rPr>
              <w:t>全年开展巡视巡察</w:t>
            </w:r>
            <w:r>
              <w:rPr>
                <w:rFonts w:hint="eastAsia" w:ascii="宋体" w:hAnsi="宋体"/>
                <w:sz w:val="16"/>
                <w:lang w:eastAsia="zh-CN"/>
              </w:rPr>
              <w:t>工作量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37BF9">
            <w:pPr>
              <w:jc w:val="center"/>
            </w:pPr>
            <w:r>
              <w:rPr>
                <w:rFonts w:ascii="宋体" w:hAnsi="宋体" w:eastAsia="宋体"/>
                <w:sz w:val="16"/>
              </w:rPr>
              <w:t>&gt;=3轮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E58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D04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EC0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0D2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C82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AEA18">
            <w:pPr>
              <w:jc w:val="center"/>
            </w:pPr>
            <w:r>
              <w:rPr>
                <w:rFonts w:ascii="宋体" w:hAnsi="宋体" w:eastAsia="宋体"/>
                <w:sz w:val="16"/>
              </w:rPr>
              <w:t>=3轮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9F3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35F03">
            <w:pPr>
              <w:jc w:val="center"/>
            </w:pPr>
          </w:p>
        </w:tc>
      </w:tr>
      <w:tr w14:paraId="6700AD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253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AEA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0A52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EB72C">
            <w:pPr>
              <w:jc w:val="center"/>
            </w:pPr>
            <w:r>
              <w:rPr>
                <w:rFonts w:ascii="宋体" w:hAnsi="宋体" w:eastAsia="宋体"/>
                <w:sz w:val="16"/>
              </w:rPr>
              <w:t>资金执行合规率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E22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CF7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757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554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660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DCB1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733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9FE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537DB">
            <w:pPr>
              <w:jc w:val="center"/>
            </w:pPr>
          </w:p>
        </w:tc>
      </w:tr>
      <w:tr w14:paraId="4886F9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382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DCD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4B91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F07E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898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D0C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530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8F22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90C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C6E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495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D846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754B0">
            <w:pPr>
              <w:jc w:val="center"/>
            </w:pPr>
          </w:p>
        </w:tc>
      </w:tr>
      <w:tr w14:paraId="7DF510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871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171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29D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FF80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D5D22">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997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79E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EF5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E29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B20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3CD57">
            <w:pPr>
              <w:jc w:val="center"/>
            </w:pPr>
            <w:r>
              <w:rPr>
                <w:rFonts w:ascii="宋体" w:hAnsi="宋体" w:eastAsia="宋体"/>
                <w:sz w:val="16"/>
              </w:rPr>
              <w:t>=2024年8月16日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4779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8C709">
            <w:pPr>
              <w:jc w:val="center"/>
            </w:pPr>
          </w:p>
        </w:tc>
      </w:tr>
      <w:tr w14:paraId="57650B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7A0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0DB46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027B1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DDDED">
            <w:pPr>
              <w:jc w:val="center"/>
            </w:pPr>
            <w:r>
              <w:rPr>
                <w:rFonts w:ascii="宋体" w:hAnsi="宋体" w:eastAsia="宋体"/>
                <w:sz w:val="16"/>
              </w:rPr>
              <w:t>其他交通费用数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90E2F">
            <w:pPr>
              <w:jc w:val="center"/>
            </w:pPr>
            <w:r>
              <w:rPr>
                <w:rFonts w:ascii="宋体" w:hAnsi="宋体" w:eastAsia="宋体"/>
                <w:sz w:val="16"/>
              </w:rPr>
              <w:t>&lt;=4.39万元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7AA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C36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6C3F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7AD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34A1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C31CC">
            <w:pPr>
              <w:jc w:val="center"/>
            </w:pPr>
            <w:r>
              <w:rPr>
                <w:rFonts w:ascii="宋体" w:hAnsi="宋体" w:eastAsia="宋体"/>
                <w:sz w:val="16"/>
              </w:rPr>
              <w:t>=4.39万元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EFEA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E283D">
            <w:pPr>
              <w:jc w:val="center"/>
            </w:pPr>
          </w:p>
        </w:tc>
      </w:tr>
      <w:tr w14:paraId="79876B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E73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7C2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50B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C04AA">
            <w:pPr>
              <w:jc w:val="center"/>
            </w:pPr>
            <w:r>
              <w:rPr>
                <w:rFonts w:ascii="宋体" w:hAnsi="宋体" w:eastAsia="宋体"/>
                <w:sz w:val="16"/>
              </w:rPr>
              <w:t>办公经费使用数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AF78F">
            <w:pPr>
              <w:jc w:val="center"/>
            </w:pPr>
            <w:r>
              <w:rPr>
                <w:rFonts w:ascii="宋体" w:hAnsi="宋体" w:eastAsia="宋体"/>
                <w:sz w:val="16"/>
              </w:rPr>
              <w:t>&lt;=6.06万元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1CC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47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309A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BB3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69D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72918">
            <w:pPr>
              <w:jc w:val="center"/>
            </w:pPr>
            <w:r>
              <w:rPr>
                <w:rFonts w:ascii="宋体" w:hAnsi="宋体" w:eastAsia="宋体"/>
                <w:sz w:val="16"/>
              </w:rPr>
              <w:t>=6.06万元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8139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66283">
            <w:pPr>
              <w:jc w:val="center"/>
            </w:pPr>
          </w:p>
        </w:tc>
      </w:tr>
      <w:tr w14:paraId="740DC2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3BA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873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F40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E85E5">
            <w:pPr>
              <w:jc w:val="center"/>
            </w:pPr>
            <w:r>
              <w:rPr>
                <w:rFonts w:ascii="宋体" w:hAnsi="宋体" w:eastAsia="宋体"/>
                <w:sz w:val="16"/>
              </w:rPr>
              <w:t>保障巡察办信息化建设费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6632A">
            <w:pPr>
              <w:jc w:val="center"/>
            </w:pPr>
            <w:r>
              <w:rPr>
                <w:rFonts w:ascii="宋体" w:hAnsi="宋体" w:eastAsia="宋体"/>
                <w:sz w:val="16"/>
              </w:rPr>
              <w:t>&lt;=14.01万元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A95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C67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23B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9E3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D76C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B0D0">
            <w:pPr>
              <w:jc w:val="center"/>
            </w:pPr>
            <w:r>
              <w:rPr>
                <w:rFonts w:ascii="宋体" w:hAnsi="宋体" w:eastAsia="宋体"/>
                <w:sz w:val="16"/>
              </w:rPr>
              <w:t>=14.01万元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91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7C450">
            <w:pPr>
              <w:jc w:val="center"/>
            </w:pPr>
          </w:p>
        </w:tc>
      </w:tr>
      <w:tr w14:paraId="175E61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BC5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48350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90FBC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E2614">
            <w:pPr>
              <w:jc w:val="center"/>
            </w:pPr>
            <w:r>
              <w:rPr>
                <w:rFonts w:ascii="宋体" w:hAnsi="宋体" w:eastAsia="宋体"/>
                <w:sz w:val="16"/>
              </w:rPr>
              <w:t>提升干部政治理论素养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B492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73B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2EA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6B3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120F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C9C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ABBB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90B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1A6D8">
            <w:pPr>
              <w:jc w:val="center"/>
            </w:pPr>
          </w:p>
        </w:tc>
      </w:tr>
      <w:tr w14:paraId="6F11A5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314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606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ACF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D874D">
            <w:pPr>
              <w:jc w:val="center"/>
            </w:pPr>
            <w:r>
              <w:rPr>
                <w:rFonts w:ascii="宋体" w:hAnsi="宋体" w:eastAsia="宋体"/>
                <w:sz w:val="16"/>
              </w:rPr>
              <w:t>提升干部工作积极性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DBB1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30C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84A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A66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84C5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5B4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991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B4A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D4599">
            <w:pPr>
              <w:jc w:val="center"/>
            </w:pPr>
          </w:p>
        </w:tc>
      </w:tr>
      <w:tr w14:paraId="5FA12A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1BB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998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569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DBCF9">
            <w:pPr>
              <w:jc w:val="center"/>
            </w:pPr>
            <w:r>
              <w:rPr>
                <w:rFonts w:ascii="宋体" w:hAnsi="宋体" w:eastAsia="宋体"/>
                <w:sz w:val="16"/>
              </w:rPr>
              <w:t>巡察办工作人员满意度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20EA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67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504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90A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B8F3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45C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AA83E">
            <w:pPr>
              <w:jc w:val="center"/>
            </w:pPr>
            <w:r>
              <w:rPr>
                <w:rFonts w:ascii="宋体" w:hAnsi="宋体" w:eastAsia="宋体"/>
                <w:sz w:val="16"/>
              </w:rPr>
              <w:t>=99.47%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4B6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00BEB">
            <w:pPr>
              <w:jc w:val="center"/>
            </w:pPr>
            <w:r>
              <w:rPr>
                <w:rFonts w:ascii="宋体" w:hAnsi="宋体" w:eastAsia="宋体"/>
                <w:sz w:val="16"/>
              </w:rPr>
              <w:t>巡察办工作人员满意度100%，故存在%偏差</w:t>
            </w:r>
          </w:p>
        </w:tc>
      </w:tr>
      <w:tr w14:paraId="71A0B98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07DC3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6A08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0179E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2C4C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D4BD942"/>
        </w:tc>
      </w:tr>
    </w:tbl>
    <w:p w14:paraId="6D50F873">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16"/>
        <w:gridCol w:w="621"/>
        <w:gridCol w:w="616"/>
        <w:gridCol w:w="621"/>
        <w:gridCol w:w="776"/>
        <w:gridCol w:w="632"/>
        <w:gridCol w:w="599"/>
        <w:gridCol w:w="633"/>
      </w:tblGrid>
      <w:tr w14:paraId="42FCFC79">
        <w:tblPrEx>
          <w:tblCellMar>
            <w:top w:w="0" w:type="dxa"/>
            <w:left w:w="108" w:type="dxa"/>
            <w:bottom w:w="0" w:type="dxa"/>
            <w:right w:w="108" w:type="dxa"/>
          </w:tblCellMar>
        </w:tblPrEx>
        <w:tc>
          <w:tcPr>
            <w:tcW w:w="8848" w:type="dxa"/>
            <w:gridSpan w:val="14"/>
            <w:vAlign w:val="center"/>
          </w:tcPr>
          <w:p w14:paraId="64DE5096">
            <w:pPr>
              <w:jc w:val="center"/>
            </w:pPr>
            <w:r>
              <w:rPr>
                <w:rFonts w:ascii="宋体" w:hAnsi="宋体" w:eastAsia="宋体"/>
                <w:sz w:val="24"/>
              </w:rPr>
              <w:t>项目支出绩效自评表</w:t>
            </w:r>
          </w:p>
        </w:tc>
      </w:tr>
      <w:tr w14:paraId="6213BC1C">
        <w:tblPrEx>
          <w:tblCellMar>
            <w:top w:w="0" w:type="dxa"/>
            <w:left w:w="108" w:type="dxa"/>
            <w:bottom w:w="0" w:type="dxa"/>
            <w:right w:w="108" w:type="dxa"/>
          </w:tblCellMar>
        </w:tblPrEx>
        <w:tc>
          <w:tcPr>
            <w:tcW w:w="8848" w:type="dxa"/>
            <w:gridSpan w:val="14"/>
            <w:vAlign w:val="center"/>
          </w:tcPr>
          <w:p w14:paraId="00B50504">
            <w:pPr>
              <w:jc w:val="center"/>
            </w:pPr>
            <w:r>
              <w:rPr>
                <w:rFonts w:ascii="宋体" w:hAnsi="宋体" w:eastAsia="宋体"/>
                <w:sz w:val="24"/>
              </w:rPr>
              <w:t>(2024年度)</w:t>
            </w:r>
          </w:p>
        </w:tc>
      </w:tr>
      <w:tr w14:paraId="3A5B91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EB1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60F5A1">
            <w:pPr>
              <w:jc w:val="center"/>
            </w:pPr>
            <w:r>
              <w:rPr>
                <w:rFonts w:ascii="宋体" w:hAnsi="宋体" w:eastAsia="宋体"/>
                <w:sz w:val="16"/>
              </w:rPr>
              <w:t>疏勒县纪检监察工作经费装备设施项目</w:t>
            </w:r>
          </w:p>
        </w:tc>
      </w:tr>
      <w:tr w14:paraId="3A49B9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A204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0FBB04">
            <w:pPr>
              <w:jc w:val="center"/>
            </w:pPr>
            <w:r>
              <w:rPr>
                <w:rFonts w:ascii="宋体" w:hAnsi="宋体" w:eastAsia="宋体"/>
                <w:sz w:val="16"/>
              </w:rPr>
              <w:t>中共疏勒县纪律检查委员会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9B7B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6385F4">
            <w:pPr>
              <w:jc w:val="center"/>
            </w:pPr>
            <w:r>
              <w:rPr>
                <w:rFonts w:ascii="宋体" w:hAnsi="宋体" w:eastAsia="宋体"/>
                <w:sz w:val="16"/>
              </w:rPr>
              <w:t>中共疏勒县纪律检查委员会</w:t>
            </w:r>
          </w:p>
        </w:tc>
      </w:tr>
      <w:tr w14:paraId="022B34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E8B71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67D5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1C65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EE1B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8520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A16E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172E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627D9">
            <w:pPr>
              <w:jc w:val="center"/>
            </w:pPr>
            <w:r>
              <w:rPr>
                <w:rFonts w:ascii="宋体" w:hAnsi="宋体" w:eastAsia="宋体"/>
                <w:sz w:val="16"/>
              </w:rPr>
              <w:t>得分</w:t>
            </w:r>
          </w:p>
        </w:tc>
      </w:tr>
      <w:tr w14:paraId="17FA73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DC3C6">
            <w:bookmarkStart w:id="0" w:name="_GoBack" w:colFirst="3" w:colLast="12"/>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6592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6AF96">
            <w:pPr>
              <w:jc w:val="center"/>
            </w:pPr>
            <w:r>
              <w:rPr>
                <w:rFonts w:ascii="宋体" w:hAnsi="宋体" w:eastAsia="宋体"/>
                <w:sz w:val="16"/>
              </w:rPr>
              <w:t>189.28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120A1">
            <w:pPr>
              <w:jc w:val="center"/>
            </w:pPr>
            <w:r>
              <w:rPr>
                <w:rFonts w:ascii="宋体" w:hAnsi="宋体" w:eastAsia="宋体"/>
                <w:sz w:val="16"/>
              </w:rPr>
              <w:t>164.02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38F5F">
            <w:pPr>
              <w:jc w:val="center"/>
            </w:pPr>
            <w:r>
              <w:rPr>
                <w:rFonts w:ascii="宋体" w:hAnsi="宋体" w:eastAsia="宋体"/>
                <w:sz w:val="16"/>
              </w:rPr>
              <w:t>164.02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0E1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68FD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0A72C">
            <w:pPr>
              <w:jc w:val="center"/>
            </w:pPr>
            <w:r>
              <w:rPr>
                <w:rFonts w:ascii="宋体" w:hAnsi="宋体" w:eastAsia="宋体"/>
                <w:sz w:val="16"/>
              </w:rPr>
              <w:t>10.00分</w:t>
            </w:r>
          </w:p>
        </w:tc>
      </w:tr>
      <w:tr w14:paraId="3347EF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2F3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0B6C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65DBB">
            <w:pPr>
              <w:jc w:val="center"/>
            </w:pPr>
            <w:r>
              <w:rPr>
                <w:rFonts w:ascii="宋体" w:hAnsi="宋体" w:eastAsia="宋体"/>
                <w:sz w:val="16"/>
              </w:rPr>
              <w:t>189.28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B6892">
            <w:pPr>
              <w:jc w:val="center"/>
            </w:pPr>
            <w:r>
              <w:rPr>
                <w:rFonts w:ascii="宋体" w:hAnsi="宋体" w:eastAsia="宋体"/>
                <w:sz w:val="16"/>
              </w:rPr>
              <w:t>164.02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59CE8">
            <w:pPr>
              <w:jc w:val="center"/>
            </w:pPr>
            <w:r>
              <w:rPr>
                <w:rFonts w:ascii="宋体" w:hAnsi="宋体" w:eastAsia="宋体"/>
                <w:sz w:val="16"/>
              </w:rPr>
              <w:t>164.02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43E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877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CF166">
            <w:pPr>
              <w:jc w:val="center"/>
            </w:pPr>
            <w:r>
              <w:rPr>
                <w:rFonts w:ascii="宋体" w:hAnsi="宋体" w:eastAsia="宋体"/>
                <w:sz w:val="16"/>
              </w:rPr>
              <w:t>—</w:t>
            </w:r>
          </w:p>
        </w:tc>
      </w:tr>
      <w:tr w14:paraId="01C961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4EE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5830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53D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925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57F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261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263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A36AC">
            <w:pPr>
              <w:jc w:val="center"/>
            </w:pPr>
            <w:r>
              <w:rPr>
                <w:rFonts w:ascii="宋体" w:hAnsi="宋体" w:eastAsia="宋体"/>
                <w:sz w:val="16"/>
              </w:rPr>
              <w:t>—</w:t>
            </w:r>
          </w:p>
        </w:tc>
      </w:tr>
      <w:tr w14:paraId="134105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25DC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81201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4861BF">
            <w:pPr>
              <w:jc w:val="center"/>
            </w:pPr>
            <w:r>
              <w:rPr>
                <w:rFonts w:ascii="宋体" w:hAnsi="宋体" w:eastAsia="宋体"/>
                <w:sz w:val="16"/>
              </w:rPr>
              <w:t>实际完成情况</w:t>
            </w:r>
          </w:p>
        </w:tc>
      </w:tr>
      <w:bookmarkEnd w:id="0"/>
      <w:tr w14:paraId="447E4B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FAC6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7A575E">
            <w:pPr>
              <w:jc w:val="both"/>
            </w:pPr>
            <w:r>
              <w:rPr>
                <w:rFonts w:ascii="宋体" w:hAnsi="宋体" w:eastAsia="宋体"/>
                <w:sz w:val="16"/>
              </w:rPr>
              <w:t>项目计划投资164.02万元，该项目实施保障县纪委监委处理案件的工作经费，保障单位人员人数112人，保障公务用车15辆，及单位16个</w:t>
            </w:r>
            <w:r>
              <w:rPr>
                <w:rFonts w:hint="eastAsia" w:ascii="宋体" w:hAnsi="宋体"/>
                <w:sz w:val="16"/>
                <w:lang w:eastAsia="zh-CN"/>
              </w:rPr>
              <w:t>（</w:t>
            </w:r>
            <w:r>
              <w:rPr>
                <w:rFonts w:ascii="宋体" w:hAnsi="宋体" w:eastAsia="宋体"/>
                <w:sz w:val="16"/>
              </w:rPr>
              <w:t>县纪委监委、各乡</w:t>
            </w:r>
            <w:r>
              <w:rPr>
                <w:rFonts w:hint="eastAsia" w:ascii="宋体" w:hAnsi="宋体"/>
                <w:sz w:val="16"/>
                <w:lang w:val="en-US" w:eastAsia="zh-CN"/>
              </w:rPr>
              <w:t>/</w:t>
            </w:r>
            <w:r>
              <w:rPr>
                <w:rFonts w:ascii="宋体" w:hAnsi="宋体" w:eastAsia="宋体"/>
                <w:sz w:val="16"/>
              </w:rPr>
              <w:t>镇纪委监委办公室）单位，日常案件处理工作经费，根据相关要求改善工作环境，更换办公设备等。计划人员考核率达到100%，案件办结率不低于95%。保障县纪委监委、各乡（镇）纪委监委办公室查处贪污贿赂、失职渎职以及预防职务犯罪等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B2CB54">
            <w:pPr>
              <w:jc w:val="both"/>
            </w:pPr>
            <w:r>
              <w:rPr>
                <w:rFonts w:hint="eastAsia" w:ascii="宋体" w:hAnsi="宋体"/>
                <w:sz w:val="16"/>
                <w:lang w:eastAsia="zh-CN"/>
              </w:rPr>
              <w:t>截至2024</w:t>
            </w:r>
            <w:r>
              <w:rPr>
                <w:rFonts w:ascii="宋体" w:hAnsi="宋体" w:eastAsia="宋体"/>
                <w:sz w:val="16"/>
              </w:rPr>
              <w:t>年12月31日，项目投资164.02万元，该项目的实施保障县纪委监委处理案件的工作经费，保障单位人员人数112人，保障公务用车15辆，及单位16个（县纪委监委、各乡</w:t>
            </w:r>
            <w:r>
              <w:rPr>
                <w:rFonts w:hint="eastAsia" w:ascii="宋体" w:hAnsi="宋体"/>
                <w:sz w:val="16"/>
                <w:lang w:val="en-US" w:eastAsia="zh-CN"/>
              </w:rPr>
              <w:t>/</w:t>
            </w:r>
            <w:r>
              <w:rPr>
                <w:rFonts w:ascii="宋体" w:hAnsi="宋体" w:eastAsia="宋体"/>
                <w:sz w:val="16"/>
              </w:rPr>
              <w:t>镇纪委监委办公室）单位，日常案件处理工作经费，根据相关要求改善工作环境，更换办公设备等。人员考核率达到100%，案件办结率95%。保障县纪委监委、各乡（镇）纪委监委办公室查处贪污贿赂、失职渎职以及预防职务犯罪等工作。</w:t>
            </w:r>
            <w:r>
              <w:rPr>
                <w:rFonts w:ascii="宋体" w:hAnsi="宋体" w:eastAsia="宋体"/>
                <w:sz w:val="16"/>
              </w:rPr>
              <w:br w:type="textWrapping"/>
            </w:r>
          </w:p>
        </w:tc>
      </w:tr>
      <w:tr w14:paraId="53A66E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E5D8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572F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6FAB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F381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493A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8949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EE4E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5D69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7E35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32E9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96FE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4135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1F080">
            <w:pPr>
              <w:jc w:val="center"/>
            </w:pPr>
            <w:r>
              <w:rPr>
                <w:rFonts w:ascii="宋体" w:hAnsi="宋体" w:eastAsia="宋体"/>
                <w:sz w:val="16"/>
              </w:rPr>
              <w:t>偏差原因分析及改进措施</w:t>
            </w:r>
          </w:p>
        </w:tc>
      </w:tr>
      <w:tr w14:paraId="366B60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443EE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37F23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E4D0A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7D51F">
            <w:pPr>
              <w:jc w:val="center"/>
            </w:pPr>
            <w:r>
              <w:rPr>
                <w:rFonts w:ascii="宋体" w:hAnsi="宋体" w:eastAsia="宋体"/>
                <w:sz w:val="16"/>
              </w:rPr>
              <w:t>保障人数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60380">
            <w:pPr>
              <w:jc w:val="center"/>
            </w:pPr>
            <w:r>
              <w:rPr>
                <w:rFonts w:ascii="宋体" w:hAnsi="宋体" w:eastAsia="宋体"/>
                <w:sz w:val="16"/>
              </w:rPr>
              <w:t>=112人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428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BFA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D138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CFB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F88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3863F">
            <w:pPr>
              <w:jc w:val="center"/>
            </w:pPr>
            <w:r>
              <w:rPr>
                <w:rFonts w:ascii="宋体" w:hAnsi="宋体" w:eastAsia="宋体"/>
                <w:sz w:val="16"/>
              </w:rPr>
              <w:t>=112人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D413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4604D">
            <w:pPr>
              <w:jc w:val="center"/>
            </w:pPr>
          </w:p>
        </w:tc>
      </w:tr>
      <w:tr w14:paraId="117CF5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A42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420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3E6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E1984">
            <w:pPr>
              <w:jc w:val="center"/>
            </w:pPr>
            <w:r>
              <w:rPr>
                <w:rFonts w:ascii="宋体" w:hAnsi="宋体" w:eastAsia="宋体"/>
                <w:sz w:val="16"/>
              </w:rPr>
              <w:t>保障案件处理经费涉及单位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41FD8">
            <w:pPr>
              <w:jc w:val="center"/>
            </w:pPr>
            <w:r>
              <w:rPr>
                <w:rFonts w:ascii="宋体" w:hAnsi="宋体" w:eastAsia="宋体"/>
                <w:sz w:val="16"/>
              </w:rPr>
              <w:t>=16个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914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3BE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D16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0A4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061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DF58C">
            <w:pPr>
              <w:jc w:val="center"/>
            </w:pPr>
            <w:r>
              <w:rPr>
                <w:rFonts w:ascii="宋体" w:hAnsi="宋体" w:eastAsia="宋体"/>
                <w:sz w:val="16"/>
              </w:rPr>
              <w:t>=16个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ADBF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4415B">
            <w:pPr>
              <w:jc w:val="center"/>
            </w:pPr>
          </w:p>
        </w:tc>
      </w:tr>
      <w:tr w14:paraId="35FA1F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B50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342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40F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A6782">
            <w:pPr>
              <w:jc w:val="center"/>
            </w:pPr>
            <w:r>
              <w:rPr>
                <w:rFonts w:ascii="宋体" w:hAnsi="宋体" w:eastAsia="宋体"/>
                <w:sz w:val="16"/>
              </w:rPr>
              <w:t>保障公用车辆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D5A98">
            <w:pPr>
              <w:jc w:val="center"/>
            </w:pPr>
            <w:r>
              <w:rPr>
                <w:rFonts w:ascii="宋体" w:hAnsi="宋体" w:eastAsia="宋体"/>
                <w:sz w:val="16"/>
              </w:rPr>
              <w:t>=15辆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1E0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58B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685B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D30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C83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79A0F">
            <w:pPr>
              <w:jc w:val="center"/>
            </w:pPr>
            <w:r>
              <w:rPr>
                <w:rFonts w:ascii="宋体" w:hAnsi="宋体" w:eastAsia="宋体"/>
                <w:sz w:val="16"/>
              </w:rPr>
              <w:t>=15辆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6BA9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BF197">
            <w:pPr>
              <w:jc w:val="center"/>
            </w:pPr>
          </w:p>
        </w:tc>
      </w:tr>
      <w:tr w14:paraId="00AB69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34C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567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F9E6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683A">
            <w:pPr>
              <w:jc w:val="center"/>
            </w:pPr>
            <w:r>
              <w:rPr>
                <w:rFonts w:ascii="宋体" w:hAnsi="宋体" w:eastAsia="宋体"/>
                <w:sz w:val="16"/>
              </w:rPr>
              <w:t>资金执行合规率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951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7EA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D4B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0EFF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C2C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26D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E5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66F6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774F3">
            <w:pPr>
              <w:jc w:val="center"/>
            </w:pPr>
          </w:p>
        </w:tc>
      </w:tr>
      <w:tr w14:paraId="0BAF92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7D9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5D6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121B9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70C5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05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4B9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677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605A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02E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9C8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6C4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FF00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21136">
            <w:pPr>
              <w:jc w:val="center"/>
            </w:pPr>
          </w:p>
        </w:tc>
      </w:tr>
      <w:tr w14:paraId="69FC74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E2C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5E1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D35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1579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F2858">
            <w:pPr>
              <w:jc w:val="center"/>
            </w:pPr>
            <w:r>
              <w:rPr>
                <w:rFonts w:ascii="宋体" w:hAnsi="宋体" w:eastAsia="宋体"/>
                <w:sz w:val="16"/>
              </w:rPr>
              <w:t>=2024年12月16日前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EC7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D76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B0D8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311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26E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1978F">
            <w:pPr>
              <w:jc w:val="center"/>
            </w:pPr>
            <w:r>
              <w:rPr>
                <w:rFonts w:ascii="宋体" w:hAnsi="宋体" w:eastAsia="宋体"/>
                <w:sz w:val="16"/>
              </w:rPr>
              <w:t>=2024年9月12日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A26A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CE917">
            <w:pPr>
              <w:jc w:val="center"/>
            </w:pPr>
          </w:p>
        </w:tc>
      </w:tr>
      <w:tr w14:paraId="298FA5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69F6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185E7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65069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49D91">
            <w:pPr>
              <w:jc w:val="center"/>
            </w:pPr>
            <w:r>
              <w:rPr>
                <w:rFonts w:ascii="宋体" w:hAnsi="宋体" w:eastAsia="宋体"/>
                <w:sz w:val="16"/>
              </w:rPr>
              <w:t>保障日常运转经费控制数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A4884">
            <w:pPr>
              <w:jc w:val="center"/>
            </w:pPr>
            <w:r>
              <w:rPr>
                <w:rFonts w:ascii="宋体" w:hAnsi="宋体" w:eastAsia="宋体"/>
                <w:sz w:val="16"/>
              </w:rPr>
              <w:t>&lt;=149.08万元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96B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E18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8E5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D5F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A596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F9C76">
            <w:pPr>
              <w:jc w:val="center"/>
            </w:pPr>
            <w:r>
              <w:rPr>
                <w:rFonts w:ascii="宋体" w:hAnsi="宋体" w:eastAsia="宋体"/>
                <w:sz w:val="16"/>
              </w:rPr>
              <w:t>=149.08万元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789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FADA5">
            <w:pPr>
              <w:jc w:val="center"/>
            </w:pPr>
          </w:p>
        </w:tc>
      </w:tr>
      <w:tr w14:paraId="1E4BD8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CBF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F09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6CF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06A64">
            <w:pPr>
              <w:jc w:val="center"/>
            </w:pPr>
            <w:r>
              <w:rPr>
                <w:rFonts w:ascii="宋体" w:hAnsi="宋体" w:eastAsia="宋体"/>
                <w:sz w:val="16"/>
              </w:rPr>
              <w:t>保障日常设备更换经费控制数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96AA1">
            <w:pPr>
              <w:jc w:val="center"/>
            </w:pPr>
            <w:r>
              <w:rPr>
                <w:rFonts w:ascii="宋体" w:hAnsi="宋体" w:eastAsia="宋体"/>
                <w:sz w:val="16"/>
              </w:rPr>
              <w:t>&lt;=14.94万元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304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869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D7D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522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143A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28E49">
            <w:pPr>
              <w:jc w:val="center"/>
            </w:pPr>
            <w:r>
              <w:rPr>
                <w:rFonts w:ascii="宋体" w:hAnsi="宋体" w:eastAsia="宋体"/>
                <w:sz w:val="16"/>
              </w:rPr>
              <w:t>=14.94万元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0EE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85E34">
            <w:pPr>
              <w:jc w:val="center"/>
            </w:pPr>
          </w:p>
        </w:tc>
      </w:tr>
      <w:tr w14:paraId="68A7CC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439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0646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FEFA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47213">
            <w:pPr>
              <w:jc w:val="center"/>
            </w:pPr>
            <w:r>
              <w:rPr>
                <w:rFonts w:ascii="宋体" w:hAnsi="宋体" w:eastAsia="宋体"/>
                <w:sz w:val="16"/>
              </w:rPr>
              <w:t>提高业务能力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356B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1DA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7DB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A0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DF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C1B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54DB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5D7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4C679">
            <w:pPr>
              <w:jc w:val="center"/>
            </w:pPr>
          </w:p>
        </w:tc>
      </w:tr>
      <w:tr w14:paraId="09ECB3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8AF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0A2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1CD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3D090">
            <w:pPr>
              <w:jc w:val="center"/>
            </w:pPr>
            <w:r>
              <w:rPr>
                <w:rFonts w:ascii="宋体" w:hAnsi="宋体" w:eastAsia="宋体"/>
                <w:sz w:val="16"/>
              </w:rPr>
              <w:t>提升干部工作积极性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61CF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E33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6CF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D79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4AC0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B25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A83F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E3D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C80DC">
            <w:pPr>
              <w:jc w:val="center"/>
            </w:pPr>
          </w:p>
        </w:tc>
      </w:tr>
      <w:tr w14:paraId="268387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FB6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9D4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EBC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0EDF4">
            <w:pPr>
              <w:jc w:val="center"/>
            </w:pPr>
            <w:r>
              <w:rPr>
                <w:rFonts w:ascii="宋体" w:hAnsi="宋体" w:eastAsia="宋体"/>
                <w:sz w:val="16"/>
              </w:rPr>
              <w:t>纪委监委工作人员满意度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4544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B1E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C28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457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A8C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551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8CEE6">
            <w:pPr>
              <w:jc w:val="center"/>
            </w:pPr>
            <w:r>
              <w:rPr>
                <w:rFonts w:ascii="宋体" w:hAnsi="宋体" w:eastAsia="宋体"/>
                <w:sz w:val="16"/>
              </w:rPr>
              <w:t>=98.82%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513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69C4A">
            <w:pPr>
              <w:jc w:val="center"/>
            </w:pPr>
            <w:r>
              <w:rPr>
                <w:rFonts w:ascii="宋体" w:hAnsi="宋体" w:eastAsia="宋体"/>
                <w:sz w:val="16"/>
              </w:rPr>
              <w:t>纪委监委工作人员满意度100%，故存在4%偏差。</w:t>
            </w:r>
          </w:p>
        </w:tc>
      </w:tr>
      <w:tr w14:paraId="6D0FBBA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EF0B4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FC12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AE705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AB77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96C989"/>
        </w:tc>
      </w:tr>
    </w:tbl>
    <w:p w14:paraId="0736AEA8">
      <w:r>
        <w:br w:type="page"/>
      </w:r>
    </w:p>
    <w:p w14:paraId="4C44A45C">
      <w:pPr>
        <w:spacing w:line="640" w:lineRule="exact"/>
        <w:ind w:firstLine="640"/>
        <w:jc w:val="both"/>
        <w:outlineLvl w:val="2"/>
      </w:pPr>
      <w:r>
        <w:rPr>
          <w:rFonts w:ascii="黑体" w:hAnsi="黑体" w:eastAsia="黑体"/>
          <w:sz w:val="32"/>
        </w:rPr>
        <w:t>十二、其他需说明的事项</w:t>
      </w:r>
    </w:p>
    <w:p w14:paraId="227F741D">
      <w:pPr>
        <w:spacing w:line="580" w:lineRule="exact"/>
        <w:ind w:firstLine="640"/>
        <w:jc w:val="both"/>
      </w:pPr>
      <w:r>
        <w:rPr>
          <w:rFonts w:ascii="仿宋_GB2312" w:hAnsi="仿宋_GB2312" w:eastAsia="仿宋_GB2312"/>
          <w:b w:val="0"/>
          <w:sz w:val="32"/>
        </w:rPr>
        <w:t>本单位无其他需说明的事项。</w:t>
      </w:r>
    </w:p>
    <w:p w14:paraId="4274FE9C">
      <w:r>
        <w:br w:type="page"/>
      </w:r>
    </w:p>
    <w:p w14:paraId="40432C3D">
      <w:pPr>
        <w:spacing w:line="240" w:lineRule="auto"/>
        <w:jc w:val="center"/>
        <w:outlineLvl w:val="1"/>
      </w:pPr>
      <w:r>
        <w:rPr>
          <w:rFonts w:ascii="黑体" w:hAnsi="黑体" w:eastAsia="黑体"/>
          <w:sz w:val="32"/>
        </w:rPr>
        <w:t>第三部分 专业名词解释</w:t>
      </w:r>
    </w:p>
    <w:p w14:paraId="1239062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B8F6B8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289436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E7F86E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54CB40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762179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2EBB10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F6611E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FAE7FD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4DC932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09053B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4875A2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BA9A34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E99974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6B11B94">
      <w:r>
        <w:br w:type="page"/>
      </w:r>
    </w:p>
    <w:p w14:paraId="506D372B">
      <w:pPr>
        <w:spacing w:line="240" w:lineRule="auto"/>
        <w:jc w:val="center"/>
        <w:outlineLvl w:val="1"/>
      </w:pPr>
      <w:r>
        <w:rPr>
          <w:rFonts w:ascii="黑体" w:hAnsi="黑体" w:eastAsia="黑体"/>
          <w:sz w:val="32"/>
        </w:rPr>
        <w:t>第四部分 部门决算报表（见附表）</w:t>
      </w:r>
    </w:p>
    <w:p w14:paraId="6475CDA3">
      <w:pPr>
        <w:spacing w:line="240" w:lineRule="auto"/>
        <w:ind w:firstLine="640"/>
        <w:jc w:val="both"/>
      </w:pPr>
      <w:r>
        <w:rPr>
          <w:rFonts w:ascii="仿宋_GB2312" w:hAnsi="仿宋_GB2312" w:eastAsia="仿宋_GB2312"/>
          <w:b w:val="0"/>
          <w:sz w:val="32"/>
        </w:rPr>
        <w:t>一、《收入支出决算总表》</w:t>
      </w:r>
    </w:p>
    <w:p w14:paraId="60E7E3E6">
      <w:pPr>
        <w:spacing w:line="240" w:lineRule="auto"/>
        <w:ind w:firstLine="640"/>
        <w:jc w:val="both"/>
      </w:pPr>
      <w:r>
        <w:rPr>
          <w:rFonts w:ascii="仿宋_GB2312" w:hAnsi="仿宋_GB2312" w:eastAsia="仿宋_GB2312"/>
          <w:b w:val="0"/>
          <w:sz w:val="32"/>
        </w:rPr>
        <w:t>二、《收入决算表》</w:t>
      </w:r>
    </w:p>
    <w:p w14:paraId="21C65670">
      <w:pPr>
        <w:spacing w:line="240" w:lineRule="auto"/>
        <w:ind w:firstLine="640"/>
        <w:jc w:val="both"/>
      </w:pPr>
      <w:r>
        <w:rPr>
          <w:rFonts w:ascii="仿宋_GB2312" w:hAnsi="仿宋_GB2312" w:eastAsia="仿宋_GB2312"/>
          <w:b w:val="0"/>
          <w:sz w:val="32"/>
        </w:rPr>
        <w:t>三、《支出决算表》</w:t>
      </w:r>
    </w:p>
    <w:p w14:paraId="72552506">
      <w:pPr>
        <w:spacing w:line="240" w:lineRule="auto"/>
        <w:ind w:firstLine="640"/>
        <w:jc w:val="both"/>
      </w:pPr>
      <w:r>
        <w:rPr>
          <w:rFonts w:ascii="仿宋_GB2312" w:hAnsi="仿宋_GB2312" w:eastAsia="仿宋_GB2312"/>
          <w:b w:val="0"/>
          <w:sz w:val="32"/>
        </w:rPr>
        <w:t>四、《财政拨款收入支出决算总表》</w:t>
      </w:r>
    </w:p>
    <w:p w14:paraId="1B7D0C37">
      <w:pPr>
        <w:spacing w:line="240" w:lineRule="auto"/>
        <w:ind w:firstLine="640"/>
        <w:jc w:val="both"/>
      </w:pPr>
      <w:r>
        <w:rPr>
          <w:rFonts w:ascii="仿宋_GB2312" w:hAnsi="仿宋_GB2312" w:eastAsia="仿宋_GB2312"/>
          <w:b w:val="0"/>
          <w:sz w:val="32"/>
        </w:rPr>
        <w:t>五、《一般公共预算财政拨款支出决算表》</w:t>
      </w:r>
    </w:p>
    <w:p w14:paraId="18C5FDA7">
      <w:pPr>
        <w:spacing w:line="240" w:lineRule="auto"/>
        <w:ind w:firstLine="640"/>
        <w:jc w:val="both"/>
      </w:pPr>
      <w:r>
        <w:rPr>
          <w:rFonts w:ascii="仿宋_GB2312" w:hAnsi="仿宋_GB2312" w:eastAsia="仿宋_GB2312"/>
          <w:b w:val="0"/>
          <w:sz w:val="32"/>
        </w:rPr>
        <w:t>六、《一般公共预算财政拨款基本支出决算表》</w:t>
      </w:r>
    </w:p>
    <w:p w14:paraId="3D6DD657">
      <w:pPr>
        <w:spacing w:line="240" w:lineRule="auto"/>
        <w:ind w:firstLine="640"/>
        <w:jc w:val="both"/>
      </w:pPr>
      <w:r>
        <w:rPr>
          <w:rFonts w:ascii="仿宋_GB2312" w:hAnsi="仿宋_GB2312" w:eastAsia="仿宋_GB2312"/>
          <w:b w:val="0"/>
          <w:sz w:val="32"/>
        </w:rPr>
        <w:t>七、《政府性基金预算财政拨款收入支出决算表》</w:t>
      </w:r>
    </w:p>
    <w:p w14:paraId="327B181F">
      <w:pPr>
        <w:spacing w:line="240" w:lineRule="auto"/>
        <w:ind w:firstLine="640"/>
        <w:jc w:val="both"/>
      </w:pPr>
      <w:r>
        <w:rPr>
          <w:rFonts w:ascii="仿宋_GB2312" w:hAnsi="仿宋_GB2312" w:eastAsia="仿宋_GB2312"/>
          <w:b w:val="0"/>
          <w:sz w:val="32"/>
        </w:rPr>
        <w:t>八、《国有资本经营预算财政拨款收入支出决算表》</w:t>
      </w:r>
    </w:p>
    <w:p w14:paraId="76CB48A3">
      <w:pPr>
        <w:spacing w:line="240" w:lineRule="auto"/>
        <w:ind w:firstLine="640"/>
        <w:jc w:val="both"/>
      </w:pPr>
      <w:r>
        <w:rPr>
          <w:rFonts w:ascii="仿宋_GB2312" w:hAnsi="仿宋_GB2312" w:eastAsia="仿宋_GB2312"/>
          <w:b w:val="0"/>
          <w:sz w:val="32"/>
        </w:rPr>
        <w:t>九、《财政拨款“三公”经费支出决算表》</w:t>
      </w:r>
    </w:p>
    <w:p w14:paraId="3B151A54">
      <w:pPr>
        <w:spacing w:line="240" w:lineRule="auto"/>
        <w:ind w:firstLine="640"/>
        <w:jc w:val="both"/>
      </w:pPr>
    </w:p>
    <w:p w14:paraId="5CF54024">
      <w:pPr>
        <w:spacing w:line="240" w:lineRule="auto"/>
        <w:ind w:firstLine="640"/>
        <w:jc w:val="both"/>
      </w:pPr>
    </w:p>
    <w:p w14:paraId="79118E50">
      <w:pPr>
        <w:spacing w:line="240" w:lineRule="auto"/>
        <w:ind w:firstLine="640"/>
        <w:jc w:val="both"/>
      </w:pPr>
    </w:p>
    <w:p w14:paraId="7031E078">
      <w:pPr>
        <w:spacing w:line="240" w:lineRule="auto"/>
        <w:ind w:firstLine="640"/>
        <w:jc w:val="both"/>
      </w:pPr>
    </w:p>
    <w:p w14:paraId="64FC2D7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A1130B2"/>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BD71D3D"/>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5774</Words>
  <Characters>6674</Characters>
  <Lines>0</Lines>
  <Paragraphs>0</Paragraphs>
  <TotalTime>10</TotalTime>
  <ScaleCrop>false</ScaleCrop>
  <LinksUpToDate>false</LinksUpToDate>
  <CharactersWithSpaces>6682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2025-09-26T05:09:18Z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