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政协疏勒县委员会2024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EF9C7B">
      <w:r>
        <w:br w:type="page"/>
      </w:r>
    </w:p>
    <w:p w14:paraId="1329D8C6">
      <w:pPr>
        <w:spacing w:line="640" w:lineRule="exact"/>
        <w:jc w:val="center"/>
        <w:outlineLvl w:val="1"/>
      </w:pPr>
      <w:r>
        <w:rPr>
          <w:rFonts w:ascii="黑体" w:hAnsi="黑体" w:eastAsia="黑体"/>
          <w:sz w:val="32"/>
        </w:rPr>
        <w:t>第一部分 单位概况</w:t>
      </w:r>
    </w:p>
    <w:p w14:paraId="2AAD1CCE">
      <w:pPr>
        <w:spacing w:line="640" w:lineRule="exact"/>
        <w:ind w:firstLine="640"/>
        <w:jc w:val="both"/>
        <w:outlineLvl w:val="2"/>
      </w:pPr>
      <w:r>
        <w:rPr>
          <w:rFonts w:ascii="黑体" w:hAnsi="黑体" w:eastAsia="黑体"/>
          <w:sz w:val="32"/>
        </w:rPr>
        <w:t>一、主要职能</w:t>
      </w:r>
    </w:p>
    <w:p w14:paraId="2AC3E873">
      <w:pPr>
        <w:spacing w:line="580" w:lineRule="exact"/>
        <w:ind w:firstLine="640"/>
        <w:jc w:val="both"/>
      </w:pPr>
      <w:r>
        <w:rPr>
          <w:rFonts w:ascii="仿宋_GB2312" w:hAnsi="仿宋_GB2312" w:eastAsia="仿宋_GB2312"/>
          <w:sz w:val="32"/>
        </w:rPr>
        <w:t>中国人民政治协商会议全国委员会和地方委员会的主要职能是政治协商和民主监督。围绕县委各个时期的中心工作和群众关注的重大问题，开展调查研究，做好反映社情民意的工作，为各族各界政协委员服务，负责委员会和党组召开的</w:t>
      </w:r>
      <w:r>
        <w:rPr>
          <w:rFonts w:hint="eastAsia" w:ascii="仿宋_GB2312" w:hAnsi="仿宋_GB2312" w:eastAsia="仿宋_GB2312"/>
          <w:sz w:val="32"/>
          <w:lang w:eastAsia="zh-CN"/>
        </w:rPr>
        <w:t>各类</w:t>
      </w:r>
      <w:r>
        <w:rPr>
          <w:rFonts w:ascii="仿宋_GB2312" w:hAnsi="仿宋_GB2312" w:eastAsia="仿宋_GB2312"/>
          <w:sz w:val="32"/>
        </w:rPr>
        <w:t>会议的组织、筹备、文件起草及决定事项的落实工作。组织委员学习领会党在各个时期的路线、方针、政策和上级部门的重要指标，学习政协业务，提高委员参政议政水平。做好提案承办工作，进一步密切党群、干群关系；做好文史资料收集、整理、出版工作，为全民爱国主义教育、传统教育提供学习资料和教育资料。</w:t>
      </w:r>
    </w:p>
    <w:p w14:paraId="6D8CD6F8">
      <w:pPr>
        <w:spacing w:line="640" w:lineRule="exact"/>
        <w:ind w:firstLine="640"/>
        <w:jc w:val="both"/>
        <w:outlineLvl w:val="2"/>
      </w:pPr>
      <w:r>
        <w:rPr>
          <w:rFonts w:ascii="黑体" w:hAnsi="黑体" w:eastAsia="黑体"/>
          <w:sz w:val="32"/>
        </w:rPr>
        <w:t>二、机构设置及人员情况</w:t>
      </w:r>
    </w:p>
    <w:p w14:paraId="09FA8717">
      <w:pPr>
        <w:spacing w:line="580" w:lineRule="exact"/>
        <w:ind w:firstLine="640"/>
        <w:jc w:val="both"/>
      </w:pPr>
      <w:r>
        <w:rPr>
          <w:rFonts w:ascii="仿宋_GB2312" w:hAnsi="仿宋_GB2312" w:eastAsia="仿宋_GB2312"/>
          <w:sz w:val="32"/>
        </w:rPr>
        <w:t>政协疏勒县委员会2024年度，实有人数43人，其中：在职人员18人，增加2人；离休人员0人，增加0人；退休人员25人,增加1人。</w:t>
      </w:r>
    </w:p>
    <w:p w14:paraId="0594F966">
      <w:pPr>
        <w:spacing w:line="580" w:lineRule="exact"/>
        <w:ind w:firstLine="640"/>
        <w:jc w:val="both"/>
      </w:pPr>
      <w:r>
        <w:rPr>
          <w:rFonts w:ascii="仿宋_GB2312" w:hAnsi="仿宋_GB2312" w:eastAsia="仿宋_GB2312"/>
          <w:sz w:val="32"/>
        </w:rPr>
        <w:t>政协疏勒县委员会无下属预算单位，下设6个科室，分别是：政协办公室、委员工作联络室、提案委员会、宣传学习和文史资料委</w:t>
      </w:r>
      <w:r>
        <w:rPr>
          <w:rFonts w:hint="eastAsia" w:ascii="仿宋_GB2312" w:hAnsi="仿宋_GB2312" w:eastAsia="仿宋_GB2312"/>
          <w:sz w:val="32"/>
          <w:lang w:eastAsia="zh-CN"/>
        </w:rPr>
        <w:t>员会</w:t>
      </w:r>
      <w:r>
        <w:rPr>
          <w:rFonts w:ascii="仿宋_GB2312" w:hAnsi="仿宋_GB2312" w:eastAsia="仿宋_GB2312"/>
          <w:sz w:val="32"/>
        </w:rPr>
        <w:t>、教文卫委员会、民族法制委员会。</w:t>
      </w:r>
    </w:p>
    <w:p w14:paraId="221A1859">
      <w:r>
        <w:br w:type="page"/>
      </w:r>
    </w:p>
    <w:p w14:paraId="06818EBB">
      <w:pPr>
        <w:spacing w:line="240" w:lineRule="auto"/>
        <w:jc w:val="center"/>
        <w:outlineLvl w:val="1"/>
      </w:pPr>
      <w:r>
        <w:rPr>
          <w:rFonts w:ascii="黑体" w:hAnsi="黑体" w:eastAsia="黑体"/>
          <w:sz w:val="32"/>
        </w:rPr>
        <w:t>第二部分 部门决算情况说明</w:t>
      </w:r>
    </w:p>
    <w:p w14:paraId="65F9BFF7">
      <w:pPr>
        <w:spacing w:line="640" w:lineRule="exact"/>
        <w:ind w:firstLine="640"/>
        <w:jc w:val="both"/>
        <w:outlineLvl w:val="2"/>
      </w:pPr>
      <w:r>
        <w:rPr>
          <w:rFonts w:ascii="黑体" w:hAnsi="黑体" w:eastAsia="黑体"/>
          <w:sz w:val="32"/>
        </w:rPr>
        <w:t>一、收入支出决算总体情况说明</w:t>
      </w:r>
    </w:p>
    <w:p w14:paraId="7BCA38AC">
      <w:pPr>
        <w:spacing w:line="580" w:lineRule="exact"/>
        <w:ind w:firstLine="640"/>
        <w:jc w:val="both"/>
      </w:pPr>
      <w:r>
        <w:rPr>
          <w:rFonts w:ascii="仿宋_GB2312" w:hAnsi="仿宋_GB2312" w:eastAsia="仿宋_GB2312"/>
          <w:b/>
          <w:sz w:val="32"/>
        </w:rPr>
        <w:t>2024年度收入总计501.38万元，</w:t>
      </w:r>
      <w:r>
        <w:rPr>
          <w:rFonts w:ascii="仿宋_GB2312" w:hAnsi="仿宋_GB2312" w:eastAsia="仿宋_GB2312"/>
          <w:b w:val="0"/>
          <w:sz w:val="32"/>
        </w:rPr>
        <w:t>其中：本年收入合计501.38万元，使用非财政拨款结余（含专用结余）0.00万元，年初结转和结余0.00万元。</w:t>
      </w:r>
    </w:p>
    <w:p w14:paraId="35350499">
      <w:pPr>
        <w:spacing w:line="580" w:lineRule="exact"/>
        <w:ind w:firstLine="640"/>
        <w:jc w:val="both"/>
      </w:pPr>
      <w:r>
        <w:rPr>
          <w:rFonts w:ascii="仿宋_GB2312" w:hAnsi="仿宋_GB2312" w:eastAsia="仿宋_GB2312"/>
          <w:b/>
          <w:sz w:val="32"/>
        </w:rPr>
        <w:t>2024年度支出总计501.38万元，</w:t>
      </w:r>
      <w:r>
        <w:rPr>
          <w:rFonts w:ascii="仿宋_GB2312" w:hAnsi="仿宋_GB2312" w:eastAsia="仿宋_GB2312"/>
          <w:b w:val="0"/>
          <w:sz w:val="32"/>
        </w:rPr>
        <w:t>其中：本年支出合计501.38万元，结余分配0.00万元，年末结转和结余0.00万元。</w:t>
      </w:r>
    </w:p>
    <w:p w14:paraId="435E1D1E">
      <w:pPr>
        <w:spacing w:line="580" w:lineRule="exact"/>
        <w:ind w:firstLine="640"/>
        <w:jc w:val="both"/>
      </w:pPr>
      <w:r>
        <w:rPr>
          <w:rFonts w:ascii="仿宋_GB2312" w:hAnsi="仿宋_GB2312" w:eastAsia="仿宋_GB2312"/>
          <w:b w:val="0"/>
          <w:sz w:val="32"/>
        </w:rPr>
        <w:t>收入支出总体与上年相比，减少26.98万元，下降5.11%，主要原因是：上年人员死亡，发放抚恤金，本年无死亡人员，导致抚恤金较上年减少。</w:t>
      </w:r>
    </w:p>
    <w:p w14:paraId="1B6A058A">
      <w:pPr>
        <w:spacing w:line="640" w:lineRule="exact"/>
        <w:ind w:firstLine="640"/>
        <w:jc w:val="both"/>
        <w:outlineLvl w:val="2"/>
      </w:pPr>
      <w:r>
        <w:rPr>
          <w:rFonts w:ascii="黑体" w:hAnsi="黑体" w:eastAsia="黑体"/>
          <w:sz w:val="32"/>
        </w:rPr>
        <w:t>二、收入决算情况说明</w:t>
      </w:r>
    </w:p>
    <w:p w14:paraId="1AE966E2">
      <w:pPr>
        <w:spacing w:line="580" w:lineRule="exact"/>
        <w:ind w:firstLine="640"/>
        <w:jc w:val="both"/>
      </w:pPr>
      <w:r>
        <w:rPr>
          <w:rFonts w:ascii="仿宋_GB2312" w:hAnsi="仿宋_GB2312" w:eastAsia="仿宋_GB2312"/>
          <w:b/>
          <w:sz w:val="32"/>
        </w:rPr>
        <w:t>本年收入501.38万元，</w:t>
      </w:r>
      <w:r>
        <w:rPr>
          <w:rFonts w:ascii="仿宋_GB2312" w:hAnsi="仿宋_GB2312" w:eastAsia="仿宋_GB2312"/>
          <w:b w:val="0"/>
          <w:sz w:val="32"/>
        </w:rPr>
        <w:t>其中：财政拨款收入501.38万元，占100.00%；上级补助收入0.00万元，占0.00%；事业收入0.00万元，占0.00%；经营收入0.00万元，占0.00%；附属单位上缴收入0.00万元，占0.00%；其他收入0.00万元，占0.00%。</w:t>
      </w:r>
    </w:p>
    <w:p w14:paraId="5309A19E">
      <w:pPr>
        <w:spacing w:line="640" w:lineRule="exact"/>
        <w:ind w:firstLine="640"/>
        <w:jc w:val="both"/>
        <w:outlineLvl w:val="2"/>
      </w:pPr>
      <w:r>
        <w:rPr>
          <w:rFonts w:ascii="黑体" w:hAnsi="黑体" w:eastAsia="黑体"/>
          <w:sz w:val="32"/>
        </w:rPr>
        <w:t>三、支出决算情况说明</w:t>
      </w:r>
    </w:p>
    <w:p w14:paraId="65C80211">
      <w:pPr>
        <w:spacing w:line="580" w:lineRule="exact"/>
        <w:ind w:firstLine="640"/>
        <w:jc w:val="both"/>
      </w:pPr>
      <w:r>
        <w:rPr>
          <w:rFonts w:ascii="仿宋_GB2312" w:hAnsi="仿宋_GB2312" w:eastAsia="仿宋_GB2312"/>
          <w:b/>
          <w:sz w:val="32"/>
        </w:rPr>
        <w:t>本年支出501.38万元，</w:t>
      </w:r>
      <w:r>
        <w:rPr>
          <w:rFonts w:ascii="仿宋_GB2312" w:hAnsi="仿宋_GB2312" w:eastAsia="仿宋_GB2312"/>
          <w:b w:val="0"/>
          <w:sz w:val="32"/>
        </w:rPr>
        <w:t>其中：基本支出486.38万元，占97.01%；项目支出15.00万元，占2.99%；上缴上级支出0.00万元，占0.00%；经营支出0.00万元，占0.00%；对附属单位补助支出0.00万元，占0.00%。</w:t>
      </w:r>
    </w:p>
    <w:p w14:paraId="4048AD7D">
      <w:pPr>
        <w:spacing w:line="640" w:lineRule="exact"/>
        <w:ind w:firstLine="640"/>
        <w:jc w:val="both"/>
        <w:outlineLvl w:val="2"/>
      </w:pPr>
      <w:r>
        <w:rPr>
          <w:rFonts w:ascii="黑体" w:hAnsi="黑体" w:eastAsia="黑体"/>
          <w:sz w:val="32"/>
        </w:rPr>
        <w:t>四、财政拨款收入支出决算总体情况说明</w:t>
      </w:r>
    </w:p>
    <w:p w14:paraId="767323EE">
      <w:pPr>
        <w:spacing w:line="580" w:lineRule="exact"/>
        <w:ind w:firstLine="640"/>
        <w:jc w:val="both"/>
      </w:pPr>
      <w:r>
        <w:rPr>
          <w:rFonts w:ascii="仿宋_GB2312" w:hAnsi="仿宋_GB2312" w:eastAsia="仿宋_GB2312"/>
          <w:b/>
          <w:sz w:val="32"/>
        </w:rPr>
        <w:t>2024年度财政拨款收入总计501.38万元，</w:t>
      </w:r>
      <w:r>
        <w:rPr>
          <w:rFonts w:ascii="仿宋_GB2312" w:hAnsi="仿宋_GB2312" w:eastAsia="仿宋_GB2312"/>
          <w:b w:val="0"/>
          <w:sz w:val="32"/>
        </w:rPr>
        <w:t>其中：年初财政拨款结转和结余0.00万元，本年财政拨款收入501.38万元。</w:t>
      </w:r>
      <w:r>
        <w:rPr>
          <w:rFonts w:ascii="仿宋_GB2312" w:hAnsi="仿宋_GB2312" w:eastAsia="仿宋_GB2312"/>
          <w:b/>
          <w:sz w:val="32"/>
        </w:rPr>
        <w:t>财政拨款支出总计501.38万元，</w:t>
      </w:r>
      <w:r>
        <w:rPr>
          <w:rFonts w:ascii="仿宋_GB2312" w:hAnsi="仿宋_GB2312" w:eastAsia="仿宋_GB2312"/>
          <w:b w:val="0"/>
          <w:sz w:val="32"/>
        </w:rPr>
        <w:t>其中：年末财政拨款结转和结余0.00万元，本年财政拨款支出501.38万元。</w:t>
      </w:r>
    </w:p>
    <w:p w14:paraId="0234E1F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减少26.98万元，下降5.11%，主要原因是：上年人员死亡，发放抚恤金，本年无死亡人员，导致抚恤金较上年减少。</w:t>
      </w:r>
      <w:r>
        <w:rPr>
          <w:rFonts w:ascii="仿宋_GB2312" w:hAnsi="仿宋_GB2312" w:eastAsia="仿宋_GB2312"/>
          <w:b/>
          <w:sz w:val="32"/>
        </w:rPr>
        <w:t>与年初预算相比，</w:t>
      </w:r>
      <w:r>
        <w:rPr>
          <w:rFonts w:ascii="仿宋_GB2312" w:hAnsi="仿宋_GB2312" w:eastAsia="仿宋_GB2312"/>
          <w:b w:val="0"/>
          <w:sz w:val="32"/>
        </w:rPr>
        <w:t>年初预算数432.87万元，决算数501.38万元，预决算差异率15.83%，主要原因是：本年在职人员增加，年中追加人员工资、社保、公积金基数调增部分资金，导致预决算存在差异。</w:t>
      </w:r>
    </w:p>
    <w:p w14:paraId="1C69B43F">
      <w:pPr>
        <w:spacing w:line="640" w:lineRule="exact"/>
        <w:ind w:firstLine="640"/>
        <w:jc w:val="both"/>
        <w:outlineLvl w:val="2"/>
      </w:pPr>
      <w:r>
        <w:rPr>
          <w:rFonts w:ascii="黑体" w:hAnsi="黑体" w:eastAsia="黑体"/>
          <w:sz w:val="32"/>
        </w:rPr>
        <w:t>五、一般公共预算财政拨款支出决算情况说明</w:t>
      </w:r>
    </w:p>
    <w:p w14:paraId="199F9611">
      <w:pPr>
        <w:spacing w:line="640" w:lineRule="exact"/>
        <w:ind w:firstLine="640"/>
        <w:jc w:val="both"/>
        <w:outlineLvl w:val="3"/>
      </w:pPr>
      <w:r>
        <w:rPr>
          <w:rFonts w:ascii="楷体_GB2312" w:hAnsi="楷体_GB2312" w:eastAsia="楷体_GB2312"/>
          <w:b/>
          <w:sz w:val="32"/>
        </w:rPr>
        <w:t>（一）一般公共预算财政拨款支出决算总体情况</w:t>
      </w:r>
    </w:p>
    <w:p w14:paraId="09AA5C70">
      <w:pPr>
        <w:spacing w:line="580" w:lineRule="exact"/>
        <w:ind w:firstLine="640"/>
        <w:jc w:val="both"/>
      </w:pPr>
      <w:r>
        <w:rPr>
          <w:rFonts w:ascii="仿宋_GB2312" w:hAnsi="仿宋_GB2312" w:eastAsia="仿宋_GB2312"/>
          <w:b/>
          <w:sz w:val="32"/>
        </w:rPr>
        <w:t>2024年度一般公共预算财政拨款支出501.38万元，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减少26.98万元，下降5.11%，主要原因是：上年人员死亡，发放抚恤金，本年无死亡人员，导致抚恤金较上年减少。</w:t>
      </w:r>
      <w:r>
        <w:rPr>
          <w:rFonts w:ascii="仿宋_GB2312" w:hAnsi="仿宋_GB2312" w:eastAsia="仿宋_GB2312"/>
          <w:b/>
          <w:sz w:val="32"/>
        </w:rPr>
        <w:t>与年初预算相比,</w:t>
      </w:r>
      <w:r>
        <w:rPr>
          <w:rFonts w:ascii="仿宋_GB2312" w:hAnsi="仿宋_GB2312" w:eastAsia="仿宋_GB2312"/>
          <w:b w:val="0"/>
          <w:sz w:val="32"/>
        </w:rPr>
        <w:t>年初预算数432.87万元，决算数501.38万元，预决算差异率15.83%，主要原因是：本年在职人员增加，年中追加人员工资、社保、公积金基数调增部分资金，导致预决算存在差异。</w:t>
      </w:r>
    </w:p>
    <w:p w14:paraId="70929EE8">
      <w:pPr>
        <w:spacing w:line="640" w:lineRule="exact"/>
        <w:ind w:firstLine="640"/>
        <w:jc w:val="both"/>
        <w:outlineLvl w:val="3"/>
      </w:pPr>
      <w:r>
        <w:rPr>
          <w:rFonts w:ascii="楷体_GB2312" w:hAnsi="楷体_GB2312" w:eastAsia="楷体_GB2312"/>
          <w:b/>
          <w:sz w:val="32"/>
        </w:rPr>
        <w:t>（二）一般公共预算财政拨款支出决算结构情况</w:t>
      </w:r>
    </w:p>
    <w:p w14:paraId="20BDE3A5">
      <w:pPr>
        <w:spacing w:line="580" w:lineRule="exact"/>
        <w:ind w:firstLine="640"/>
        <w:jc w:val="both"/>
      </w:pPr>
      <w:r>
        <w:rPr>
          <w:rFonts w:ascii="仿宋_GB2312" w:hAnsi="仿宋_GB2312" w:eastAsia="仿宋_GB2312"/>
          <w:b w:val="0"/>
          <w:sz w:val="32"/>
        </w:rPr>
        <w:t>1.一般公共服务支出(类)346.76万元,占69.16%。</w:t>
      </w:r>
    </w:p>
    <w:p w14:paraId="7E17BE87">
      <w:pPr>
        <w:spacing w:line="580" w:lineRule="exact"/>
        <w:ind w:firstLine="640"/>
        <w:jc w:val="both"/>
      </w:pPr>
      <w:r>
        <w:rPr>
          <w:rFonts w:ascii="仿宋_GB2312" w:hAnsi="仿宋_GB2312" w:eastAsia="仿宋_GB2312"/>
          <w:b w:val="0"/>
          <w:sz w:val="32"/>
        </w:rPr>
        <w:t>2.社会保障和就业支出(类)102.87万元,占20.52%。</w:t>
      </w:r>
    </w:p>
    <w:p w14:paraId="00E48C79">
      <w:pPr>
        <w:spacing w:line="580" w:lineRule="exact"/>
        <w:ind w:firstLine="640"/>
        <w:jc w:val="both"/>
      </w:pPr>
      <w:r>
        <w:rPr>
          <w:rFonts w:ascii="仿宋_GB2312" w:hAnsi="仿宋_GB2312" w:eastAsia="仿宋_GB2312"/>
          <w:b w:val="0"/>
          <w:sz w:val="32"/>
        </w:rPr>
        <w:t>3.卫生健康支出(类)21.09万元,占4.21%。</w:t>
      </w:r>
    </w:p>
    <w:p w14:paraId="3AE0C800">
      <w:pPr>
        <w:spacing w:line="580" w:lineRule="exact"/>
        <w:ind w:firstLine="640"/>
        <w:jc w:val="both"/>
      </w:pPr>
      <w:r>
        <w:rPr>
          <w:rFonts w:ascii="仿宋_GB2312" w:hAnsi="仿宋_GB2312" w:eastAsia="仿宋_GB2312"/>
          <w:b w:val="0"/>
          <w:sz w:val="32"/>
        </w:rPr>
        <w:t>4.住房保障支出(类)30.66万元,占6.12%。</w:t>
      </w:r>
    </w:p>
    <w:p w14:paraId="0C1A04F1">
      <w:pPr>
        <w:spacing w:line="640" w:lineRule="exact"/>
        <w:ind w:firstLine="640"/>
        <w:jc w:val="both"/>
        <w:outlineLvl w:val="3"/>
      </w:pPr>
      <w:r>
        <w:rPr>
          <w:rFonts w:ascii="楷体_GB2312" w:hAnsi="楷体_GB2312" w:eastAsia="楷体_GB2312"/>
          <w:b/>
          <w:sz w:val="32"/>
        </w:rPr>
        <w:t>（三）一般公共预算财政拨款支出决算具体情况</w:t>
      </w:r>
    </w:p>
    <w:p w14:paraId="756D57A0">
      <w:pPr>
        <w:spacing w:line="580" w:lineRule="exact"/>
        <w:ind w:firstLine="640"/>
        <w:jc w:val="both"/>
      </w:pPr>
      <w:r>
        <w:rPr>
          <w:rFonts w:ascii="仿宋_GB2312" w:hAnsi="仿宋_GB2312" w:eastAsia="仿宋_GB2312"/>
          <w:b w:val="0"/>
          <w:sz w:val="32"/>
        </w:rPr>
        <w:t>1.一般公共服务支出(类)政协事务(款)行政运行(项):支出决算数为331.76万元，比上年决算减少57.53万元，下降14.78%,主要原因是：上年人员死亡，发放抚恤金，本年无死亡人员，导致抚恤金较上年减少。</w:t>
      </w:r>
    </w:p>
    <w:p w14:paraId="6EA98D5C">
      <w:pPr>
        <w:spacing w:line="580" w:lineRule="exact"/>
        <w:ind w:firstLine="640"/>
        <w:jc w:val="both"/>
      </w:pPr>
      <w:r>
        <w:rPr>
          <w:rFonts w:ascii="仿宋_GB2312" w:hAnsi="仿宋_GB2312" w:eastAsia="仿宋_GB2312"/>
          <w:b w:val="0"/>
          <w:sz w:val="32"/>
        </w:rPr>
        <w:t>2.一般公共服务支出(类)政协事务(款)政协会议(项):支出决算数为10.00万元，比上年决算增加0.98万元，增长10.86%,主要原因是：本年度增加视频会议系统费用。</w:t>
      </w:r>
    </w:p>
    <w:p w14:paraId="58B4E2B6">
      <w:pPr>
        <w:spacing w:line="580" w:lineRule="exact"/>
        <w:ind w:firstLine="640"/>
        <w:jc w:val="both"/>
      </w:pPr>
      <w:r>
        <w:rPr>
          <w:rFonts w:ascii="仿宋_GB2312" w:hAnsi="仿宋_GB2312" w:eastAsia="仿宋_GB2312"/>
          <w:b w:val="0"/>
          <w:sz w:val="32"/>
        </w:rPr>
        <w:t>3.一般公共服务支出(类)政协事务(款)其他政协事务支出(项):支出决算数为5.00万元，比上年决算增加0.00万元，增长0.00%,主要原因是：本年自治区基层政协补助项目与上年一致，无变动。</w:t>
      </w:r>
    </w:p>
    <w:p w14:paraId="5C1991D5">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37.03万元，比上年决算增加3.65万元，增长10.93%,主要原因是：本年度新增退休人员，发放退休人员基础绩效，退休费支出增加。</w:t>
      </w:r>
    </w:p>
    <w:p w14:paraId="6C4F7CED">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39.14万元，比上年决算增加4.88万元，增长14.24%,主要原因是：本年在职人员工资基数调增，养老缴费基数上涨，相应支出增加。</w:t>
      </w:r>
    </w:p>
    <w:p w14:paraId="05D9389B">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26.70万元，比上年决算增加19.56万元，增长273.95%,主要原因是：本年度新增退休人员，职业年金缴费支出较上年增加。</w:t>
      </w:r>
    </w:p>
    <w:p w14:paraId="06A1D518">
      <w:pPr>
        <w:spacing w:line="580" w:lineRule="exact"/>
        <w:ind w:firstLine="640"/>
        <w:jc w:val="both"/>
      </w:pPr>
      <w:r>
        <w:rPr>
          <w:rFonts w:ascii="仿宋_GB2312" w:hAnsi="仿宋_GB2312" w:eastAsia="仿宋_GB2312"/>
          <w:b w:val="0"/>
          <w:sz w:val="32"/>
        </w:rPr>
        <w:t>7.卫生健康支出(类)行政事业单位医疗(款)行政单位医疗(项):支出决算数为17.08万元，比上年决算增加2.40万元，增长16.35%,主要原因是：本年在职人员工资基数调增，医疗缴费基数上涨，相应支出增加。</w:t>
      </w:r>
    </w:p>
    <w:p w14:paraId="6C6988E0">
      <w:pPr>
        <w:spacing w:line="580" w:lineRule="exact"/>
        <w:ind w:firstLine="640"/>
        <w:jc w:val="both"/>
      </w:pPr>
      <w:r>
        <w:rPr>
          <w:rFonts w:ascii="仿宋_GB2312" w:hAnsi="仿宋_GB2312" w:eastAsia="仿宋_GB2312"/>
          <w:b w:val="0"/>
          <w:sz w:val="32"/>
        </w:rPr>
        <w:t>8.卫生健康支出(类)行政事业单位医疗(款)公务员医疗补助(项):支出决算数为4.01万元，比上年决算增加0.39万元，增长10.77%,主要原因是：本年在职人员工资基数调增，医疗缴费基数上涨，相应支出增加。</w:t>
      </w:r>
    </w:p>
    <w:p w14:paraId="4C8B5DA5">
      <w:pPr>
        <w:spacing w:line="580" w:lineRule="exact"/>
        <w:ind w:firstLine="640"/>
        <w:jc w:val="both"/>
      </w:pPr>
      <w:r>
        <w:rPr>
          <w:rFonts w:ascii="仿宋_GB2312" w:hAnsi="仿宋_GB2312" w:eastAsia="仿宋_GB2312"/>
          <w:b w:val="0"/>
          <w:sz w:val="32"/>
        </w:rPr>
        <w:t>9.农林水支出(类)农业农村(款)其他农业农村支出(项):支出决算数为0.00万元，比上年决算减少5.00万元，下降100.00%,主要原因是：本年减少为民办实事项目经费，相应支出减少。</w:t>
      </w:r>
    </w:p>
    <w:p w14:paraId="63839B36">
      <w:pPr>
        <w:spacing w:line="580" w:lineRule="exact"/>
        <w:ind w:firstLine="640"/>
        <w:jc w:val="both"/>
      </w:pPr>
      <w:r>
        <w:rPr>
          <w:rFonts w:ascii="仿宋_GB2312" w:hAnsi="仿宋_GB2312" w:eastAsia="仿宋_GB2312"/>
          <w:b w:val="0"/>
          <w:sz w:val="32"/>
        </w:rPr>
        <w:t>10.住房保障支出(类)住房改革支出(款)住房公积金(项):支出决算数为30.66万元，比上年决算增加3.68万元，增长13.64%,主要原因是：本年在职人员工资基数调增，公积金缴费基数上涨，相应支出增加。</w:t>
      </w:r>
    </w:p>
    <w:p w14:paraId="35B88412">
      <w:pPr>
        <w:spacing w:line="640" w:lineRule="exact"/>
        <w:ind w:firstLine="640"/>
        <w:jc w:val="both"/>
        <w:outlineLvl w:val="2"/>
      </w:pPr>
      <w:r>
        <w:rPr>
          <w:rFonts w:ascii="黑体" w:hAnsi="黑体" w:eastAsia="黑体"/>
          <w:sz w:val="32"/>
        </w:rPr>
        <w:t>六、一般公共预算财政拨款基本支出决算情况说明</w:t>
      </w:r>
    </w:p>
    <w:p w14:paraId="523023A2">
      <w:pPr>
        <w:spacing w:line="580" w:lineRule="exact"/>
        <w:ind w:firstLine="640"/>
        <w:jc w:val="both"/>
      </w:pPr>
      <w:r>
        <w:rPr>
          <w:rFonts w:ascii="仿宋_GB2312" w:hAnsi="仿宋_GB2312" w:eastAsia="仿宋_GB2312"/>
          <w:b w:val="0"/>
          <w:sz w:val="32"/>
        </w:rPr>
        <w:t>2024年度一般公共预算财政拨款基本支出486.38万元，其中：</w:t>
      </w:r>
      <w:r>
        <w:rPr>
          <w:rFonts w:ascii="仿宋_GB2312" w:hAnsi="仿宋_GB2312" w:eastAsia="仿宋_GB2312"/>
          <w:b/>
          <w:sz w:val="32"/>
        </w:rPr>
        <w:t>人员经费476.28万元，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包括：基本工资、津贴补贴、奖金、机关事业单位基本养老保险缴费、职业年金缴费、职工基本医疗保险缴费、公务员医疗补助缴费、其他社会保障缴费、住房公积金、退休费、抚恤金、生活补助。</w:t>
      </w:r>
    </w:p>
    <w:p w14:paraId="095B6B40">
      <w:pPr>
        <w:spacing w:line="580" w:lineRule="exact"/>
        <w:ind w:firstLine="640"/>
        <w:jc w:val="both"/>
      </w:pPr>
      <w:r>
        <w:rPr>
          <w:rFonts w:ascii="仿宋_GB2312" w:hAnsi="仿宋_GB2312" w:eastAsia="仿宋_GB2312"/>
          <w:b/>
          <w:sz w:val="32"/>
        </w:rPr>
        <w:t>公用经费10.10万元，</w:t>
      </w:r>
      <w:r>
        <w:rPr>
          <w:rFonts w:ascii="仿宋_GB2312" w:hAnsi="仿宋_GB2312" w:eastAsia="仿宋_GB2312"/>
          <w:b w:val="0"/>
          <w:sz w:val="32"/>
        </w:rPr>
        <w:t>包括：办公费、邮电费、差旅费、公务用车运行维护费。</w:t>
      </w:r>
    </w:p>
    <w:p w14:paraId="26238E36">
      <w:pPr>
        <w:spacing w:line="640" w:lineRule="exact"/>
        <w:ind w:firstLine="640"/>
        <w:jc w:val="both"/>
        <w:outlineLvl w:val="2"/>
      </w:pPr>
      <w:r>
        <w:rPr>
          <w:rFonts w:ascii="黑体" w:hAnsi="黑体" w:eastAsia="黑体"/>
          <w:sz w:val="32"/>
        </w:rPr>
        <w:t>七、政府性基金预算财政拨款收入支出决算情况说明</w:t>
      </w:r>
    </w:p>
    <w:p w14:paraId="2D9339D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E0BD4EA">
      <w:pPr>
        <w:spacing w:line="640" w:lineRule="exact"/>
        <w:ind w:firstLine="640"/>
        <w:jc w:val="both"/>
        <w:outlineLvl w:val="2"/>
      </w:pPr>
      <w:r>
        <w:rPr>
          <w:rFonts w:ascii="黑体" w:hAnsi="黑体" w:eastAsia="黑体"/>
          <w:sz w:val="32"/>
        </w:rPr>
        <w:t>八、国有资本经营预算财政拨款收入支出决算情况说明</w:t>
      </w:r>
    </w:p>
    <w:p w14:paraId="71CD7D8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028FA44">
      <w:pPr>
        <w:spacing w:line="640" w:lineRule="exact"/>
        <w:ind w:firstLine="640"/>
        <w:jc w:val="both"/>
        <w:outlineLvl w:val="2"/>
      </w:pPr>
      <w:r>
        <w:rPr>
          <w:rFonts w:ascii="黑体" w:hAnsi="黑体" w:eastAsia="黑体"/>
          <w:sz w:val="32"/>
        </w:rPr>
        <w:t>九、财政拨款“三公”经费支出决算情况说明</w:t>
      </w:r>
    </w:p>
    <w:p w14:paraId="07F9F924">
      <w:pPr>
        <w:spacing w:line="580" w:lineRule="exact"/>
        <w:ind w:firstLine="640"/>
        <w:jc w:val="both"/>
      </w:pPr>
      <w:r>
        <w:rPr>
          <w:rFonts w:ascii="仿宋_GB2312" w:hAnsi="仿宋_GB2312" w:eastAsia="仿宋_GB2312"/>
          <w:b/>
          <w:sz w:val="32"/>
        </w:rPr>
        <w:t>2024年度财政拨款“三公”经费支出4.66万元，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4.66万元，占100.00%，比上年增加0.00万元，增长0.00%，主要原因是：本单位公务用车运行维护费与上年一致无变化。公务接待费支出0.00万元，占0.00%，比上年增加0.00万元，增长0.00%，主要原因是：2023年与2024年均未安排公务接待费支出。</w:t>
      </w:r>
    </w:p>
    <w:p w14:paraId="4298261F">
      <w:pPr>
        <w:spacing w:line="580" w:lineRule="exact"/>
        <w:ind w:firstLine="640"/>
        <w:jc w:val="both"/>
      </w:pPr>
      <w:r>
        <w:rPr>
          <w:rFonts w:ascii="仿宋_GB2312" w:hAnsi="仿宋_GB2312" w:eastAsia="仿宋_GB2312"/>
          <w:b/>
          <w:sz w:val="32"/>
        </w:rPr>
        <w:t>具体情况如下：</w:t>
      </w:r>
    </w:p>
    <w:p w14:paraId="00A60D1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8685D6F">
      <w:pPr>
        <w:spacing w:line="580" w:lineRule="exact"/>
        <w:ind w:firstLine="640"/>
        <w:jc w:val="both"/>
      </w:pPr>
      <w:r>
        <w:rPr>
          <w:rFonts w:ascii="仿宋_GB2312" w:hAnsi="仿宋_GB2312" w:eastAsia="仿宋_GB2312"/>
          <w:b w:val="0"/>
          <w:sz w:val="32"/>
        </w:rPr>
        <w:t>公务用车购置及运行维护费4.66万元，其中：公务用车购置费0.00万元，公务用车运行维护费4.66万元。公务用车运行维护费开支内容包括车辆保险费、车辆燃油费，车辆审验费。公务用车购置数0辆，公务用车保有量7辆。国有资产占用情况中固定资产车辆7辆，与公务用车保有量差异原因是：本单位固定资产车辆与公务用车保有量一致无差异。</w:t>
      </w:r>
    </w:p>
    <w:p w14:paraId="064294D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CEF265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4.66万元，决算数4.66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4.66万元，决算数4.66万元，预决算差异率0.00%，主要原因是：严格按照预算执行，预决算无差异。公务接待费全年预算数0.00万元，决算数0.00万元，预决算差异率0.00%，主要原因是：本单位无公务接待费。</w:t>
      </w:r>
    </w:p>
    <w:p w14:paraId="28F33797">
      <w:pPr>
        <w:spacing w:line="640" w:lineRule="exact"/>
        <w:ind w:firstLine="640"/>
        <w:jc w:val="both"/>
        <w:outlineLvl w:val="2"/>
      </w:pPr>
      <w:r>
        <w:rPr>
          <w:rFonts w:ascii="黑体" w:hAnsi="黑体" w:eastAsia="黑体"/>
          <w:sz w:val="32"/>
        </w:rPr>
        <w:t>十、其他重要事项的情况说明</w:t>
      </w:r>
    </w:p>
    <w:p w14:paraId="64511672">
      <w:pPr>
        <w:spacing w:line="640" w:lineRule="exact"/>
        <w:ind w:firstLine="640"/>
        <w:jc w:val="both"/>
        <w:outlineLvl w:val="3"/>
      </w:pPr>
      <w:r>
        <w:rPr>
          <w:rFonts w:ascii="楷体_GB2312" w:hAnsi="楷体_GB2312" w:eastAsia="楷体_GB2312"/>
          <w:b/>
          <w:sz w:val="32"/>
        </w:rPr>
        <w:t>（一）机关运行经费及公用经费支出情况</w:t>
      </w:r>
    </w:p>
    <w:p w14:paraId="09839393">
      <w:pPr>
        <w:spacing w:line="580" w:lineRule="exact"/>
        <w:ind w:firstLine="640"/>
        <w:jc w:val="both"/>
      </w:pPr>
      <w:r>
        <w:rPr>
          <w:rFonts w:ascii="仿宋_GB2312" w:hAnsi="仿宋_GB2312" w:eastAsia="仿宋_GB2312"/>
          <w:b w:val="0"/>
          <w:sz w:val="32"/>
        </w:rPr>
        <w:t>2024年度政协疏勒县委员会（行政单位和参照公务员法管理事业单位）机关运行经费支出10.10万元，比上年减少0.75万元，下降6.91%，主要原因是：严控经费支出，厉行节约，减少经费支出。</w:t>
      </w:r>
    </w:p>
    <w:p w14:paraId="56340886">
      <w:pPr>
        <w:spacing w:line="640" w:lineRule="exact"/>
        <w:ind w:firstLine="640"/>
        <w:jc w:val="both"/>
        <w:outlineLvl w:val="3"/>
      </w:pPr>
      <w:r>
        <w:rPr>
          <w:rFonts w:ascii="楷体_GB2312" w:hAnsi="楷体_GB2312" w:eastAsia="楷体_GB2312"/>
          <w:b/>
          <w:sz w:val="32"/>
        </w:rPr>
        <w:t>（二）政府采购情况</w:t>
      </w:r>
    </w:p>
    <w:p w14:paraId="6C8630AC">
      <w:pPr>
        <w:spacing w:line="580" w:lineRule="exact"/>
        <w:ind w:firstLine="640"/>
        <w:jc w:val="both"/>
      </w:pPr>
      <w:r>
        <w:rPr>
          <w:rFonts w:ascii="仿宋_GB2312" w:hAnsi="仿宋_GB2312" w:eastAsia="仿宋_GB2312"/>
          <w:b w:val="0"/>
          <w:sz w:val="32"/>
        </w:rPr>
        <w:t>2024年度政府采购支出总额6.33万元，其中：政府采购货物支出3.60万元、政府采购工程支出0.00万元、政府采购服务支出2.72万元。</w:t>
      </w:r>
    </w:p>
    <w:p w14:paraId="5A3F9715">
      <w:pPr>
        <w:spacing w:line="580" w:lineRule="exact"/>
        <w:ind w:firstLine="640"/>
        <w:jc w:val="both"/>
      </w:pPr>
      <w:r>
        <w:rPr>
          <w:rFonts w:ascii="仿宋_GB2312" w:hAnsi="仿宋_GB2312" w:eastAsia="仿宋_GB2312"/>
          <w:b w:val="0"/>
          <w:sz w:val="32"/>
        </w:rPr>
        <w:t>授予中小企业合同金额4.78万元，占政府采购支出总额的75.51%，其中：授予小微企业合同金额4.27万元，占政府采购支出总额的67.46%。</w:t>
      </w:r>
    </w:p>
    <w:p w14:paraId="79FA5440">
      <w:pPr>
        <w:spacing w:line="640" w:lineRule="exact"/>
        <w:ind w:firstLine="640"/>
        <w:jc w:val="both"/>
        <w:outlineLvl w:val="3"/>
      </w:pPr>
      <w:r>
        <w:rPr>
          <w:rFonts w:ascii="楷体_GB2312" w:hAnsi="楷体_GB2312" w:eastAsia="楷体_GB2312"/>
          <w:b/>
          <w:sz w:val="32"/>
        </w:rPr>
        <w:t>（三）国有资产占用情况说明</w:t>
      </w:r>
    </w:p>
    <w:p w14:paraId="7F94F9C8">
      <w:pPr>
        <w:spacing w:line="580" w:lineRule="exact"/>
        <w:ind w:firstLine="640"/>
        <w:jc w:val="both"/>
      </w:pPr>
      <w:r>
        <w:rPr>
          <w:rFonts w:ascii="仿宋_GB2312" w:hAnsi="仿宋_GB2312" w:eastAsia="仿宋_GB2312"/>
          <w:b w:val="0"/>
          <w:sz w:val="32"/>
        </w:rPr>
        <w:t>截至2024年12月31日，房屋0.00平方米，价值0.00万元。车辆7辆，价值108.60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0台（套）。</w:t>
      </w:r>
    </w:p>
    <w:p w14:paraId="1F97EBCD">
      <w:pPr>
        <w:spacing w:line="640" w:lineRule="exact"/>
        <w:ind w:firstLine="640"/>
        <w:jc w:val="both"/>
        <w:outlineLvl w:val="2"/>
      </w:pPr>
      <w:r>
        <w:rPr>
          <w:rFonts w:ascii="黑体" w:hAnsi="黑体" w:eastAsia="黑体"/>
          <w:sz w:val="32"/>
        </w:rPr>
        <w:t>十一、预算绩效的情况说明</w:t>
      </w:r>
    </w:p>
    <w:p w14:paraId="1AA6C26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501.38万元，实际执行总额501.38万元；预算绩效评价项目2个，全年预算数15.00万元，全年执行数15.00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在落实项目方面，对绩效工作重要性认识不足，为完成任务而工作，导致落实工作任务效果不够理想。二是制定项目绩效目标不够全面、精准，缺乏立足整体基础上的重点。绩效局限于岗位本身，没有从单位整体出发，无法发现实际工作中更加重点的问题执行绩效管理。下一步改进措施：一是在今后的工作中要加大对政协宣传力度，强化各级干部对政协工作的重视程度，围绕政协的实际，持续深入开展“我为群众办实事”实践活动，在提升服务质量和水平上下功夫，深入基层了解群众心声，把学习成效为工作动力；二是积极完善履职机制，完善委员考评机制、项目登记机制，引领委员三步走，不断创新发展。并积极撰写提案，反映社情民意。围绕人民群众生活中遇到的各种困难和问题，充分发挥政协委员参政议政的作用。加强对项目资金的监管，做到及时申报，及时执行，及时验收等工作。具体附整体支出绩效自评表，项目支出绩效自评表和评价报告。</w:t>
      </w:r>
    </w:p>
    <w:p w14:paraId="51946B2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B88463E">
        <w:tblPrEx>
          <w:tblCellMar>
            <w:top w:w="0" w:type="dxa"/>
            <w:left w:w="108" w:type="dxa"/>
            <w:bottom w:w="0" w:type="dxa"/>
            <w:right w:w="108" w:type="dxa"/>
          </w:tblCellMar>
        </w:tblPrEx>
        <w:tc>
          <w:tcPr>
            <w:tcW w:w="8847" w:type="dxa"/>
            <w:gridSpan w:val="9"/>
            <w:vAlign w:val="center"/>
          </w:tcPr>
          <w:p w14:paraId="0D4407A1">
            <w:pPr>
              <w:jc w:val="center"/>
            </w:pPr>
            <w:r>
              <w:rPr>
                <w:rFonts w:ascii="宋体" w:hAnsi="宋体" w:eastAsia="宋体"/>
                <w:sz w:val="24"/>
              </w:rPr>
              <w:t>单位整体支出绩效自评表</w:t>
            </w:r>
          </w:p>
        </w:tc>
      </w:tr>
      <w:tr w14:paraId="46D3F8FA">
        <w:tblPrEx>
          <w:tblCellMar>
            <w:top w:w="0" w:type="dxa"/>
            <w:left w:w="108" w:type="dxa"/>
            <w:bottom w:w="0" w:type="dxa"/>
            <w:right w:w="108" w:type="dxa"/>
          </w:tblCellMar>
        </w:tblPrEx>
        <w:tc>
          <w:tcPr>
            <w:tcW w:w="8847" w:type="dxa"/>
            <w:gridSpan w:val="9"/>
            <w:vAlign w:val="center"/>
          </w:tcPr>
          <w:p w14:paraId="154D0265">
            <w:pPr>
              <w:jc w:val="center"/>
            </w:pPr>
            <w:r>
              <w:rPr>
                <w:rFonts w:ascii="宋体" w:hAnsi="宋体" w:eastAsia="宋体"/>
                <w:sz w:val="24"/>
              </w:rPr>
              <w:t>（2024年度）</w:t>
            </w:r>
          </w:p>
        </w:tc>
      </w:tr>
      <w:tr w14:paraId="42C4457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F94F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A62B6E0">
            <w:pPr>
              <w:jc w:val="center"/>
            </w:pPr>
            <w:r>
              <w:rPr>
                <w:rFonts w:ascii="宋体" w:hAnsi="宋体" w:eastAsia="宋体"/>
                <w:sz w:val="16"/>
              </w:rPr>
              <w:t>政协疏勒县委员会</w:t>
            </w:r>
          </w:p>
        </w:tc>
      </w:tr>
      <w:tr w14:paraId="576CD4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8644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A296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8ECE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F784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CB6F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8F94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0B4B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01F6F">
            <w:pPr>
              <w:jc w:val="center"/>
            </w:pPr>
            <w:r>
              <w:rPr>
                <w:rFonts w:ascii="宋体" w:hAnsi="宋体" w:eastAsia="宋体"/>
                <w:sz w:val="16"/>
              </w:rPr>
              <w:t>得分</w:t>
            </w:r>
          </w:p>
        </w:tc>
      </w:tr>
      <w:tr w14:paraId="048668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1A1D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02CD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D69D7">
            <w:pPr>
              <w:jc w:val="center"/>
            </w:pPr>
            <w:r>
              <w:rPr>
                <w:rFonts w:ascii="宋体" w:hAnsi="宋体" w:eastAsia="宋体"/>
                <w:sz w:val="16"/>
              </w:rPr>
              <w:t>432.87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4EB5A">
            <w:pPr>
              <w:jc w:val="center"/>
            </w:pPr>
            <w:r>
              <w:rPr>
                <w:rFonts w:ascii="宋体" w:hAnsi="宋体" w:eastAsia="宋体"/>
                <w:sz w:val="16"/>
              </w:rPr>
              <w:t>501.38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71293">
            <w:pPr>
              <w:jc w:val="center"/>
            </w:pPr>
            <w:r>
              <w:rPr>
                <w:rFonts w:ascii="宋体" w:hAnsi="宋体" w:eastAsia="宋体"/>
                <w:sz w:val="16"/>
              </w:rPr>
              <w:t>501.38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1C4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64A2A">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02C67">
            <w:pPr>
              <w:jc w:val="center"/>
            </w:pPr>
            <w:r>
              <w:rPr>
                <w:rFonts w:ascii="宋体" w:hAnsi="宋体" w:eastAsia="宋体"/>
                <w:sz w:val="16"/>
              </w:rPr>
              <w:t>10</w:t>
            </w:r>
          </w:p>
        </w:tc>
      </w:tr>
      <w:tr w14:paraId="3871E1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76A2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3A8A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952CE">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A296E">
            <w:pPr>
              <w:jc w:val="center"/>
            </w:pPr>
            <w:r>
              <w:rPr>
                <w:rFonts w:ascii="宋体" w:hAnsi="宋体" w:eastAsia="宋体"/>
                <w:sz w:val="16"/>
              </w:rPr>
              <w:t>38.53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82D6A">
            <w:pPr>
              <w:jc w:val="center"/>
            </w:pPr>
            <w:r>
              <w:rPr>
                <w:rFonts w:ascii="宋体" w:hAnsi="宋体" w:eastAsia="宋体"/>
                <w:sz w:val="16"/>
              </w:rPr>
              <w:t>38.53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643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7138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8001C">
            <w:pPr>
              <w:jc w:val="center"/>
            </w:pPr>
            <w:r>
              <w:rPr>
                <w:rFonts w:ascii="宋体" w:hAnsi="宋体" w:eastAsia="宋体"/>
                <w:sz w:val="16"/>
              </w:rPr>
              <w:t>—</w:t>
            </w:r>
          </w:p>
        </w:tc>
      </w:tr>
      <w:tr w14:paraId="391161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68E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3850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22B59">
            <w:pPr>
              <w:jc w:val="center"/>
            </w:pPr>
            <w:r>
              <w:rPr>
                <w:rFonts w:ascii="宋体" w:hAnsi="宋体" w:eastAsia="宋体"/>
                <w:sz w:val="16"/>
              </w:rPr>
              <w:t>427.87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66A96">
            <w:pPr>
              <w:jc w:val="center"/>
            </w:pPr>
            <w:r>
              <w:rPr>
                <w:rFonts w:ascii="宋体" w:hAnsi="宋体" w:eastAsia="宋体"/>
                <w:sz w:val="16"/>
              </w:rPr>
              <w:t>462.85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87A00">
            <w:pPr>
              <w:jc w:val="center"/>
            </w:pPr>
            <w:r>
              <w:rPr>
                <w:rFonts w:ascii="宋体" w:hAnsi="宋体" w:eastAsia="宋体"/>
                <w:sz w:val="16"/>
              </w:rPr>
              <w:t>462.85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E3B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6165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4B577">
            <w:pPr>
              <w:jc w:val="center"/>
            </w:pPr>
            <w:r>
              <w:rPr>
                <w:rFonts w:ascii="宋体" w:hAnsi="宋体" w:eastAsia="宋体"/>
                <w:sz w:val="16"/>
              </w:rPr>
              <w:t>—</w:t>
            </w:r>
          </w:p>
        </w:tc>
      </w:tr>
      <w:tr w14:paraId="2EE7C2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4D83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8BA5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A16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02A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65A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3BF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7F5A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5A9E7">
            <w:pPr>
              <w:jc w:val="center"/>
            </w:pPr>
            <w:r>
              <w:rPr>
                <w:rFonts w:ascii="宋体" w:hAnsi="宋体" w:eastAsia="宋体"/>
                <w:sz w:val="16"/>
              </w:rPr>
              <w:t>—</w:t>
            </w:r>
          </w:p>
        </w:tc>
      </w:tr>
      <w:tr w14:paraId="00E68F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AA11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2B3DB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F918E4">
            <w:pPr>
              <w:jc w:val="center"/>
            </w:pPr>
            <w:r>
              <w:rPr>
                <w:rFonts w:ascii="宋体" w:hAnsi="宋体" w:eastAsia="宋体"/>
                <w:sz w:val="16"/>
              </w:rPr>
              <w:t>实际完成情况</w:t>
            </w:r>
          </w:p>
        </w:tc>
      </w:tr>
      <w:tr w14:paraId="172FF3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A2305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DF660E">
            <w:pPr>
              <w:jc w:val="both"/>
            </w:pPr>
            <w:r>
              <w:rPr>
                <w:rFonts w:ascii="宋体" w:hAnsi="宋体" w:eastAsia="宋体"/>
                <w:sz w:val="16"/>
              </w:rPr>
              <w:t>2024年是学习贯彻党的二十大精神开局之年。政协疏勒县委员会党组工作总体要求是:坚持以习近平新时代中国特色社会主义思想为指导，坚决捍卫“两个确立”，增强“四个意识”、坚定“四个自信”、做到“两个维护”，全面学习贯彻党的二十大精神，深入贯彻落实第三次中央新疆工作座谈会精神，贯彻落实习近平总书记视察新疆重要讲话重要指示精神，完整准确贯彻新时代党的治疆方略，贯彻落实自治区党委十届七次全会精神、自治区政协十三届一次全会和地委、县委扩大会议精神，团结带领全县政协组织、政协各参加单位和各族各界政协委员，坚持发扬民主和增进团结相互贯通、建言资政和凝聚共识双向发力，发挥政协专门协商机构作用，围绕中心、服务大局，切实担负起“凝聚起来、落实下去”的政治责任，不断开创新时代政协工作新局面。</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33F4CD">
            <w:pPr>
              <w:jc w:val="both"/>
            </w:pPr>
            <w:r>
              <w:rPr>
                <w:rFonts w:ascii="宋体" w:hAnsi="宋体" w:eastAsia="宋体"/>
                <w:sz w:val="16"/>
              </w:rPr>
              <w:t>2024年疏勒县政协在县委的坚强领导和上级政协的精心指导下，始终坚持以习近平新时代中国特色社会主义思想为指导，进行政协委员</w:t>
            </w:r>
            <w:r>
              <w:rPr>
                <w:rFonts w:hint="eastAsia" w:ascii="宋体" w:hAnsi="宋体"/>
                <w:sz w:val="16"/>
                <w:lang w:eastAsia="zh-CN"/>
              </w:rPr>
              <w:t>宣讲</w:t>
            </w:r>
            <w:r>
              <w:rPr>
                <w:rFonts w:ascii="宋体" w:hAnsi="宋体" w:eastAsia="宋体"/>
                <w:sz w:val="16"/>
              </w:rPr>
              <w:t>650场次，扎实开展党纪</w:t>
            </w:r>
            <w:r>
              <w:rPr>
                <w:rFonts w:hint="eastAsia" w:ascii="宋体" w:hAnsi="宋体"/>
                <w:sz w:val="16"/>
                <w:lang w:eastAsia="zh-CN"/>
              </w:rPr>
              <w:t>主题</w:t>
            </w:r>
            <w:r>
              <w:rPr>
                <w:rFonts w:ascii="宋体" w:hAnsi="宋体" w:eastAsia="宋体"/>
                <w:sz w:val="16"/>
              </w:rPr>
              <w:t>教育，巩固主题教育成果，学习贯彻党的二十大和二十届二中、三中全会精神，深入学习贯彻中央、自治区党委、地委、县委政协工作会议精神，受教育群众49000人次。围绕中心任务，服务工作大局，找准职能定位，破解“两个薄弱”难题，切实履行政治协商、民主监督、参政议政职能，征集提案148件，反映社情民意数146条，并取得了阶段性成效。同时能按时足额发放职工各项补助和收入、经济</w:t>
            </w:r>
            <w:r>
              <w:rPr>
                <w:rFonts w:hint="eastAsia" w:ascii="宋体" w:hAnsi="宋体"/>
                <w:sz w:val="16"/>
                <w:lang w:eastAsia="zh-CN"/>
              </w:rPr>
              <w:t>收入</w:t>
            </w:r>
            <w:r>
              <w:rPr>
                <w:rFonts w:ascii="宋体" w:hAnsi="宋体" w:eastAsia="宋体"/>
                <w:sz w:val="16"/>
              </w:rPr>
              <w:t>稳定增长使干部职工生活得到改善、成效显著。政协会议经费有序拨付，梳理各项规章制度修改完善27项，为2025年各项工作开展奠定基础，各项工作任务落实到位，顺利完成，确保各项会议任务圆满完成。接待县市专题调研数10次，促进了基层政协更好</w:t>
            </w:r>
            <w:r>
              <w:rPr>
                <w:rFonts w:hint="eastAsia" w:ascii="宋体" w:hAnsi="宋体"/>
                <w:sz w:val="16"/>
                <w:lang w:eastAsia="zh-CN"/>
              </w:rPr>
              <w:t>地</w:t>
            </w:r>
            <w:r>
              <w:rPr>
                <w:rFonts w:ascii="宋体" w:hAnsi="宋体" w:eastAsia="宋体"/>
                <w:sz w:val="16"/>
              </w:rPr>
              <w:t>开展工作，有效提升了政协的社会服务能力、</w:t>
            </w:r>
            <w:bookmarkStart w:id="0" w:name="_GoBack"/>
            <w:r>
              <w:rPr>
                <w:rFonts w:hint="eastAsia" w:ascii="宋体" w:hAnsi="宋体"/>
                <w:sz w:val="16"/>
                <w:lang w:eastAsia="zh-CN"/>
              </w:rPr>
              <w:t>促进</w:t>
            </w:r>
            <w:bookmarkEnd w:id="0"/>
            <w:r>
              <w:rPr>
                <w:rFonts w:ascii="宋体" w:hAnsi="宋体" w:eastAsia="宋体"/>
                <w:sz w:val="16"/>
              </w:rPr>
              <w:t>社会发展。</w:t>
            </w:r>
          </w:p>
        </w:tc>
      </w:tr>
      <w:tr w14:paraId="1642829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39FA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5436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AA99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98B9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735A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D001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4080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FAE2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3CCD3">
            <w:pPr>
              <w:jc w:val="center"/>
            </w:pPr>
            <w:r>
              <w:rPr>
                <w:rFonts w:ascii="宋体" w:hAnsi="宋体" w:eastAsia="宋体"/>
                <w:sz w:val="16"/>
              </w:rPr>
              <w:t>得分</w:t>
            </w:r>
          </w:p>
        </w:tc>
      </w:tr>
      <w:tr w14:paraId="04B56C0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F875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C97B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D2E02">
            <w:pPr>
              <w:jc w:val="center"/>
            </w:pPr>
            <w:r>
              <w:rPr>
                <w:rFonts w:ascii="宋体" w:hAnsi="宋体" w:eastAsia="宋体"/>
                <w:sz w:val="16"/>
              </w:rPr>
              <w:t>受教育</w:t>
            </w:r>
            <w:r>
              <w:rPr>
                <w:rFonts w:hint="eastAsia" w:ascii="宋体" w:hAnsi="宋体"/>
                <w:sz w:val="16"/>
                <w:lang w:eastAsia="zh-CN"/>
              </w:rPr>
              <w:t>群众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C48F4">
            <w:pPr>
              <w:jc w:val="center"/>
            </w:pPr>
            <w:r>
              <w:rPr>
                <w:rFonts w:ascii="宋体" w:hAnsi="宋体" w:eastAsia="宋体"/>
                <w:sz w:val="16"/>
              </w:rPr>
              <w:t>&gt;=49000人次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7A30F">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2432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BA487">
            <w:pPr>
              <w:jc w:val="center"/>
            </w:pPr>
            <w:r>
              <w:rPr>
                <w:rFonts w:ascii="宋体" w:hAnsi="宋体" w:eastAsia="宋体"/>
                <w:sz w:val="16"/>
              </w:rPr>
              <w:t>49000人次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EA1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858DE">
            <w:pPr>
              <w:jc w:val="center"/>
            </w:pPr>
            <w:r>
              <w:rPr>
                <w:rFonts w:ascii="宋体" w:hAnsi="宋体" w:eastAsia="宋体"/>
                <w:sz w:val="16"/>
              </w:rPr>
              <w:t>15</w:t>
            </w:r>
          </w:p>
        </w:tc>
      </w:tr>
      <w:tr w14:paraId="00C457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B29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21C0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0A29B">
            <w:pPr>
              <w:jc w:val="center"/>
            </w:pPr>
            <w:r>
              <w:rPr>
                <w:rFonts w:ascii="宋体" w:hAnsi="宋体" w:eastAsia="宋体"/>
                <w:sz w:val="16"/>
              </w:rPr>
              <w:t>征集提案数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201A6">
            <w:pPr>
              <w:jc w:val="center"/>
            </w:pPr>
            <w:r>
              <w:rPr>
                <w:rFonts w:ascii="宋体" w:hAnsi="宋体" w:eastAsia="宋体"/>
                <w:sz w:val="16"/>
              </w:rPr>
              <w:t>&gt;=148件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4CF4B">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9FB4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B123C">
            <w:pPr>
              <w:jc w:val="center"/>
            </w:pPr>
            <w:r>
              <w:rPr>
                <w:rFonts w:ascii="宋体" w:hAnsi="宋体" w:eastAsia="宋体"/>
                <w:sz w:val="16"/>
              </w:rPr>
              <w:t>148件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FD3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A6BE3">
            <w:pPr>
              <w:jc w:val="center"/>
            </w:pPr>
            <w:r>
              <w:rPr>
                <w:rFonts w:ascii="宋体" w:hAnsi="宋体" w:eastAsia="宋体"/>
                <w:sz w:val="16"/>
              </w:rPr>
              <w:t>15</w:t>
            </w:r>
          </w:p>
        </w:tc>
      </w:tr>
      <w:tr w14:paraId="4BF70D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7EB5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C0AE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62C68">
            <w:pPr>
              <w:jc w:val="center"/>
            </w:pPr>
            <w:r>
              <w:rPr>
                <w:rFonts w:ascii="宋体" w:hAnsi="宋体" w:eastAsia="宋体"/>
                <w:sz w:val="16"/>
              </w:rPr>
              <w:t>反映社情民意数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5D344">
            <w:pPr>
              <w:jc w:val="center"/>
            </w:pPr>
            <w:r>
              <w:rPr>
                <w:rFonts w:ascii="宋体" w:hAnsi="宋体" w:eastAsia="宋体"/>
                <w:sz w:val="16"/>
              </w:rPr>
              <w:t>&gt;=146条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2167B">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DC3D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483B6">
            <w:pPr>
              <w:jc w:val="center"/>
            </w:pPr>
            <w:r>
              <w:rPr>
                <w:rFonts w:ascii="宋体" w:hAnsi="宋体" w:eastAsia="宋体"/>
                <w:sz w:val="16"/>
              </w:rPr>
              <w:t>146条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234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604EB">
            <w:pPr>
              <w:jc w:val="center"/>
            </w:pPr>
            <w:r>
              <w:rPr>
                <w:rFonts w:ascii="宋体" w:hAnsi="宋体" w:eastAsia="宋体"/>
                <w:sz w:val="16"/>
              </w:rPr>
              <w:t>15</w:t>
            </w:r>
          </w:p>
        </w:tc>
      </w:tr>
      <w:tr w14:paraId="641C66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98FF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B624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A205B">
            <w:pPr>
              <w:jc w:val="center"/>
            </w:pPr>
            <w:r>
              <w:rPr>
                <w:rFonts w:ascii="宋体" w:hAnsi="宋体" w:eastAsia="宋体"/>
                <w:sz w:val="16"/>
              </w:rPr>
              <w:t>梳理各项规章制度修改完善数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5D34D">
            <w:pPr>
              <w:jc w:val="center"/>
            </w:pPr>
            <w:r>
              <w:rPr>
                <w:rFonts w:ascii="宋体" w:hAnsi="宋体" w:eastAsia="宋体"/>
                <w:sz w:val="16"/>
              </w:rPr>
              <w:t>&gt;=27项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E62BC">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5A31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68D3F">
            <w:pPr>
              <w:jc w:val="center"/>
            </w:pPr>
            <w:r>
              <w:rPr>
                <w:rFonts w:ascii="宋体" w:hAnsi="宋体" w:eastAsia="宋体"/>
                <w:sz w:val="16"/>
              </w:rPr>
              <w:t>27项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51B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BED53">
            <w:pPr>
              <w:jc w:val="center"/>
            </w:pPr>
            <w:r>
              <w:rPr>
                <w:rFonts w:ascii="宋体" w:hAnsi="宋体" w:eastAsia="宋体"/>
                <w:sz w:val="16"/>
              </w:rPr>
              <w:t>15</w:t>
            </w:r>
          </w:p>
        </w:tc>
      </w:tr>
      <w:tr w14:paraId="220B59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A4F7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8F2B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054E5">
            <w:pPr>
              <w:jc w:val="center"/>
            </w:pPr>
            <w:r>
              <w:rPr>
                <w:rFonts w:ascii="宋体" w:hAnsi="宋体" w:eastAsia="宋体"/>
                <w:sz w:val="16"/>
              </w:rPr>
              <w:t>政协委员宣讲场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DF5E2">
            <w:pPr>
              <w:jc w:val="center"/>
            </w:pPr>
            <w:r>
              <w:rPr>
                <w:rFonts w:ascii="宋体" w:hAnsi="宋体" w:eastAsia="宋体"/>
                <w:sz w:val="16"/>
              </w:rPr>
              <w:t>&gt;=650场次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D140C">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6E89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3CD82">
            <w:pPr>
              <w:jc w:val="center"/>
            </w:pPr>
            <w:r>
              <w:rPr>
                <w:rFonts w:ascii="宋体" w:hAnsi="宋体" w:eastAsia="宋体"/>
                <w:sz w:val="16"/>
              </w:rPr>
              <w:t>650场次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BB0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8D69B">
            <w:pPr>
              <w:jc w:val="center"/>
            </w:pPr>
            <w:r>
              <w:rPr>
                <w:rFonts w:ascii="宋体" w:hAnsi="宋体" w:eastAsia="宋体"/>
                <w:sz w:val="16"/>
              </w:rPr>
              <w:t>15</w:t>
            </w:r>
          </w:p>
        </w:tc>
      </w:tr>
      <w:tr w14:paraId="026A24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7805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3E03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BE0AE">
            <w:pPr>
              <w:jc w:val="center"/>
            </w:pPr>
            <w:r>
              <w:rPr>
                <w:rFonts w:ascii="宋体" w:hAnsi="宋体" w:eastAsia="宋体"/>
                <w:sz w:val="16"/>
              </w:rPr>
              <w:t>接待县市专题调研数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9F8DD">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711A9">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2757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885AF">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26A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35505">
            <w:pPr>
              <w:jc w:val="center"/>
            </w:pPr>
            <w:r>
              <w:rPr>
                <w:rFonts w:ascii="宋体" w:hAnsi="宋体" w:eastAsia="宋体"/>
                <w:sz w:val="16"/>
              </w:rPr>
              <w:t>15</w:t>
            </w:r>
          </w:p>
        </w:tc>
      </w:tr>
    </w:tbl>
    <w:p w14:paraId="2482DE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FCE8859">
        <w:tblPrEx>
          <w:tblCellMar>
            <w:top w:w="0" w:type="dxa"/>
            <w:left w:w="108" w:type="dxa"/>
            <w:bottom w:w="0" w:type="dxa"/>
            <w:right w:w="108" w:type="dxa"/>
          </w:tblCellMar>
        </w:tblPrEx>
        <w:tc>
          <w:tcPr>
            <w:tcW w:w="8848" w:type="dxa"/>
            <w:gridSpan w:val="14"/>
            <w:vAlign w:val="center"/>
          </w:tcPr>
          <w:p w14:paraId="071007DD">
            <w:pPr>
              <w:jc w:val="center"/>
            </w:pPr>
            <w:r>
              <w:rPr>
                <w:rFonts w:ascii="宋体" w:hAnsi="宋体" w:eastAsia="宋体"/>
                <w:sz w:val="24"/>
              </w:rPr>
              <w:t>项目支出绩效自评表</w:t>
            </w:r>
          </w:p>
        </w:tc>
      </w:tr>
      <w:tr w14:paraId="41CA4D3B">
        <w:tblPrEx>
          <w:tblCellMar>
            <w:top w:w="0" w:type="dxa"/>
            <w:left w:w="108" w:type="dxa"/>
            <w:bottom w:w="0" w:type="dxa"/>
            <w:right w:w="108" w:type="dxa"/>
          </w:tblCellMar>
        </w:tblPrEx>
        <w:tc>
          <w:tcPr>
            <w:tcW w:w="8848" w:type="dxa"/>
            <w:gridSpan w:val="14"/>
            <w:vAlign w:val="center"/>
          </w:tcPr>
          <w:p w14:paraId="1CC05F89">
            <w:pPr>
              <w:jc w:val="center"/>
            </w:pPr>
            <w:r>
              <w:rPr>
                <w:rFonts w:ascii="宋体" w:hAnsi="宋体" w:eastAsia="宋体"/>
                <w:sz w:val="24"/>
              </w:rPr>
              <w:t>(2024年度)</w:t>
            </w:r>
          </w:p>
        </w:tc>
      </w:tr>
      <w:tr w14:paraId="18A3E1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14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323B09">
            <w:pPr>
              <w:jc w:val="center"/>
            </w:pPr>
            <w:r>
              <w:rPr>
                <w:rFonts w:ascii="宋体" w:hAnsi="宋体" w:eastAsia="宋体"/>
                <w:sz w:val="16"/>
              </w:rPr>
              <w:t>2024年度基层政协补助经费项目</w:t>
            </w:r>
          </w:p>
        </w:tc>
      </w:tr>
      <w:tr w14:paraId="0FDCBA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CB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34E15C">
            <w:pPr>
              <w:jc w:val="center"/>
            </w:pPr>
            <w:r>
              <w:rPr>
                <w:rFonts w:ascii="宋体" w:hAnsi="宋体" w:eastAsia="宋体"/>
                <w:sz w:val="16"/>
              </w:rPr>
              <w:t>政协疏勒县委员会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ED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B7F9F9">
            <w:pPr>
              <w:jc w:val="center"/>
            </w:pPr>
            <w:r>
              <w:rPr>
                <w:rFonts w:ascii="宋体" w:hAnsi="宋体" w:eastAsia="宋体"/>
                <w:sz w:val="16"/>
              </w:rPr>
              <w:t>政协疏勒县委员会</w:t>
            </w:r>
          </w:p>
        </w:tc>
      </w:tr>
      <w:tr w14:paraId="747962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032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41B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22F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FFD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C64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538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4B6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C565E">
            <w:pPr>
              <w:jc w:val="center"/>
            </w:pPr>
            <w:r>
              <w:rPr>
                <w:rFonts w:ascii="宋体" w:hAnsi="宋体" w:eastAsia="宋体"/>
                <w:sz w:val="16"/>
              </w:rPr>
              <w:t>得分</w:t>
            </w:r>
          </w:p>
        </w:tc>
      </w:tr>
      <w:tr w14:paraId="1F38C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2E2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AA3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876D9">
            <w:pPr>
              <w:jc w:val="center"/>
            </w:pPr>
            <w:r>
              <w:rPr>
                <w:rFonts w:ascii="宋体" w:hAnsi="宋体" w:eastAsia="宋体"/>
                <w:sz w:val="16"/>
              </w:rPr>
              <w:t>1.89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D4DC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577C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F70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B370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2F443">
            <w:pPr>
              <w:jc w:val="center"/>
            </w:pPr>
            <w:r>
              <w:rPr>
                <w:rFonts w:ascii="宋体" w:hAnsi="宋体" w:eastAsia="宋体"/>
                <w:sz w:val="16"/>
              </w:rPr>
              <w:t>10.00分</w:t>
            </w:r>
          </w:p>
        </w:tc>
      </w:tr>
      <w:tr w14:paraId="3FCB4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A2C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BE8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16B9E">
            <w:pPr>
              <w:jc w:val="center"/>
            </w:pPr>
            <w:r>
              <w:rPr>
                <w:rFonts w:ascii="宋体" w:hAnsi="宋体" w:eastAsia="宋体"/>
                <w:sz w:val="16"/>
              </w:rPr>
              <w:t>1.89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09F5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D54C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B71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0D6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24D13">
            <w:pPr>
              <w:jc w:val="center"/>
            </w:pPr>
            <w:r>
              <w:rPr>
                <w:rFonts w:ascii="宋体" w:hAnsi="宋体" w:eastAsia="宋体"/>
                <w:sz w:val="16"/>
              </w:rPr>
              <w:t>—</w:t>
            </w:r>
          </w:p>
        </w:tc>
      </w:tr>
      <w:tr w14:paraId="5A053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E6C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9D4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254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BA6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684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A28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563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6DF1">
            <w:pPr>
              <w:jc w:val="center"/>
            </w:pPr>
            <w:r>
              <w:rPr>
                <w:rFonts w:ascii="宋体" w:hAnsi="宋体" w:eastAsia="宋体"/>
                <w:sz w:val="16"/>
              </w:rPr>
              <w:t>—</w:t>
            </w:r>
          </w:p>
        </w:tc>
      </w:tr>
      <w:tr w14:paraId="6AF8B3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2DD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F7F84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179941">
            <w:pPr>
              <w:jc w:val="center"/>
            </w:pPr>
            <w:r>
              <w:rPr>
                <w:rFonts w:ascii="宋体" w:hAnsi="宋体" w:eastAsia="宋体"/>
                <w:sz w:val="16"/>
              </w:rPr>
              <w:t>实际完成情况</w:t>
            </w:r>
          </w:p>
        </w:tc>
      </w:tr>
      <w:tr w14:paraId="3D020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B60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56E39A">
            <w:pPr>
              <w:jc w:val="both"/>
            </w:pPr>
            <w:r>
              <w:rPr>
                <w:rFonts w:ascii="宋体" w:hAnsi="宋体" w:eastAsia="宋体"/>
                <w:sz w:val="16"/>
              </w:rPr>
              <w:t>项目计划投资5万元，保障人员数18人，保障车辆数量6辆，通过该项目的实施：一是解决基层政协工作经费不足的困难，保障政协工作的正常运转，促进基层政协更好</w:t>
            </w:r>
            <w:r>
              <w:rPr>
                <w:rFonts w:hint="eastAsia" w:ascii="宋体" w:hAnsi="宋体"/>
                <w:sz w:val="16"/>
                <w:lang w:eastAsia="zh-CN"/>
              </w:rPr>
              <w:t>地</w:t>
            </w:r>
            <w:r>
              <w:rPr>
                <w:rFonts w:ascii="宋体" w:hAnsi="宋体" w:eastAsia="宋体"/>
                <w:sz w:val="16"/>
              </w:rPr>
              <w:t>开展工作；二是加强政协委员的培训，提高政协委员的履职能力；三是组织政协委员视察全县重点项目的落实情况。四是围绕全县各时期的中心工作和群众关注的重大问题，有针</w:t>
            </w:r>
            <w:r>
              <w:rPr>
                <w:rFonts w:hint="eastAsia" w:ascii="宋体" w:hAnsi="宋体"/>
                <w:sz w:val="16"/>
                <w:lang w:eastAsia="zh-CN"/>
              </w:rPr>
              <w:t>对性</w:t>
            </w:r>
            <w:r>
              <w:rPr>
                <w:rFonts w:ascii="宋体" w:hAnsi="宋体" w:eastAsia="宋体"/>
                <w:sz w:val="16"/>
              </w:rPr>
              <w:t>地展开专项调研，做好反映社情民意的工作，为县委提供决策依据。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3F3C80">
            <w:pPr>
              <w:jc w:val="both"/>
            </w:pPr>
            <w:r>
              <w:rPr>
                <w:rFonts w:hint="eastAsia" w:ascii="宋体" w:hAnsi="宋体"/>
                <w:sz w:val="16"/>
                <w:lang w:eastAsia="zh-CN"/>
              </w:rPr>
              <w:t>截至</w:t>
            </w:r>
            <w:r>
              <w:rPr>
                <w:rFonts w:ascii="宋体" w:hAnsi="宋体" w:eastAsia="宋体"/>
                <w:sz w:val="16"/>
              </w:rPr>
              <w:t>2024年12月31日，项目实际投资总额为5万元，保障人员数18人，保障车辆数量6辆，购置办公用品1批，项目实施后：一是解决基层政协工作经费不足的困难，保障政协工作的正常运转，促进基层政协</w:t>
            </w:r>
            <w:r>
              <w:rPr>
                <w:rFonts w:hint="eastAsia" w:ascii="宋体" w:hAnsi="宋体"/>
                <w:sz w:val="16"/>
                <w:lang w:eastAsia="zh-CN"/>
              </w:rPr>
              <w:t>更好地</w:t>
            </w:r>
            <w:r>
              <w:rPr>
                <w:rFonts w:ascii="宋体" w:hAnsi="宋体" w:eastAsia="宋体"/>
                <w:sz w:val="16"/>
              </w:rPr>
              <w:t>开展工作；二是加强政协委员的培训，提高政协委员的履职能力；三是组织政协委员视察全县重点项目的落实情况。四是围绕全县各时期的中心工作和群众关注的重大问题，有针</w:t>
            </w:r>
            <w:r>
              <w:rPr>
                <w:rFonts w:hint="eastAsia" w:ascii="宋体" w:hAnsi="宋体"/>
                <w:sz w:val="16"/>
                <w:lang w:eastAsia="zh-CN"/>
              </w:rPr>
              <w:t>对性</w:t>
            </w:r>
            <w:r>
              <w:rPr>
                <w:rFonts w:ascii="宋体" w:hAnsi="宋体" w:eastAsia="宋体"/>
                <w:sz w:val="16"/>
              </w:rPr>
              <w:t>地展开专项调研，做好反映社情民意的工作，为县委提供决策依据。</w:t>
            </w:r>
          </w:p>
        </w:tc>
      </w:tr>
      <w:tr w14:paraId="75B261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3D56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9B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79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C5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1D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961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B0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3FB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5C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8A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3A6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DAB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A9EF7">
            <w:pPr>
              <w:jc w:val="center"/>
            </w:pPr>
            <w:r>
              <w:rPr>
                <w:rFonts w:ascii="宋体" w:hAnsi="宋体" w:eastAsia="宋体"/>
                <w:sz w:val="16"/>
              </w:rPr>
              <w:t>偏差原因分析及改进措施</w:t>
            </w:r>
          </w:p>
        </w:tc>
      </w:tr>
      <w:tr w14:paraId="4017CB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3BE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62AA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573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C146">
            <w:pPr>
              <w:jc w:val="center"/>
            </w:pPr>
            <w:r>
              <w:rPr>
                <w:rFonts w:ascii="宋体" w:hAnsi="宋体" w:eastAsia="宋体"/>
                <w:sz w:val="16"/>
              </w:rPr>
              <w:t>保障人员数量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08F1">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27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CFA2">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24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CE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C4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19D0">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DE4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46234">
            <w:pPr>
              <w:jc w:val="center"/>
            </w:pPr>
          </w:p>
        </w:tc>
      </w:tr>
      <w:tr w14:paraId="4C69D6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B20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C05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AC3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3ACD">
            <w:pPr>
              <w:jc w:val="center"/>
            </w:pPr>
            <w:r>
              <w:rPr>
                <w:rFonts w:ascii="宋体" w:hAnsi="宋体" w:eastAsia="宋体"/>
                <w:sz w:val="16"/>
              </w:rPr>
              <w:t>保障车辆数量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C0F56">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8A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4B06">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D0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1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AA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C7CD">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38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0DFC7">
            <w:pPr>
              <w:jc w:val="center"/>
            </w:pPr>
          </w:p>
        </w:tc>
      </w:tr>
      <w:tr w14:paraId="6B4E4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EEA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84B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EF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6130">
            <w:pPr>
              <w:jc w:val="center"/>
            </w:pPr>
            <w:r>
              <w:rPr>
                <w:rFonts w:ascii="宋体" w:hAnsi="宋体" w:eastAsia="宋体"/>
                <w:sz w:val="16"/>
              </w:rPr>
              <w:t>补助资金使用合规率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FB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6B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33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5A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D11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43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4B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76C0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DC642">
            <w:pPr>
              <w:jc w:val="center"/>
            </w:pPr>
          </w:p>
        </w:tc>
      </w:tr>
      <w:tr w14:paraId="76D55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64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133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AF7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741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C6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12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15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29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B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A7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3F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43B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77D47">
            <w:pPr>
              <w:jc w:val="center"/>
            </w:pPr>
          </w:p>
        </w:tc>
      </w:tr>
      <w:tr w14:paraId="7ED07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E2A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89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0F0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1F5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16F6">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7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93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14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59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4F2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5A1D">
            <w:pPr>
              <w:jc w:val="center"/>
            </w:pPr>
            <w:r>
              <w:rPr>
                <w:rFonts w:ascii="宋体" w:hAnsi="宋体" w:eastAsia="宋体"/>
                <w:sz w:val="16"/>
              </w:rPr>
              <w:t>=2024年11月25日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DD0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C1157">
            <w:pPr>
              <w:jc w:val="center"/>
            </w:pPr>
          </w:p>
        </w:tc>
      </w:tr>
      <w:tr w14:paraId="07E822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D12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F053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669E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8BA5">
            <w:pPr>
              <w:jc w:val="center"/>
            </w:pPr>
            <w:r>
              <w:rPr>
                <w:rFonts w:ascii="宋体" w:hAnsi="宋体" w:eastAsia="宋体"/>
                <w:sz w:val="16"/>
              </w:rPr>
              <w:t>其他交通费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56DE">
            <w:pPr>
              <w:jc w:val="center"/>
            </w:pPr>
            <w:r>
              <w:rPr>
                <w:rFonts w:ascii="宋体" w:hAnsi="宋体" w:eastAsia="宋体"/>
                <w:sz w:val="16"/>
              </w:rPr>
              <w:t>=3.26万元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2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A340">
            <w:pPr>
              <w:jc w:val="center"/>
            </w:pPr>
            <w:r>
              <w:rPr>
                <w:rFonts w:ascii="宋体" w:hAnsi="宋体" w:eastAsia="宋体"/>
                <w:sz w:val="16"/>
              </w:rPr>
              <w:t>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1C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6C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D87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C6D9">
            <w:pPr>
              <w:jc w:val="center"/>
            </w:pPr>
            <w:r>
              <w:rPr>
                <w:rFonts w:ascii="宋体" w:hAnsi="宋体" w:eastAsia="宋体"/>
                <w:sz w:val="16"/>
              </w:rPr>
              <w:t>=3.26万元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63A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AF5D6">
            <w:pPr>
              <w:jc w:val="center"/>
            </w:pPr>
          </w:p>
        </w:tc>
      </w:tr>
      <w:tr w14:paraId="1D1B0C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40F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38C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5E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33F5">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59C5">
            <w:pPr>
              <w:jc w:val="center"/>
            </w:pPr>
            <w:r>
              <w:rPr>
                <w:rFonts w:ascii="宋体" w:hAnsi="宋体" w:eastAsia="宋体"/>
                <w:sz w:val="16"/>
              </w:rPr>
              <w: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D4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816E">
            <w:pPr>
              <w:jc w:val="center"/>
            </w:pPr>
            <w:r>
              <w:rPr>
                <w:rFonts w:ascii="宋体" w:hAnsi="宋体" w:eastAsia="宋体"/>
                <w:sz w:val="16"/>
              </w:rPr>
              <w:t>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7C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09F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2DB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8995">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50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9D10D">
            <w:pPr>
              <w:jc w:val="center"/>
            </w:pPr>
          </w:p>
        </w:tc>
      </w:tr>
      <w:tr w14:paraId="729E6A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BF6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2FA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50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95FA">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2A64">
            <w:pPr>
              <w:jc w:val="center"/>
            </w:pPr>
            <w:r>
              <w:rPr>
                <w:rFonts w:ascii="宋体" w:hAnsi="宋体" w:eastAsia="宋体"/>
                <w:sz w:val="16"/>
              </w:rPr>
              <w: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330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99A1">
            <w:pPr>
              <w:jc w:val="center"/>
            </w:pPr>
            <w:r>
              <w:rPr>
                <w:rFonts w:ascii="宋体" w:hAnsi="宋体" w:eastAsia="宋体"/>
                <w:sz w:val="16"/>
              </w:rPr>
              <w:t>0.32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1B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033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A22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8670C">
            <w:pPr>
              <w:jc w:val="center"/>
            </w:pPr>
            <w:r>
              <w:rPr>
                <w:rFonts w:ascii="宋体" w:hAnsi="宋体" w:eastAsia="宋体"/>
                <w:sz w:val="16"/>
              </w:rPr>
              <w: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AA57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AD982">
            <w:pPr>
              <w:jc w:val="center"/>
            </w:pPr>
          </w:p>
        </w:tc>
      </w:tr>
      <w:tr w14:paraId="270C4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171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7CC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49A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B08D">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7045">
            <w:pPr>
              <w:jc w:val="center"/>
            </w:pPr>
            <w:r>
              <w:rPr>
                <w:rFonts w:ascii="宋体" w:hAnsi="宋体" w:eastAsia="宋体"/>
                <w:sz w:val="16"/>
              </w:rPr>
              <w: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4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06F1">
            <w:pPr>
              <w:jc w:val="center"/>
            </w:pPr>
            <w:r>
              <w:rPr>
                <w:rFonts w:ascii="宋体" w:hAnsi="宋体" w:eastAsia="宋体"/>
                <w:sz w:val="16"/>
              </w:rPr>
              <w:t>0.72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7B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93A7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C49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DD67">
            <w:pPr>
              <w:jc w:val="center"/>
            </w:pPr>
            <w:r>
              <w:rPr>
                <w:rFonts w:ascii="宋体" w:hAnsi="宋体" w:eastAsia="宋体"/>
                <w:sz w:val="16"/>
              </w:rPr>
              <w: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342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F701C">
            <w:pPr>
              <w:jc w:val="center"/>
            </w:pPr>
          </w:p>
        </w:tc>
      </w:tr>
      <w:tr w14:paraId="13B1A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612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4258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6B3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2755">
            <w:pPr>
              <w:jc w:val="center"/>
            </w:pPr>
            <w:r>
              <w:rPr>
                <w:rFonts w:ascii="宋体" w:hAnsi="宋体" w:eastAsia="宋体"/>
                <w:sz w:val="16"/>
              </w:rPr>
              <w:t>办公条件及公共服务水平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3C6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A7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BD10">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B2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2D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9B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DB1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E3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2845E">
            <w:pPr>
              <w:jc w:val="center"/>
            </w:pPr>
          </w:p>
        </w:tc>
      </w:tr>
      <w:tr w14:paraId="4ED0C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D12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CA9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723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7E66">
            <w:pPr>
              <w:jc w:val="center"/>
            </w:pPr>
            <w:r>
              <w:rPr>
                <w:rFonts w:ascii="宋体" w:hAnsi="宋体" w:eastAsia="宋体"/>
                <w:sz w:val="16"/>
              </w:rPr>
              <w:t>政协机关工作正常运转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325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BF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2CC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EF9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9D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A8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CD5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12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93FC2">
            <w:pPr>
              <w:jc w:val="center"/>
            </w:pPr>
          </w:p>
        </w:tc>
      </w:tr>
      <w:tr w14:paraId="045D25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BDE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541B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EC9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EE84">
            <w:pPr>
              <w:jc w:val="center"/>
            </w:pPr>
            <w:r>
              <w:rPr>
                <w:rFonts w:ascii="宋体" w:hAnsi="宋体" w:eastAsia="宋体"/>
                <w:sz w:val="16"/>
              </w:rPr>
              <w:t>基层政协满意度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81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0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D4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CC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5E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59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796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C2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FB5AD">
            <w:pPr>
              <w:jc w:val="center"/>
            </w:pPr>
            <w:r>
              <w:rPr>
                <w:rFonts w:ascii="宋体" w:hAnsi="宋体" w:eastAsia="宋体"/>
                <w:sz w:val="16"/>
              </w:rPr>
              <w:t>原因分析：该项目指标基层政协满意度&gt;=95%，因项目实际问卷调查满意度为98%，故指标偏差为3.15%；改进措施：根据项目实际情况，合理设置预期指标值，使完成值与预期值相一致。</w:t>
            </w:r>
          </w:p>
        </w:tc>
      </w:tr>
      <w:tr w14:paraId="784DD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87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E94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DF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8575">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7A0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30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5A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3F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B6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40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A0C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F2A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07EBD">
            <w:pPr>
              <w:jc w:val="center"/>
            </w:pPr>
            <w:r>
              <w:rPr>
                <w:rFonts w:ascii="宋体" w:hAnsi="宋体" w:eastAsia="宋体"/>
                <w:sz w:val="16"/>
              </w:rPr>
              <w:t>原因分析：该项目指标干部职工满意度&gt;=95%，因项目实际问卷调查满意度为98%，故指标偏差为3.15%；改进措施：根据项目实际情况，合理设置预期指标值，使完成值与预期值相一致。</w:t>
            </w:r>
          </w:p>
        </w:tc>
      </w:tr>
      <w:tr w14:paraId="7A68FA6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3BAE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165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B73B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ED1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9F7060"/>
        </w:tc>
      </w:tr>
    </w:tbl>
    <w:p w14:paraId="4A070AA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17192B9">
        <w:tc>
          <w:tcPr>
            <w:tcW w:w="8848" w:type="dxa"/>
            <w:gridSpan w:val="14"/>
            <w:vAlign w:val="center"/>
          </w:tcPr>
          <w:p w14:paraId="3E5DAA0E">
            <w:pPr>
              <w:jc w:val="center"/>
            </w:pPr>
            <w:r>
              <w:rPr>
                <w:rFonts w:ascii="宋体" w:hAnsi="宋体" w:eastAsia="宋体"/>
                <w:sz w:val="24"/>
              </w:rPr>
              <w:t>项目支出绩效自评表</w:t>
            </w:r>
          </w:p>
        </w:tc>
      </w:tr>
      <w:tr w14:paraId="7F746F26">
        <w:tblPrEx>
          <w:tblCellMar>
            <w:top w:w="0" w:type="dxa"/>
            <w:left w:w="108" w:type="dxa"/>
            <w:bottom w:w="0" w:type="dxa"/>
            <w:right w:w="108" w:type="dxa"/>
          </w:tblCellMar>
        </w:tblPrEx>
        <w:tc>
          <w:tcPr>
            <w:tcW w:w="8848" w:type="dxa"/>
            <w:gridSpan w:val="14"/>
            <w:vAlign w:val="center"/>
          </w:tcPr>
          <w:p w14:paraId="6031D7DF">
            <w:pPr>
              <w:jc w:val="center"/>
            </w:pPr>
            <w:r>
              <w:rPr>
                <w:rFonts w:ascii="宋体" w:hAnsi="宋体" w:eastAsia="宋体"/>
                <w:sz w:val="24"/>
              </w:rPr>
              <w:t>(2024年度)</w:t>
            </w:r>
          </w:p>
        </w:tc>
      </w:tr>
      <w:tr w14:paraId="5A59A0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C47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162C2B">
            <w:pPr>
              <w:jc w:val="center"/>
            </w:pPr>
            <w:r>
              <w:rPr>
                <w:rFonts w:ascii="宋体" w:hAnsi="宋体" w:eastAsia="宋体"/>
                <w:sz w:val="16"/>
              </w:rPr>
              <w:t>2024年度政协会议经费项目</w:t>
            </w:r>
          </w:p>
        </w:tc>
      </w:tr>
      <w:tr w14:paraId="58DD8D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A6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BFFC4C">
            <w:pPr>
              <w:jc w:val="center"/>
            </w:pPr>
            <w:r>
              <w:rPr>
                <w:rFonts w:ascii="宋体" w:hAnsi="宋体" w:eastAsia="宋体"/>
                <w:sz w:val="16"/>
              </w:rPr>
              <w:t>政协疏勒县委员会（本级）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8A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4FDAE5">
            <w:pPr>
              <w:jc w:val="center"/>
            </w:pPr>
            <w:r>
              <w:rPr>
                <w:rFonts w:ascii="宋体" w:hAnsi="宋体" w:eastAsia="宋体"/>
                <w:sz w:val="16"/>
              </w:rPr>
              <w:t>政协疏勒县委员会</w:t>
            </w:r>
          </w:p>
        </w:tc>
      </w:tr>
      <w:tr w14:paraId="56203C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3E1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930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D292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7AD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12B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FB2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B6B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22E6">
            <w:pPr>
              <w:jc w:val="center"/>
            </w:pPr>
            <w:r>
              <w:rPr>
                <w:rFonts w:ascii="宋体" w:hAnsi="宋体" w:eastAsia="宋体"/>
                <w:sz w:val="16"/>
              </w:rPr>
              <w:t>得分</w:t>
            </w:r>
          </w:p>
        </w:tc>
      </w:tr>
      <w:tr w14:paraId="00D15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963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1A8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2369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5E14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ED07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165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54BB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4E0B7">
            <w:pPr>
              <w:jc w:val="center"/>
            </w:pPr>
            <w:r>
              <w:rPr>
                <w:rFonts w:ascii="宋体" w:hAnsi="宋体" w:eastAsia="宋体"/>
                <w:sz w:val="16"/>
              </w:rPr>
              <w:t>10.00分</w:t>
            </w:r>
          </w:p>
        </w:tc>
      </w:tr>
      <w:tr w14:paraId="453C3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87E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1FD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8DB0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590A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8562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947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BCB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5CB2">
            <w:pPr>
              <w:jc w:val="center"/>
            </w:pPr>
            <w:r>
              <w:rPr>
                <w:rFonts w:ascii="宋体" w:hAnsi="宋体" w:eastAsia="宋体"/>
                <w:sz w:val="16"/>
              </w:rPr>
              <w:t>—</w:t>
            </w:r>
          </w:p>
        </w:tc>
      </w:tr>
      <w:tr w14:paraId="0B5176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391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83B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03D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116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F0B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359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DFF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0DB0">
            <w:pPr>
              <w:jc w:val="center"/>
            </w:pPr>
            <w:r>
              <w:rPr>
                <w:rFonts w:ascii="宋体" w:hAnsi="宋体" w:eastAsia="宋体"/>
                <w:sz w:val="16"/>
              </w:rPr>
              <w:t>—</w:t>
            </w:r>
          </w:p>
        </w:tc>
      </w:tr>
      <w:tr w14:paraId="58B796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DBA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1979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9E8095">
            <w:pPr>
              <w:jc w:val="center"/>
            </w:pPr>
            <w:r>
              <w:rPr>
                <w:rFonts w:ascii="宋体" w:hAnsi="宋体" w:eastAsia="宋体"/>
                <w:sz w:val="16"/>
              </w:rPr>
              <w:t>实际完成情况</w:t>
            </w:r>
          </w:p>
        </w:tc>
      </w:tr>
      <w:tr w14:paraId="725F67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8CE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86E02">
            <w:pPr>
              <w:jc w:val="both"/>
            </w:pPr>
            <w:r>
              <w:rPr>
                <w:rFonts w:ascii="宋体" w:hAnsi="宋体" w:eastAsia="宋体"/>
                <w:sz w:val="16"/>
              </w:rPr>
              <w:t>项目计划投资10万元，其中：7.17万元用于全委会议召开场次1次，通过召开政协全委会议，参会政协委员认真履行职责，审议并通过各项报告决议，为2024年各项工作开展奠定基础，会议任务圆满完成，同时提高政协委员参政议政的积极性，为全县重点工作提出意见建议；2.83万元用于确保每年的网络服务经费正常支付，根据自治区相关要求，政协疏勒县委员会高度重视，及时召开会议，协调相关部门，派专人负责具体落实。</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8689CC">
            <w:pPr>
              <w:jc w:val="both"/>
            </w:pPr>
            <w:r>
              <w:rPr>
                <w:rFonts w:hint="eastAsia" w:ascii="宋体" w:hAnsi="宋体"/>
                <w:sz w:val="16"/>
                <w:lang w:eastAsia="zh-CN"/>
              </w:rPr>
              <w:t>截至</w:t>
            </w:r>
            <w:r>
              <w:rPr>
                <w:rFonts w:ascii="宋体" w:hAnsi="宋体" w:eastAsia="宋体"/>
                <w:sz w:val="16"/>
              </w:rPr>
              <w:t>2024年12月31日，项目实际投资总额为10万元，其中：政协全委会经费7.17万元，远程视频会议系统网络服务费2.83万元。通过政协全委会议顺利</w:t>
            </w:r>
            <w:r>
              <w:rPr>
                <w:rFonts w:hint="eastAsia" w:ascii="宋体" w:hAnsi="宋体"/>
                <w:sz w:val="16"/>
                <w:lang w:eastAsia="zh-CN"/>
              </w:rPr>
              <w:t>地</w:t>
            </w:r>
            <w:r>
              <w:rPr>
                <w:rFonts w:ascii="宋体" w:hAnsi="宋体" w:eastAsia="宋体"/>
                <w:sz w:val="16"/>
              </w:rPr>
              <w:t>召开，参会政协委员认真履行职责，审议并通过各项报告决议，2024年各项工作开展圆满完成，促使政协委员认真履行职责，会议期间动员广大政协委员积极参与，围绕需要破解的发展难题开展调研、集思广益、建言献策，充分发挥人民政协协调关系、汇聚力量、服务大局的重要作用，激发推进工作的新动力，切实为疏勒社会稳定和经济发展献计出力，会议召开后，有效提高政协委员参政议政的积极性，使政协委员意见建议采纳率提升，参会政协委员满意度99%。</w:t>
            </w:r>
          </w:p>
        </w:tc>
      </w:tr>
      <w:tr w14:paraId="5EA207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F9E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D7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49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CA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DE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5B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9E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1E9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1D8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8B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B90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38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3E357">
            <w:pPr>
              <w:jc w:val="center"/>
            </w:pPr>
            <w:r>
              <w:rPr>
                <w:rFonts w:ascii="宋体" w:hAnsi="宋体" w:eastAsia="宋体"/>
                <w:sz w:val="16"/>
              </w:rPr>
              <w:t>偏差原因分析及改进措施</w:t>
            </w:r>
          </w:p>
        </w:tc>
      </w:tr>
      <w:tr w14:paraId="54BB4C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A7F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0538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DA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C298">
            <w:pPr>
              <w:jc w:val="center"/>
            </w:pPr>
            <w:r>
              <w:rPr>
                <w:rFonts w:ascii="宋体" w:hAnsi="宋体" w:eastAsia="宋体"/>
                <w:sz w:val="16"/>
              </w:rPr>
              <w:t>会议召开场次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ABC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96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EE8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2B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F3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91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09E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549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F1DDA">
            <w:pPr>
              <w:jc w:val="center"/>
            </w:pPr>
          </w:p>
        </w:tc>
      </w:tr>
      <w:tr w14:paraId="63047A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95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A50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6F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864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9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6FF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08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AF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F0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DE5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89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11D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CA9C6">
            <w:pPr>
              <w:jc w:val="center"/>
            </w:pPr>
          </w:p>
        </w:tc>
      </w:tr>
      <w:tr w14:paraId="74008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A45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B4C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8EA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1150">
            <w:pPr>
              <w:jc w:val="center"/>
            </w:pPr>
            <w:r>
              <w:rPr>
                <w:rFonts w:ascii="宋体" w:hAnsi="宋体" w:eastAsia="宋体"/>
                <w:sz w:val="16"/>
              </w:rPr>
              <w:t>会议召开及时率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D2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92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51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D8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A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82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BA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ECA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381FD">
            <w:pPr>
              <w:jc w:val="center"/>
            </w:pPr>
          </w:p>
        </w:tc>
      </w:tr>
      <w:tr w14:paraId="3303E9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DFB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DB4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87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577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DF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15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E9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D5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37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37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D3D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141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5D0A0">
            <w:pPr>
              <w:jc w:val="center"/>
            </w:pPr>
          </w:p>
        </w:tc>
      </w:tr>
      <w:tr w14:paraId="29DED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DC8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C7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19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0DE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8B66">
            <w:pPr>
              <w:jc w:val="center"/>
            </w:pPr>
            <w:r>
              <w:rPr>
                <w:rFonts w:ascii="宋体" w:hAnsi="宋体" w:eastAsia="宋体"/>
                <w:sz w:val="16"/>
              </w:rPr>
              <w:t>=2024年12月14日前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4F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21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28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D9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DE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3930">
            <w:pPr>
              <w:jc w:val="center"/>
            </w:pPr>
            <w:r>
              <w:rPr>
                <w:rFonts w:ascii="宋体" w:hAnsi="宋体" w:eastAsia="宋体"/>
                <w:sz w:val="16"/>
              </w:rPr>
              <w:t>2024年11月14日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941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34A60">
            <w:pPr>
              <w:jc w:val="center"/>
            </w:pPr>
          </w:p>
        </w:tc>
      </w:tr>
      <w:tr w14:paraId="1CA4B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50D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7D00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9F8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FE1D">
            <w:pPr>
              <w:jc w:val="center"/>
            </w:pPr>
            <w:r>
              <w:rPr>
                <w:rFonts w:ascii="宋体" w:hAnsi="宋体" w:eastAsia="宋体"/>
                <w:sz w:val="16"/>
              </w:rPr>
              <w:t>远程视频会议系统网络服务费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6534">
            <w:pPr>
              <w:jc w:val="center"/>
            </w:pPr>
            <w:r>
              <w:rPr>
                <w:rFonts w:ascii="宋体" w:hAnsi="宋体" w:eastAsia="宋体"/>
                <w:sz w:val="16"/>
              </w:rPr>
              <w:t>&lt;=2.83万元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D7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6D99">
            <w:pPr>
              <w:jc w:val="center"/>
            </w:pPr>
            <w:r>
              <w:rPr>
                <w:rFonts w:ascii="宋体" w:hAnsi="宋体" w:eastAsia="宋体"/>
                <w:sz w:val="16"/>
              </w:rPr>
              <w:t>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82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3E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A1F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F77F">
            <w:pPr>
              <w:jc w:val="center"/>
            </w:pPr>
            <w:r>
              <w:rPr>
                <w:rFonts w:ascii="宋体" w:hAnsi="宋体" w:eastAsia="宋体"/>
                <w:sz w:val="16"/>
              </w:rPr>
              <w:t>=2.83万元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0C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7BBF7">
            <w:pPr>
              <w:jc w:val="center"/>
            </w:pPr>
          </w:p>
        </w:tc>
      </w:tr>
      <w:tr w14:paraId="39086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5E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3C5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08C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531B">
            <w:pPr>
              <w:jc w:val="center"/>
            </w:pPr>
            <w:r>
              <w:rPr>
                <w:rFonts w:ascii="宋体" w:hAnsi="宋体" w:eastAsia="宋体"/>
                <w:sz w:val="16"/>
              </w:rPr>
              <w:t>政协全委会经费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7D2C">
            <w:pPr>
              <w:jc w:val="center"/>
            </w:pPr>
            <w:r>
              <w:rPr>
                <w:rFonts w:ascii="宋体" w:hAnsi="宋体" w:eastAsia="宋体"/>
                <w:sz w:val="16"/>
              </w:rPr>
              <w:t>&lt;=7.17万元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CA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60E2">
            <w:pPr>
              <w:jc w:val="center"/>
            </w:pPr>
            <w:r>
              <w:rPr>
                <w:rFonts w:ascii="宋体" w:hAnsi="宋体" w:eastAsia="宋体"/>
                <w:sz w:val="16"/>
              </w:rPr>
              <w: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8C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A3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34A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9C15">
            <w:pPr>
              <w:jc w:val="center"/>
            </w:pPr>
            <w:r>
              <w:rPr>
                <w:rFonts w:ascii="宋体" w:hAnsi="宋体" w:eastAsia="宋体"/>
                <w:sz w:val="16"/>
              </w:rPr>
              <w:t>=7.17万元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F2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9EAF8">
            <w:pPr>
              <w:jc w:val="center"/>
            </w:pPr>
          </w:p>
        </w:tc>
      </w:tr>
      <w:tr w14:paraId="06B3F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29B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8929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AFB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242D">
            <w:pPr>
              <w:jc w:val="center"/>
            </w:pPr>
            <w:r>
              <w:rPr>
                <w:rFonts w:ascii="宋体" w:hAnsi="宋体" w:eastAsia="宋体"/>
                <w:sz w:val="16"/>
              </w:rPr>
              <w:t>提高政协委员积极性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F95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75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B86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06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38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8C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F7A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EA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8F4C2">
            <w:pPr>
              <w:jc w:val="center"/>
            </w:pPr>
          </w:p>
        </w:tc>
      </w:tr>
      <w:tr w14:paraId="3A8A7A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4A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03A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71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4B25">
            <w:pPr>
              <w:jc w:val="center"/>
            </w:pPr>
            <w:r>
              <w:rPr>
                <w:rFonts w:ascii="宋体" w:hAnsi="宋体" w:eastAsia="宋体"/>
                <w:sz w:val="16"/>
              </w:rPr>
              <w:t>政协委员意见建议采纳率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1A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A38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6C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05E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B9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C6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46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E2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B50F7">
            <w:pPr>
              <w:jc w:val="center"/>
            </w:pPr>
          </w:p>
        </w:tc>
      </w:tr>
      <w:tr w14:paraId="082F9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04F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3F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E5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42A1">
            <w:pPr>
              <w:jc w:val="center"/>
            </w:pPr>
            <w:r>
              <w:rPr>
                <w:rFonts w:ascii="宋体" w:hAnsi="宋体" w:eastAsia="宋体"/>
                <w:sz w:val="16"/>
              </w:rPr>
              <w:t>参会政协委员满意度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BD3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5A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F3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E4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CF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92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F2A4">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C1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E3831">
            <w:pPr>
              <w:jc w:val="center"/>
            </w:pPr>
            <w:r>
              <w:rPr>
                <w:rFonts w:ascii="宋体" w:hAnsi="宋体" w:eastAsia="宋体"/>
                <w:sz w:val="16"/>
              </w:rPr>
              <w:t>原因分析：该项目指标参会政协委员满意度&gt;=98%，因项目实际问卷调查满意度为99%，故指标偏差为1.02%；改进措施：根据项目实际情况，合理设置预期指标值，使完成值与预期值相一致。</w:t>
            </w:r>
          </w:p>
        </w:tc>
      </w:tr>
      <w:tr w14:paraId="2B58EFE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915F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44A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6342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39B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0ED9D3"/>
        </w:tc>
      </w:tr>
    </w:tbl>
    <w:p w14:paraId="30F927D9">
      <w:r>
        <w:br w:type="page"/>
      </w:r>
    </w:p>
    <w:p w14:paraId="54C72BA3">
      <w:pPr>
        <w:spacing w:line="640" w:lineRule="exact"/>
        <w:ind w:firstLine="640"/>
        <w:jc w:val="both"/>
        <w:outlineLvl w:val="2"/>
      </w:pPr>
      <w:r>
        <w:rPr>
          <w:rFonts w:ascii="黑体" w:hAnsi="黑体" w:eastAsia="黑体"/>
          <w:sz w:val="32"/>
        </w:rPr>
        <w:t>十二、其他需说明的事项</w:t>
      </w:r>
    </w:p>
    <w:p w14:paraId="6DC01FD5">
      <w:pPr>
        <w:spacing w:line="580" w:lineRule="exact"/>
        <w:ind w:firstLine="640"/>
        <w:jc w:val="both"/>
      </w:pPr>
      <w:r>
        <w:rPr>
          <w:rFonts w:ascii="仿宋_GB2312" w:hAnsi="仿宋_GB2312" w:eastAsia="仿宋_GB2312"/>
          <w:b w:val="0"/>
          <w:sz w:val="32"/>
        </w:rPr>
        <w:t>本单位无其他需说明的事项。</w:t>
      </w:r>
    </w:p>
    <w:p w14:paraId="31A027DD">
      <w:r>
        <w:br w:type="page"/>
      </w:r>
    </w:p>
    <w:p w14:paraId="167BDD37">
      <w:pPr>
        <w:spacing w:line="240" w:lineRule="auto"/>
        <w:jc w:val="center"/>
        <w:outlineLvl w:val="1"/>
      </w:pPr>
      <w:r>
        <w:rPr>
          <w:rFonts w:ascii="黑体" w:hAnsi="黑体" w:eastAsia="黑体"/>
          <w:sz w:val="32"/>
        </w:rPr>
        <w:t>第三部分 专业名词解释</w:t>
      </w:r>
    </w:p>
    <w:p w14:paraId="530012C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90BA1F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CC9DF4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B88B2D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41FD24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323FD4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F0F24B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77833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D1E51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35DB39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09DC9C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79A139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4C9DDB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50328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7E3445D">
      <w:r>
        <w:br w:type="page"/>
      </w:r>
    </w:p>
    <w:p w14:paraId="74A7B580">
      <w:pPr>
        <w:spacing w:line="240" w:lineRule="auto"/>
        <w:jc w:val="center"/>
        <w:outlineLvl w:val="1"/>
      </w:pPr>
      <w:r>
        <w:rPr>
          <w:rFonts w:ascii="黑体" w:hAnsi="黑体" w:eastAsia="黑体"/>
          <w:sz w:val="32"/>
        </w:rPr>
        <w:t>第四部分 部门决算报表（见附表）</w:t>
      </w:r>
    </w:p>
    <w:p w14:paraId="182DA05C">
      <w:pPr>
        <w:spacing w:line="240" w:lineRule="auto"/>
        <w:ind w:firstLine="640"/>
        <w:jc w:val="both"/>
      </w:pPr>
      <w:r>
        <w:rPr>
          <w:rFonts w:ascii="仿宋_GB2312" w:hAnsi="仿宋_GB2312" w:eastAsia="仿宋_GB2312"/>
          <w:b w:val="0"/>
          <w:sz w:val="32"/>
        </w:rPr>
        <w:t>一、《收入支出决算总表》</w:t>
      </w:r>
    </w:p>
    <w:p w14:paraId="266E85EF">
      <w:pPr>
        <w:spacing w:line="240" w:lineRule="auto"/>
        <w:ind w:firstLine="640"/>
        <w:jc w:val="both"/>
      </w:pPr>
      <w:r>
        <w:rPr>
          <w:rFonts w:ascii="仿宋_GB2312" w:hAnsi="仿宋_GB2312" w:eastAsia="仿宋_GB2312"/>
          <w:b w:val="0"/>
          <w:sz w:val="32"/>
        </w:rPr>
        <w:t>二、《收入决算表》</w:t>
      </w:r>
    </w:p>
    <w:p w14:paraId="0CE3E63C">
      <w:pPr>
        <w:spacing w:line="240" w:lineRule="auto"/>
        <w:ind w:firstLine="640"/>
        <w:jc w:val="both"/>
      </w:pPr>
      <w:r>
        <w:rPr>
          <w:rFonts w:ascii="仿宋_GB2312" w:hAnsi="仿宋_GB2312" w:eastAsia="仿宋_GB2312"/>
          <w:b w:val="0"/>
          <w:sz w:val="32"/>
        </w:rPr>
        <w:t>三、《支出决算表》</w:t>
      </w:r>
    </w:p>
    <w:p w14:paraId="37DC878D">
      <w:pPr>
        <w:spacing w:line="240" w:lineRule="auto"/>
        <w:ind w:firstLine="640"/>
        <w:jc w:val="both"/>
      </w:pPr>
      <w:r>
        <w:rPr>
          <w:rFonts w:ascii="仿宋_GB2312" w:hAnsi="仿宋_GB2312" w:eastAsia="仿宋_GB2312"/>
          <w:b w:val="0"/>
          <w:sz w:val="32"/>
        </w:rPr>
        <w:t>四、《财政拨款收入支出决算总表》</w:t>
      </w:r>
    </w:p>
    <w:p w14:paraId="46EA85E4">
      <w:pPr>
        <w:spacing w:line="240" w:lineRule="auto"/>
        <w:ind w:firstLine="640"/>
        <w:jc w:val="both"/>
      </w:pPr>
      <w:r>
        <w:rPr>
          <w:rFonts w:ascii="仿宋_GB2312" w:hAnsi="仿宋_GB2312" w:eastAsia="仿宋_GB2312"/>
          <w:b w:val="0"/>
          <w:sz w:val="32"/>
        </w:rPr>
        <w:t>五、《一般公共预算财政拨款支出决算表》</w:t>
      </w:r>
    </w:p>
    <w:p w14:paraId="45A417EB">
      <w:pPr>
        <w:spacing w:line="240" w:lineRule="auto"/>
        <w:ind w:firstLine="640"/>
        <w:jc w:val="both"/>
      </w:pPr>
      <w:r>
        <w:rPr>
          <w:rFonts w:ascii="仿宋_GB2312" w:hAnsi="仿宋_GB2312" w:eastAsia="仿宋_GB2312"/>
          <w:b w:val="0"/>
          <w:sz w:val="32"/>
        </w:rPr>
        <w:t>六、《一般公共预算财政拨款基本支出决算表》</w:t>
      </w:r>
    </w:p>
    <w:p w14:paraId="5E6D04D0">
      <w:pPr>
        <w:spacing w:line="240" w:lineRule="auto"/>
        <w:ind w:firstLine="640"/>
        <w:jc w:val="both"/>
      </w:pPr>
      <w:r>
        <w:rPr>
          <w:rFonts w:ascii="仿宋_GB2312" w:hAnsi="仿宋_GB2312" w:eastAsia="仿宋_GB2312"/>
          <w:b w:val="0"/>
          <w:sz w:val="32"/>
        </w:rPr>
        <w:t>七、《政府性基金预算财政拨款收入支出决算表》</w:t>
      </w:r>
    </w:p>
    <w:p w14:paraId="1CCE74A7">
      <w:pPr>
        <w:spacing w:line="240" w:lineRule="auto"/>
        <w:ind w:firstLine="640"/>
        <w:jc w:val="both"/>
      </w:pPr>
      <w:r>
        <w:rPr>
          <w:rFonts w:ascii="仿宋_GB2312" w:hAnsi="仿宋_GB2312" w:eastAsia="仿宋_GB2312"/>
          <w:b w:val="0"/>
          <w:sz w:val="32"/>
        </w:rPr>
        <w:t>八、《国有资本经营预算财政拨款收入支出决算表》</w:t>
      </w:r>
    </w:p>
    <w:p w14:paraId="748FE970">
      <w:pPr>
        <w:spacing w:line="240" w:lineRule="auto"/>
        <w:ind w:firstLine="640"/>
        <w:jc w:val="both"/>
      </w:pPr>
      <w:r>
        <w:rPr>
          <w:rFonts w:ascii="仿宋_GB2312" w:hAnsi="仿宋_GB2312" w:eastAsia="仿宋_GB2312"/>
          <w:b w:val="0"/>
          <w:sz w:val="32"/>
        </w:rPr>
        <w:t>九、《财政拨款“三公”经费支出决算表》</w:t>
      </w:r>
    </w:p>
    <w:p w14:paraId="354AC86E">
      <w:pPr>
        <w:spacing w:line="240" w:lineRule="auto"/>
        <w:ind w:firstLine="640"/>
        <w:jc w:val="both"/>
      </w:pPr>
    </w:p>
    <w:p w14:paraId="10F1215C">
      <w:pPr>
        <w:spacing w:line="240" w:lineRule="auto"/>
        <w:ind w:firstLine="640"/>
        <w:jc w:val="both"/>
      </w:pPr>
    </w:p>
    <w:p w14:paraId="26831F7B">
      <w:pPr>
        <w:spacing w:line="240" w:lineRule="auto"/>
        <w:ind w:firstLine="640"/>
        <w:jc w:val="both"/>
      </w:pPr>
    </w:p>
    <w:p w14:paraId="2F3DFC88">
      <w:pPr>
        <w:spacing w:line="240" w:lineRule="auto"/>
        <w:ind w:firstLine="640"/>
        <w:jc w:val="both"/>
      </w:pPr>
    </w:p>
    <w:p w14:paraId="60489F0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F23439-51D0-4D9A-9C28-30E41431D9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41D16A3-A00C-4E91-87F2-C0416856C452}"/>
  </w:font>
  <w:font w:name="仿宋_GB2312">
    <w:panose1 w:val="02010609030101010101"/>
    <w:charset w:val="86"/>
    <w:family w:val="modern"/>
    <w:pitch w:val="default"/>
    <w:sig w:usb0="00000001" w:usb1="080E0000" w:usb2="00000000" w:usb3="00000000" w:csb0="00040000" w:csb1="00000000"/>
    <w:embedRegular r:id="rId3" w:fontKey="{6566EB55-900E-42F4-9B6B-DB928FECFA53}"/>
  </w:font>
  <w:font w:name="楷体_GB2312">
    <w:panose1 w:val="02010609030101010101"/>
    <w:charset w:val="86"/>
    <w:family w:val="auto"/>
    <w:pitch w:val="default"/>
    <w:sig w:usb0="00000001" w:usb1="080E0000" w:usb2="00000000" w:usb3="00000000" w:csb0="00040000" w:csb1="00000000"/>
    <w:embedRegular r:id="rId4" w:fontKey="{10736E08-5F26-4D23-B76F-696B4C6FB0B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336894"/>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A40448"/>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5905</Words>
  <Characters>6757</Characters>
  <Lines>0</Lines>
  <Paragraphs>0</Paragraphs>
  <TotalTime>26</TotalTime>
  <ScaleCrop>false</ScaleCrop>
  <LinksUpToDate>false</LinksUpToDate>
  <CharactersWithSpaces>6765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2025-09-26T04:34:48Z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