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疏勒县信访局2024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DAC9EE2">
      <w:r>
        <w:br w:type="page"/>
      </w:r>
    </w:p>
    <w:p w14:paraId="1F3872F9">
      <w:pPr>
        <w:spacing w:line="640" w:lineRule="exact"/>
        <w:jc w:val="center"/>
        <w:outlineLvl w:val="1"/>
      </w:pPr>
      <w:r>
        <w:rPr>
          <w:rFonts w:ascii="黑体" w:hAnsi="黑体" w:eastAsia="黑体"/>
          <w:sz w:val="32"/>
        </w:rPr>
        <w:t>第一部分 单位概况</w:t>
      </w:r>
    </w:p>
    <w:p w14:paraId="313F7862">
      <w:pPr>
        <w:spacing w:line="640" w:lineRule="exact"/>
        <w:ind w:firstLine="640"/>
        <w:jc w:val="both"/>
        <w:outlineLvl w:val="2"/>
      </w:pPr>
      <w:r>
        <w:rPr>
          <w:rFonts w:ascii="黑体" w:hAnsi="黑体" w:eastAsia="黑体"/>
          <w:sz w:val="32"/>
        </w:rPr>
        <w:t>一、主要职能</w:t>
      </w:r>
    </w:p>
    <w:p w14:paraId="777CD5DC">
      <w:pPr>
        <w:spacing w:line="580" w:lineRule="exact"/>
        <w:ind w:firstLine="640"/>
        <w:jc w:val="both"/>
      </w:pPr>
      <w:r>
        <w:rPr>
          <w:rFonts w:ascii="仿宋_GB2312" w:hAnsi="仿宋_GB2312" w:eastAsia="仿宋_GB2312"/>
          <w:sz w:val="32"/>
        </w:rPr>
        <w:t>（一）研究分析全县信访形势，为县委、县政府决策提供参考。</w:t>
      </w:r>
    </w:p>
    <w:p w14:paraId="42244DE8">
      <w:pPr>
        <w:spacing w:line="580" w:lineRule="exact"/>
        <w:ind w:firstLine="640"/>
        <w:jc w:val="both"/>
      </w:pPr>
      <w:r>
        <w:rPr>
          <w:rFonts w:ascii="仿宋_GB2312" w:hAnsi="仿宋_GB2312" w:eastAsia="仿宋_GB2312"/>
          <w:sz w:val="32"/>
        </w:rPr>
        <w:t>（二）督促落实关于县委、县政府信访工作的方针政策和决策部署。</w:t>
      </w:r>
    </w:p>
    <w:p w14:paraId="057290B3">
      <w:pPr>
        <w:spacing w:line="580" w:lineRule="exact"/>
        <w:ind w:firstLine="640"/>
        <w:jc w:val="both"/>
      </w:pPr>
      <w:r>
        <w:rPr>
          <w:rFonts w:ascii="仿宋_GB2312" w:hAnsi="仿宋_GB2312" w:eastAsia="仿宋_GB2312"/>
          <w:sz w:val="32"/>
        </w:rPr>
        <w:t>（三）研究信访制度改革和信访法治化建设重大问题和事项。</w:t>
      </w:r>
    </w:p>
    <w:p w14:paraId="0CB833AC">
      <w:pPr>
        <w:spacing w:line="580" w:lineRule="exact"/>
        <w:ind w:firstLine="640"/>
        <w:jc w:val="both"/>
      </w:pPr>
      <w:r>
        <w:rPr>
          <w:rFonts w:ascii="仿宋_GB2312" w:hAnsi="仿宋_GB2312" w:eastAsia="仿宋_GB2312"/>
          <w:sz w:val="32"/>
        </w:rPr>
        <w:t>（四）研究部署重点工作任务，协调指导解决具有普遍性的信访突出问题。</w:t>
      </w:r>
    </w:p>
    <w:p w14:paraId="6B854555">
      <w:pPr>
        <w:spacing w:line="580" w:lineRule="exact"/>
        <w:ind w:firstLine="640"/>
        <w:jc w:val="both"/>
      </w:pPr>
      <w:r>
        <w:rPr>
          <w:rFonts w:ascii="仿宋_GB2312" w:hAnsi="仿宋_GB2312" w:eastAsia="仿宋_GB2312"/>
          <w:sz w:val="32"/>
        </w:rPr>
        <w:t>（五）领导组织信访工作责任制落实、督导考核等工作。</w:t>
      </w:r>
    </w:p>
    <w:p w14:paraId="2751F237">
      <w:pPr>
        <w:spacing w:line="580" w:lineRule="exact"/>
        <w:ind w:firstLine="640"/>
        <w:jc w:val="both"/>
      </w:pPr>
      <w:r>
        <w:rPr>
          <w:rFonts w:ascii="仿宋_GB2312" w:hAnsi="仿宋_GB2312" w:eastAsia="仿宋_GB2312"/>
          <w:sz w:val="32"/>
        </w:rPr>
        <w:t>（六）指导县信访工作联席会议工作。</w:t>
      </w:r>
    </w:p>
    <w:p w14:paraId="2926B8AB">
      <w:pPr>
        <w:spacing w:line="580" w:lineRule="exact"/>
        <w:ind w:firstLine="640"/>
        <w:jc w:val="both"/>
      </w:pPr>
      <w:r>
        <w:rPr>
          <w:rFonts w:ascii="仿宋_GB2312" w:hAnsi="仿宋_GB2312" w:eastAsia="仿宋_GB2312"/>
          <w:sz w:val="32"/>
        </w:rPr>
        <w:t>（七）承担县委、县政府交办的其他事项。</w:t>
      </w:r>
    </w:p>
    <w:p w14:paraId="72011241">
      <w:pPr>
        <w:spacing w:line="640" w:lineRule="exact"/>
        <w:ind w:firstLine="640"/>
        <w:jc w:val="both"/>
        <w:outlineLvl w:val="2"/>
      </w:pPr>
      <w:r>
        <w:rPr>
          <w:rFonts w:ascii="黑体" w:hAnsi="黑体" w:eastAsia="黑体"/>
          <w:sz w:val="32"/>
        </w:rPr>
        <w:t>二、机构设置及人员情况</w:t>
      </w:r>
    </w:p>
    <w:p w14:paraId="35E1BD9C">
      <w:pPr>
        <w:spacing w:line="580" w:lineRule="exact"/>
        <w:ind w:firstLine="640"/>
        <w:jc w:val="both"/>
      </w:pPr>
      <w:r>
        <w:rPr>
          <w:rFonts w:ascii="仿宋_GB2312" w:hAnsi="仿宋_GB2312" w:eastAsia="仿宋_GB2312"/>
          <w:sz w:val="32"/>
        </w:rPr>
        <w:t>疏勒县信访局2024年度，实有人数9人，其中：在职人员5人，减少1人；离休人员0人，增加0人；退休人员4人,增加1人。</w:t>
      </w:r>
    </w:p>
    <w:p w14:paraId="720061C6">
      <w:pPr>
        <w:spacing w:line="580" w:lineRule="exact"/>
        <w:ind w:firstLine="640"/>
        <w:jc w:val="both"/>
      </w:pPr>
      <w:r>
        <w:rPr>
          <w:rFonts w:ascii="仿宋_GB2312" w:hAnsi="仿宋_GB2312" w:eastAsia="仿宋_GB2312"/>
          <w:sz w:val="32"/>
        </w:rPr>
        <w:t>疏勒县信访局无下属预算单位，下设1个科室，分别是：综合办公室。</w:t>
      </w:r>
    </w:p>
    <w:p w14:paraId="79980F49">
      <w:r>
        <w:br w:type="page"/>
      </w:r>
    </w:p>
    <w:p w14:paraId="11AFFB5C">
      <w:pPr>
        <w:spacing w:line="240" w:lineRule="auto"/>
        <w:jc w:val="center"/>
        <w:outlineLvl w:val="1"/>
      </w:pPr>
      <w:r>
        <w:rPr>
          <w:rFonts w:ascii="黑体" w:hAnsi="黑体" w:eastAsia="黑体"/>
          <w:sz w:val="32"/>
        </w:rPr>
        <w:t>第二部分 部门决算情况说明</w:t>
      </w:r>
    </w:p>
    <w:p w14:paraId="6BA78213">
      <w:pPr>
        <w:spacing w:line="640" w:lineRule="exact"/>
        <w:ind w:firstLine="640"/>
        <w:jc w:val="both"/>
        <w:outlineLvl w:val="2"/>
      </w:pPr>
      <w:r>
        <w:rPr>
          <w:rFonts w:ascii="黑体" w:hAnsi="黑体" w:eastAsia="黑体"/>
          <w:sz w:val="32"/>
        </w:rPr>
        <w:t>一、收入支出决算总体情况说明</w:t>
      </w:r>
    </w:p>
    <w:p w14:paraId="090E4885">
      <w:pPr>
        <w:spacing w:line="580" w:lineRule="exact"/>
        <w:ind w:firstLine="640"/>
        <w:jc w:val="both"/>
      </w:pPr>
      <w:r>
        <w:rPr>
          <w:rFonts w:ascii="仿宋_GB2312" w:hAnsi="仿宋_GB2312" w:eastAsia="仿宋_GB2312"/>
          <w:b/>
          <w:sz w:val="32"/>
        </w:rPr>
        <w:t>2024年度收入总计137.51万元，</w:t>
      </w:r>
      <w:r>
        <w:rPr>
          <w:rFonts w:ascii="仿宋_GB2312" w:hAnsi="仿宋_GB2312" w:eastAsia="仿宋_GB2312"/>
          <w:b w:val="0"/>
          <w:sz w:val="32"/>
        </w:rPr>
        <w:t>其中：本年收入合计137.51万元，使用非财政拨款结余（含专用结余）0.00万元，年初结转和结余0.00万元。</w:t>
      </w:r>
    </w:p>
    <w:p w14:paraId="6B701C10">
      <w:pPr>
        <w:spacing w:line="580" w:lineRule="exact"/>
        <w:ind w:firstLine="640"/>
        <w:jc w:val="both"/>
      </w:pPr>
      <w:r>
        <w:rPr>
          <w:rFonts w:ascii="仿宋_GB2312" w:hAnsi="仿宋_GB2312" w:eastAsia="仿宋_GB2312"/>
          <w:b/>
          <w:sz w:val="32"/>
        </w:rPr>
        <w:t>2024年度支出总计137.51万元，</w:t>
      </w:r>
      <w:r>
        <w:rPr>
          <w:rFonts w:ascii="仿宋_GB2312" w:hAnsi="仿宋_GB2312" w:eastAsia="仿宋_GB2312"/>
          <w:b w:val="0"/>
          <w:sz w:val="32"/>
        </w:rPr>
        <w:t>其中：本年支出合计137.51万元，结余分配0.00万元，年末结转和结余0.00万元。</w:t>
      </w:r>
    </w:p>
    <w:p w14:paraId="7DF05D2C">
      <w:pPr>
        <w:spacing w:line="580" w:lineRule="exact"/>
        <w:ind w:firstLine="640"/>
        <w:jc w:val="both"/>
      </w:pPr>
      <w:r>
        <w:rPr>
          <w:rFonts w:ascii="仿宋_GB2312" w:hAnsi="仿宋_GB2312" w:eastAsia="仿宋_GB2312"/>
          <w:b w:val="0"/>
          <w:sz w:val="32"/>
        </w:rPr>
        <w:t>收入支出总体与上年相比，减少7.53万元，下降5.19%，主要原因是：本年在职人员减少，相关人员经费较上年减少；本年减少差旅费项目。</w:t>
      </w:r>
    </w:p>
    <w:p w14:paraId="295794E5">
      <w:pPr>
        <w:spacing w:line="640" w:lineRule="exact"/>
        <w:ind w:firstLine="640"/>
        <w:jc w:val="both"/>
        <w:outlineLvl w:val="2"/>
      </w:pPr>
      <w:r>
        <w:rPr>
          <w:rFonts w:ascii="黑体" w:hAnsi="黑体" w:eastAsia="黑体"/>
          <w:sz w:val="32"/>
        </w:rPr>
        <w:t>二、收入决算情况说明</w:t>
      </w:r>
    </w:p>
    <w:p w14:paraId="67A87ACF">
      <w:pPr>
        <w:spacing w:line="580" w:lineRule="exact"/>
        <w:ind w:firstLine="640"/>
        <w:jc w:val="both"/>
      </w:pPr>
      <w:r>
        <w:rPr>
          <w:rFonts w:ascii="仿宋_GB2312" w:hAnsi="仿宋_GB2312" w:eastAsia="仿宋_GB2312"/>
          <w:b/>
          <w:sz w:val="32"/>
        </w:rPr>
        <w:t>本年收入137.51万元，</w:t>
      </w:r>
      <w:r>
        <w:rPr>
          <w:rFonts w:ascii="仿宋_GB2312" w:hAnsi="仿宋_GB2312" w:eastAsia="仿宋_GB2312"/>
          <w:b w:val="0"/>
          <w:sz w:val="32"/>
        </w:rPr>
        <w:t>其中：财政拨款收入137.51万元，占100.00%；上级补助收入0.00万元，占0.00%；事业收入0.00万元，占0.00%；经营收入0.00万元，占0.00%；附属单位上缴收入0.00万元，占0.00%；其他收入0.00万元，占0.00%。</w:t>
      </w:r>
    </w:p>
    <w:p w14:paraId="4CBBADAF">
      <w:pPr>
        <w:spacing w:line="640" w:lineRule="exact"/>
        <w:ind w:firstLine="640"/>
        <w:jc w:val="both"/>
        <w:outlineLvl w:val="2"/>
      </w:pPr>
      <w:r>
        <w:rPr>
          <w:rFonts w:ascii="黑体" w:hAnsi="黑体" w:eastAsia="黑体"/>
          <w:sz w:val="32"/>
        </w:rPr>
        <w:t>三、支出决算情况说明</w:t>
      </w:r>
    </w:p>
    <w:p w14:paraId="54E3D2F6">
      <w:pPr>
        <w:spacing w:line="580" w:lineRule="exact"/>
        <w:ind w:firstLine="640"/>
        <w:jc w:val="both"/>
      </w:pPr>
      <w:r>
        <w:rPr>
          <w:rFonts w:ascii="仿宋_GB2312" w:hAnsi="仿宋_GB2312" w:eastAsia="仿宋_GB2312"/>
          <w:b/>
          <w:sz w:val="32"/>
        </w:rPr>
        <w:t>本年支出137.51万元，</w:t>
      </w:r>
      <w:r>
        <w:rPr>
          <w:rFonts w:ascii="仿宋_GB2312" w:hAnsi="仿宋_GB2312" w:eastAsia="仿宋_GB2312"/>
          <w:b w:val="0"/>
          <w:sz w:val="32"/>
        </w:rPr>
        <w:t>其中：基本支出134.51万元，占97.82%；项目支出3.01万元，占2.19%；上缴上级支出0.00万元，占0.00%；经营支出0.00万元，占0.00%；对附属单位补助支出0.00万元，占0.00%。</w:t>
      </w:r>
    </w:p>
    <w:p w14:paraId="1C0E4608">
      <w:pPr>
        <w:spacing w:line="640" w:lineRule="exact"/>
        <w:ind w:firstLine="640"/>
        <w:jc w:val="both"/>
        <w:outlineLvl w:val="2"/>
      </w:pPr>
      <w:r>
        <w:rPr>
          <w:rFonts w:ascii="黑体" w:hAnsi="黑体" w:eastAsia="黑体"/>
          <w:sz w:val="32"/>
        </w:rPr>
        <w:t>四、财政拨款收入支出决算总体情况说明</w:t>
      </w:r>
    </w:p>
    <w:p w14:paraId="2F043437">
      <w:pPr>
        <w:spacing w:line="580" w:lineRule="exact"/>
        <w:ind w:firstLine="640"/>
        <w:jc w:val="both"/>
      </w:pPr>
      <w:r>
        <w:rPr>
          <w:rFonts w:ascii="仿宋_GB2312" w:hAnsi="仿宋_GB2312" w:eastAsia="仿宋_GB2312"/>
          <w:b/>
          <w:sz w:val="32"/>
        </w:rPr>
        <w:t>2024年度财政拨款收入总计137.51万元，</w:t>
      </w:r>
      <w:r>
        <w:rPr>
          <w:rFonts w:ascii="仿宋_GB2312" w:hAnsi="仿宋_GB2312" w:eastAsia="仿宋_GB2312"/>
          <w:b w:val="0"/>
          <w:sz w:val="32"/>
        </w:rPr>
        <w:t>其中：年初财政拨款结转和结余0.00万元，本年财政拨款收入137.51万元。</w:t>
      </w:r>
      <w:r>
        <w:rPr>
          <w:rFonts w:ascii="仿宋_GB2312" w:hAnsi="仿宋_GB2312" w:eastAsia="仿宋_GB2312"/>
          <w:b/>
          <w:sz w:val="32"/>
        </w:rPr>
        <w:t>财政拨款支出总计137.51万元，</w:t>
      </w:r>
      <w:r>
        <w:rPr>
          <w:rFonts w:ascii="仿宋_GB2312" w:hAnsi="仿宋_GB2312" w:eastAsia="仿宋_GB2312"/>
          <w:b w:val="0"/>
          <w:sz w:val="32"/>
        </w:rPr>
        <w:t>其中：年末财政拨款结转和结余0.00万元，本年财政拨款支出137.51万元。</w:t>
      </w:r>
    </w:p>
    <w:p w14:paraId="77C0D60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减少7.53万元，下降5.19%，主要原因是：本年在职人员减少，相关人员经费较上年减少；本年减少差旅费项目。</w:t>
      </w:r>
      <w:r>
        <w:rPr>
          <w:rFonts w:ascii="仿宋_GB2312" w:hAnsi="仿宋_GB2312" w:eastAsia="仿宋_GB2312"/>
          <w:b/>
          <w:sz w:val="32"/>
        </w:rPr>
        <w:t>与年初预算相比，</w:t>
      </w:r>
      <w:r>
        <w:rPr>
          <w:rFonts w:ascii="仿宋_GB2312" w:hAnsi="仿宋_GB2312" w:eastAsia="仿宋_GB2312"/>
          <w:b w:val="0"/>
          <w:sz w:val="32"/>
        </w:rPr>
        <w:t>年初预算数568.22万元，决算数137.51万元，预决算差异率-75.80%，主要原因是：本年涉法涉诉及信访矛盾纠纷化解项目预算编制在</w:t>
      </w:r>
      <w:r>
        <w:rPr>
          <w:rFonts w:hint="eastAsia" w:ascii="仿宋_GB2312" w:hAnsi="仿宋_GB2312" w:eastAsia="仿宋_GB2312"/>
          <w:b w:val="0"/>
          <w:sz w:val="32"/>
          <w:lang w:eastAsia="zh-CN"/>
        </w:rPr>
        <w:t>本单位</w:t>
      </w:r>
      <w:r>
        <w:rPr>
          <w:rFonts w:ascii="仿宋_GB2312" w:hAnsi="仿宋_GB2312" w:eastAsia="仿宋_GB2312"/>
          <w:b w:val="0"/>
          <w:sz w:val="32"/>
        </w:rPr>
        <w:t>，年中项目实际执行及支出在本县其他单位，导致预决算产生差异。</w:t>
      </w:r>
    </w:p>
    <w:p w14:paraId="744E7ED9">
      <w:pPr>
        <w:spacing w:line="640" w:lineRule="exact"/>
        <w:ind w:firstLine="640"/>
        <w:jc w:val="both"/>
        <w:outlineLvl w:val="2"/>
      </w:pPr>
      <w:r>
        <w:rPr>
          <w:rFonts w:ascii="黑体" w:hAnsi="黑体" w:eastAsia="黑体"/>
          <w:sz w:val="32"/>
        </w:rPr>
        <w:t>五、一般公共预算财政拨款支出决算情况说明</w:t>
      </w:r>
    </w:p>
    <w:p w14:paraId="3B4994B7">
      <w:pPr>
        <w:spacing w:line="640" w:lineRule="exact"/>
        <w:ind w:firstLine="640"/>
        <w:jc w:val="both"/>
        <w:outlineLvl w:val="3"/>
      </w:pPr>
      <w:r>
        <w:rPr>
          <w:rFonts w:ascii="楷体_GB2312" w:hAnsi="楷体_GB2312" w:eastAsia="楷体_GB2312"/>
          <w:b/>
          <w:sz w:val="32"/>
        </w:rPr>
        <w:t>（一）一般公共预算财政拨款支出决算总体情况</w:t>
      </w:r>
    </w:p>
    <w:p w14:paraId="51BADAB5">
      <w:pPr>
        <w:spacing w:line="580" w:lineRule="exact"/>
        <w:ind w:firstLine="640"/>
        <w:jc w:val="both"/>
      </w:pPr>
      <w:r>
        <w:rPr>
          <w:rFonts w:ascii="仿宋_GB2312" w:hAnsi="仿宋_GB2312" w:eastAsia="仿宋_GB2312"/>
          <w:b/>
          <w:sz w:val="32"/>
        </w:rPr>
        <w:t>2024年度一般公共预算财政拨款支出137.51万元，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减少7.53万元，下降5.19%，主要原因是：本年在职人员减少，相关人员经费较上年减少；本年减少差旅费项目。</w:t>
      </w:r>
      <w:r>
        <w:rPr>
          <w:rFonts w:ascii="仿宋_GB2312" w:hAnsi="仿宋_GB2312" w:eastAsia="仿宋_GB2312"/>
          <w:b/>
          <w:sz w:val="32"/>
        </w:rPr>
        <w:t>与年初预算相比,</w:t>
      </w:r>
      <w:r>
        <w:rPr>
          <w:rFonts w:ascii="仿宋_GB2312" w:hAnsi="仿宋_GB2312" w:eastAsia="仿宋_GB2312"/>
          <w:b w:val="0"/>
          <w:sz w:val="32"/>
        </w:rPr>
        <w:t>年初预算数568.22万元，决算数137.51万元，预决算差异率-75.80%，主要原因是：本年涉法涉诉及信访矛盾纠纷化解项目预算编制在</w:t>
      </w:r>
      <w:r>
        <w:rPr>
          <w:rFonts w:hint="eastAsia" w:ascii="仿宋_GB2312" w:hAnsi="仿宋_GB2312" w:eastAsia="仿宋_GB2312"/>
          <w:b w:val="0"/>
          <w:sz w:val="32"/>
          <w:lang w:eastAsia="zh-CN"/>
        </w:rPr>
        <w:t>本单位</w:t>
      </w:r>
      <w:r>
        <w:rPr>
          <w:rFonts w:ascii="仿宋_GB2312" w:hAnsi="仿宋_GB2312" w:eastAsia="仿宋_GB2312"/>
          <w:b w:val="0"/>
          <w:sz w:val="32"/>
        </w:rPr>
        <w:t>，年中项目实际执行及支出在本县其他单位，导致预决算产生差异。</w:t>
      </w:r>
    </w:p>
    <w:p w14:paraId="1ED723A4">
      <w:pPr>
        <w:spacing w:line="640" w:lineRule="exact"/>
        <w:ind w:firstLine="640"/>
        <w:jc w:val="both"/>
        <w:outlineLvl w:val="3"/>
      </w:pPr>
      <w:r>
        <w:rPr>
          <w:rFonts w:ascii="楷体_GB2312" w:hAnsi="楷体_GB2312" w:eastAsia="楷体_GB2312"/>
          <w:b/>
          <w:sz w:val="32"/>
        </w:rPr>
        <w:t>（二）一般公共预算财政拨款支出决算结构情况</w:t>
      </w:r>
    </w:p>
    <w:p w14:paraId="195662D7">
      <w:pPr>
        <w:spacing w:line="580" w:lineRule="exact"/>
        <w:ind w:firstLine="640"/>
        <w:jc w:val="both"/>
      </w:pPr>
      <w:r>
        <w:rPr>
          <w:rFonts w:ascii="仿宋_GB2312" w:hAnsi="仿宋_GB2312" w:eastAsia="仿宋_GB2312"/>
          <w:b w:val="0"/>
          <w:sz w:val="32"/>
        </w:rPr>
        <w:t>1.一般公共服务支出(类)94.35万元,占68.61%。</w:t>
      </w:r>
    </w:p>
    <w:p w14:paraId="42CD16B6">
      <w:pPr>
        <w:spacing w:line="580" w:lineRule="exact"/>
        <w:ind w:firstLine="640"/>
        <w:jc w:val="both"/>
      </w:pPr>
      <w:r>
        <w:rPr>
          <w:rFonts w:ascii="仿宋_GB2312" w:hAnsi="仿宋_GB2312" w:eastAsia="仿宋_GB2312"/>
          <w:b w:val="0"/>
          <w:sz w:val="32"/>
        </w:rPr>
        <w:t>2.社会保障和就业支出(类)25.76万元,占18.73%。</w:t>
      </w:r>
    </w:p>
    <w:p w14:paraId="5D46F9CF">
      <w:pPr>
        <w:spacing w:line="580" w:lineRule="exact"/>
        <w:ind w:firstLine="640"/>
        <w:jc w:val="both"/>
      </w:pPr>
      <w:r>
        <w:rPr>
          <w:rFonts w:ascii="仿宋_GB2312" w:hAnsi="仿宋_GB2312" w:eastAsia="仿宋_GB2312"/>
          <w:b w:val="0"/>
          <w:sz w:val="32"/>
        </w:rPr>
        <w:t>3.卫生健康支出(类)5.82万元,占4.23%。</w:t>
      </w:r>
    </w:p>
    <w:p w14:paraId="2A7308CF">
      <w:pPr>
        <w:spacing w:line="580" w:lineRule="exact"/>
        <w:ind w:firstLine="640"/>
        <w:jc w:val="both"/>
      </w:pPr>
      <w:r>
        <w:rPr>
          <w:rFonts w:ascii="仿宋_GB2312" w:hAnsi="仿宋_GB2312" w:eastAsia="仿宋_GB2312"/>
          <w:b w:val="0"/>
          <w:sz w:val="32"/>
        </w:rPr>
        <w:t>4.农林水支出(类)3.01万元,占2.19%。</w:t>
      </w:r>
    </w:p>
    <w:p w14:paraId="7CE070B1">
      <w:pPr>
        <w:spacing w:line="580" w:lineRule="exact"/>
        <w:ind w:firstLine="640"/>
        <w:jc w:val="both"/>
      </w:pPr>
      <w:r>
        <w:rPr>
          <w:rFonts w:ascii="仿宋_GB2312" w:hAnsi="仿宋_GB2312" w:eastAsia="仿宋_GB2312"/>
          <w:b w:val="0"/>
          <w:sz w:val="32"/>
        </w:rPr>
        <w:t>5.住房保障支出(类)8.58万元,占6.24%。</w:t>
      </w:r>
    </w:p>
    <w:p w14:paraId="35D5BBEA">
      <w:pPr>
        <w:spacing w:line="640" w:lineRule="exact"/>
        <w:ind w:firstLine="640"/>
        <w:jc w:val="both"/>
        <w:outlineLvl w:val="3"/>
      </w:pPr>
      <w:r>
        <w:rPr>
          <w:rFonts w:ascii="楷体_GB2312" w:hAnsi="楷体_GB2312" w:eastAsia="楷体_GB2312"/>
          <w:b/>
          <w:sz w:val="32"/>
        </w:rPr>
        <w:t>（三）一般公共预算财政拨款支出决算具体情况</w:t>
      </w:r>
    </w:p>
    <w:p w14:paraId="1CC5BB90">
      <w:pPr>
        <w:spacing w:line="580" w:lineRule="exact"/>
        <w:ind w:firstLine="640"/>
        <w:jc w:val="both"/>
      </w:pPr>
      <w:r>
        <w:rPr>
          <w:rFonts w:ascii="仿宋_GB2312" w:hAnsi="仿宋_GB2312" w:eastAsia="仿宋_GB2312"/>
          <w:b w:val="0"/>
          <w:sz w:val="32"/>
        </w:rPr>
        <w:t>1.一般公共服务支出(类)政府办公厅（室）及相关机构事务(款)信访事务(项):支出决算数为0.00万元，比上年决算减少106.40万元，下降100.00%,主要原因是：本年功能科目调整，本单位在职人员工资等相关人员经费调整至行政运行列支，相关</w:t>
      </w:r>
      <w:r>
        <w:rPr>
          <w:rFonts w:hint="eastAsia" w:ascii="仿宋_GB2312" w:hAnsi="仿宋_GB2312" w:eastAsia="仿宋_GB2312"/>
          <w:b w:val="0"/>
          <w:sz w:val="32"/>
          <w:lang w:eastAsia="zh-CN"/>
        </w:rPr>
        <w:t>经费</w:t>
      </w:r>
      <w:r>
        <w:rPr>
          <w:rFonts w:ascii="仿宋_GB2312" w:hAnsi="仿宋_GB2312" w:eastAsia="仿宋_GB2312"/>
          <w:b w:val="0"/>
          <w:sz w:val="32"/>
        </w:rPr>
        <w:t>减少，减少疏勒县信访局关于选派工作人员赴京做好信访安全保障工作和送回信访</w:t>
      </w:r>
      <w:r>
        <w:rPr>
          <w:rFonts w:hint="eastAsia" w:ascii="仿宋_GB2312" w:hAnsi="仿宋_GB2312" w:eastAsia="仿宋_GB2312"/>
          <w:b w:val="0"/>
          <w:sz w:val="32"/>
          <w:lang w:eastAsia="zh-CN"/>
        </w:rPr>
        <w:t>人员</w:t>
      </w:r>
      <w:r>
        <w:rPr>
          <w:rFonts w:ascii="仿宋_GB2312" w:hAnsi="仿宋_GB2312" w:eastAsia="仿宋_GB2312"/>
          <w:b w:val="0"/>
          <w:sz w:val="32"/>
        </w:rPr>
        <w:t>产生的食宿费、疏勒县信访局赴北京接回上访人员食宿费。</w:t>
      </w:r>
    </w:p>
    <w:p w14:paraId="03F03D4B">
      <w:pPr>
        <w:spacing w:line="580" w:lineRule="exact"/>
        <w:ind w:firstLine="640"/>
        <w:jc w:val="both"/>
      </w:pPr>
      <w:r>
        <w:rPr>
          <w:rFonts w:ascii="仿宋_GB2312" w:hAnsi="仿宋_GB2312" w:eastAsia="仿宋_GB2312"/>
          <w:b w:val="0"/>
          <w:sz w:val="32"/>
        </w:rPr>
        <w:t>2.一般公共服务支出(类)信访事务(款)行政运行(项):支出决算数为94.35万元，比上年决算增加94.35万元，增长100.00%,主要原因是：本年功能科目调整，本单位在职人员工资等相关人员经费由信访事务列支调整至行政运行列支，相关</w:t>
      </w:r>
      <w:r>
        <w:rPr>
          <w:rFonts w:hint="eastAsia" w:ascii="仿宋_GB2312" w:hAnsi="仿宋_GB2312" w:eastAsia="仿宋_GB2312"/>
          <w:b w:val="0"/>
          <w:sz w:val="32"/>
          <w:lang w:eastAsia="zh-CN"/>
        </w:rPr>
        <w:t>经费</w:t>
      </w:r>
      <w:r>
        <w:rPr>
          <w:rFonts w:ascii="仿宋_GB2312" w:hAnsi="仿宋_GB2312" w:eastAsia="仿宋_GB2312"/>
          <w:b w:val="0"/>
          <w:sz w:val="32"/>
        </w:rPr>
        <w:t>增加。</w:t>
      </w:r>
    </w:p>
    <w:p w14:paraId="42959DC8">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3.社会保障和就业支出(类)行政事业单位养老支出(款)行政单位离退休(项):支出决算数为4.37万元，比上年决算增加1.36万元，增长45.18%,主要原因是：本年退休人员增加，退休费支出增加。</w:t>
      </w:r>
    </w:p>
    <w:p w14:paraId="514CBE5E">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10.94万元，比上年决算增加0.73万元，增长7.15%,主要原因是：本年在职人员工资基数调增，养老缴费基数上涨，相应支出增加。</w:t>
      </w:r>
    </w:p>
    <w:p w14:paraId="667F1A5F">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5.社会保障和就业支出(类)行政事业单位养老支出(款)机关事业单位职业年金缴费支出(项):支出决算数为10.46万元，比上年决算增加3.48万元，增长49.86%,主要原因是：本年新增退休人员，职业年金缴费支出增加。</w:t>
      </w:r>
    </w:p>
    <w:p w14:paraId="531EC787">
      <w:pPr>
        <w:spacing w:line="580" w:lineRule="exact"/>
        <w:ind w:firstLine="640"/>
        <w:jc w:val="both"/>
      </w:pPr>
      <w:r>
        <w:rPr>
          <w:rFonts w:ascii="仿宋_GB2312" w:hAnsi="仿宋_GB2312" w:eastAsia="仿宋_GB2312"/>
          <w:b w:val="0"/>
          <w:sz w:val="32"/>
        </w:rPr>
        <w:t>6.卫生健康支出(类)行政事业单位医疗(款)行政单位医疗(项):支出决算数为4.65万元，比上年决算增加0.02万元，增长0.43%,主要原因是：本年在职人员工资基数调增，医疗缴费基数上涨，相应支出增加。</w:t>
      </w:r>
    </w:p>
    <w:p w14:paraId="1BF3E924">
      <w:pPr>
        <w:spacing w:line="580" w:lineRule="exact"/>
        <w:ind w:firstLine="640"/>
        <w:jc w:val="both"/>
      </w:pPr>
      <w:r>
        <w:rPr>
          <w:rFonts w:ascii="仿宋_GB2312" w:hAnsi="仿宋_GB2312" w:eastAsia="仿宋_GB2312"/>
          <w:b w:val="0"/>
          <w:sz w:val="32"/>
        </w:rPr>
        <w:t>7.卫生健康支出(类)行政事业单位医疗(款)公务员医疗补助(项):支出决算数为1.17万元，比上年决算增加0.04万元，增长3.54%,主要原因是：本年在职人员工资基数调增，医疗缴费基数上涨，相应支出增加。</w:t>
      </w:r>
    </w:p>
    <w:p w14:paraId="2B1EA9F9">
      <w:pPr>
        <w:spacing w:line="580" w:lineRule="exact"/>
        <w:ind w:firstLine="640"/>
        <w:jc w:val="both"/>
      </w:pPr>
      <w:r>
        <w:rPr>
          <w:rFonts w:ascii="仿宋_GB2312" w:hAnsi="仿宋_GB2312" w:eastAsia="仿宋_GB2312"/>
          <w:b w:val="0"/>
          <w:sz w:val="32"/>
        </w:rPr>
        <w:t>8.农林水支出(类)农业农村(款)其他农业农村支出(项):支出决算数为3.01万元，比上年决算减少1.48万元，下降32.96%,主要原因是：为民办实事好事项目支出比上年度支出少，导致经费较上年减少。</w:t>
      </w:r>
    </w:p>
    <w:p w14:paraId="1732A898">
      <w:pPr>
        <w:spacing w:line="580" w:lineRule="exact"/>
        <w:ind w:firstLine="640"/>
        <w:jc w:val="both"/>
      </w:pPr>
      <w:r>
        <w:rPr>
          <w:rFonts w:ascii="仿宋_GB2312" w:hAnsi="仿宋_GB2312" w:eastAsia="仿宋_GB2312"/>
          <w:b w:val="0"/>
          <w:sz w:val="32"/>
        </w:rPr>
        <w:t>9.住房保障支出(类)住房改革支出(款)住房公积金(项):支出决算数为8.58万元，比上年决算增加0.39万元，增长4.76%,主要原因是：本年在职人员工资基数调增，公积金缴费基数上涨，相应支出增加。</w:t>
      </w:r>
    </w:p>
    <w:p w14:paraId="49FA29D8">
      <w:pPr>
        <w:spacing w:line="640" w:lineRule="exact"/>
        <w:ind w:firstLine="640"/>
        <w:jc w:val="both"/>
        <w:outlineLvl w:val="2"/>
      </w:pPr>
      <w:r>
        <w:rPr>
          <w:rFonts w:ascii="黑体" w:hAnsi="黑体" w:eastAsia="黑体"/>
          <w:sz w:val="32"/>
        </w:rPr>
        <w:t>六、一般公共预算财政拨款基本支出决算情况说明</w:t>
      </w:r>
    </w:p>
    <w:p w14:paraId="0104FC93">
      <w:pPr>
        <w:spacing w:line="580" w:lineRule="exact"/>
        <w:ind w:firstLine="640"/>
        <w:jc w:val="both"/>
      </w:pPr>
      <w:r>
        <w:rPr>
          <w:rFonts w:ascii="仿宋_GB2312" w:hAnsi="仿宋_GB2312" w:eastAsia="仿宋_GB2312"/>
          <w:b w:val="0"/>
          <w:sz w:val="32"/>
        </w:rPr>
        <w:t>2024年度一般公共预算财政拨款基本支出134.51万元，其中：</w:t>
      </w:r>
      <w:r>
        <w:rPr>
          <w:rFonts w:ascii="仿宋_GB2312" w:hAnsi="仿宋_GB2312" w:eastAsia="仿宋_GB2312"/>
          <w:b/>
          <w:sz w:val="32"/>
        </w:rPr>
        <w:t>人员经费131.87万元，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w:t>
      </w:r>
    </w:p>
    <w:p w14:paraId="2D55CC69">
      <w:pPr>
        <w:spacing w:line="580" w:lineRule="exact"/>
        <w:ind w:firstLine="640"/>
        <w:jc w:val="both"/>
      </w:pPr>
      <w:r>
        <w:rPr>
          <w:rFonts w:ascii="仿宋_GB2312" w:hAnsi="仿宋_GB2312" w:eastAsia="仿宋_GB2312"/>
          <w:b/>
          <w:sz w:val="32"/>
        </w:rPr>
        <w:t>公用经费2.64万元，</w:t>
      </w:r>
      <w:r>
        <w:rPr>
          <w:rFonts w:ascii="仿宋_GB2312" w:hAnsi="仿宋_GB2312" w:eastAsia="仿宋_GB2312"/>
          <w:b w:val="0"/>
          <w:sz w:val="32"/>
        </w:rPr>
        <w:t>包括：办公费、邮电费、公务用车运行维护费。</w:t>
      </w:r>
    </w:p>
    <w:p w14:paraId="4268C4AD">
      <w:pPr>
        <w:spacing w:line="640" w:lineRule="exact"/>
        <w:ind w:firstLine="640"/>
        <w:jc w:val="both"/>
        <w:outlineLvl w:val="2"/>
      </w:pPr>
      <w:r>
        <w:rPr>
          <w:rFonts w:ascii="黑体" w:hAnsi="黑体" w:eastAsia="黑体"/>
          <w:sz w:val="32"/>
        </w:rPr>
        <w:t>七、政府性基金预算财政拨款收入支出决算情况说明</w:t>
      </w:r>
    </w:p>
    <w:p w14:paraId="29C078B2">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0B375F5">
      <w:pPr>
        <w:spacing w:line="640" w:lineRule="exact"/>
        <w:ind w:firstLine="640"/>
        <w:jc w:val="both"/>
        <w:outlineLvl w:val="2"/>
      </w:pPr>
      <w:r>
        <w:rPr>
          <w:rFonts w:ascii="黑体" w:hAnsi="黑体" w:eastAsia="黑体"/>
          <w:sz w:val="32"/>
        </w:rPr>
        <w:t>八、国有资本经营预算财政拨款收入支出决算情况说明</w:t>
      </w:r>
    </w:p>
    <w:p w14:paraId="125AB3C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DB82FA6">
      <w:pPr>
        <w:spacing w:line="640" w:lineRule="exact"/>
        <w:ind w:firstLine="640"/>
        <w:jc w:val="both"/>
        <w:outlineLvl w:val="2"/>
      </w:pPr>
      <w:r>
        <w:rPr>
          <w:rFonts w:ascii="黑体" w:hAnsi="黑体" w:eastAsia="黑体"/>
          <w:sz w:val="32"/>
        </w:rPr>
        <w:t>九、财政拨款“三公”经费支出决算情况说明</w:t>
      </w:r>
    </w:p>
    <w:p w14:paraId="2DBA1B8C">
      <w:pPr>
        <w:spacing w:line="580" w:lineRule="exact"/>
        <w:ind w:firstLine="640"/>
        <w:jc w:val="both"/>
      </w:pPr>
      <w:r>
        <w:rPr>
          <w:rFonts w:ascii="仿宋_GB2312" w:hAnsi="仿宋_GB2312" w:eastAsia="仿宋_GB2312"/>
          <w:b/>
          <w:sz w:val="32"/>
        </w:rPr>
        <w:t>2024年度财政拨款“三公”经费支出0.78万元，</w:t>
      </w:r>
      <w:r>
        <w:rPr>
          <w:rFonts w:ascii="仿宋_GB2312" w:hAnsi="仿宋_GB2312" w:eastAsia="仿宋_GB2312"/>
          <w:b w:val="0"/>
          <w:sz w:val="32"/>
        </w:rPr>
        <w:t>比上年增加0.00万元，增长0.00%，主要原因是：本单位“三公”经费与上年一致无变化。其中：因公出国（境）费支出0.00万元，占0.00%，比上年增加0.00万元，增长0.00%，主要原因是：2023年与2024年均未安排因公出国（境）费支出。公务用车购置及运行维护费支出0.78万元，占100.00%，比上年增加0.00万元，增长0.00%，主要原因是：本单位公务用车运行维护费与上年一致无变化。公务接待费支出0.00万元，占0.00%，比上年增加0.00万元，增长0.00%，主要原因是：2023年与2024年均未安排公务接待费支出。</w:t>
      </w:r>
    </w:p>
    <w:p w14:paraId="7F8011C1">
      <w:pPr>
        <w:spacing w:line="580" w:lineRule="exact"/>
        <w:ind w:firstLine="640"/>
        <w:jc w:val="both"/>
      </w:pPr>
      <w:r>
        <w:rPr>
          <w:rFonts w:ascii="仿宋_GB2312" w:hAnsi="仿宋_GB2312" w:eastAsia="仿宋_GB2312"/>
          <w:b/>
          <w:sz w:val="32"/>
        </w:rPr>
        <w:t>具体情况如下：</w:t>
      </w:r>
    </w:p>
    <w:p w14:paraId="408953A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D6B2016">
      <w:pPr>
        <w:spacing w:line="580" w:lineRule="exact"/>
        <w:ind w:firstLine="640"/>
        <w:jc w:val="both"/>
      </w:pPr>
      <w:r>
        <w:rPr>
          <w:rFonts w:ascii="仿宋_GB2312" w:hAnsi="仿宋_GB2312" w:eastAsia="仿宋_GB2312"/>
          <w:b w:val="0"/>
          <w:sz w:val="32"/>
        </w:rPr>
        <w:t>公务用车购置及运行维护费0.78万元，其中：公务用车购置费0.00万元，公务用车运行维护费0.78万元。公务用车运行维护费开支内容包括车辆燃油费、保险费等。公务用车购置数0辆，公务用车保有量1辆。国有资产占用情况中固定资产车辆1辆，与公务用车保有量差异原因是：本单位固定资产车辆与公务用车保有量一致无差异。</w:t>
      </w:r>
    </w:p>
    <w:p w14:paraId="49B4810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88F170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0.78万元，决算数0.78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0.78万元，决算数0.78万元，预决算差异率0.00%，主要原因是：严格按照预算执行，预决算无差异。公务接待费全年预算数0.00万元，决算数0.00万元，预决算差异率0.00%，主要原因是：本单位无公务接待费。</w:t>
      </w:r>
    </w:p>
    <w:p w14:paraId="2834D672">
      <w:pPr>
        <w:spacing w:line="640" w:lineRule="exact"/>
        <w:ind w:firstLine="640"/>
        <w:jc w:val="both"/>
        <w:outlineLvl w:val="2"/>
      </w:pPr>
      <w:r>
        <w:rPr>
          <w:rFonts w:ascii="黑体" w:hAnsi="黑体" w:eastAsia="黑体"/>
          <w:sz w:val="32"/>
        </w:rPr>
        <w:t>十、其他重要事项的情况说明</w:t>
      </w:r>
    </w:p>
    <w:p w14:paraId="276F3E16">
      <w:pPr>
        <w:spacing w:line="640" w:lineRule="exact"/>
        <w:ind w:firstLine="640"/>
        <w:jc w:val="both"/>
        <w:outlineLvl w:val="3"/>
      </w:pPr>
      <w:r>
        <w:rPr>
          <w:rFonts w:ascii="楷体_GB2312" w:hAnsi="楷体_GB2312" w:eastAsia="楷体_GB2312"/>
          <w:b/>
          <w:sz w:val="32"/>
        </w:rPr>
        <w:t>（一）机关运行经费及公用经费支出情况</w:t>
      </w:r>
    </w:p>
    <w:p w14:paraId="519909DB">
      <w:pPr>
        <w:spacing w:line="580" w:lineRule="exact"/>
        <w:ind w:firstLine="640"/>
        <w:jc w:val="both"/>
      </w:pPr>
      <w:r>
        <w:rPr>
          <w:rFonts w:ascii="仿宋_GB2312" w:hAnsi="仿宋_GB2312" w:eastAsia="仿宋_GB2312"/>
          <w:b w:val="0"/>
          <w:sz w:val="32"/>
        </w:rPr>
        <w:t>2024年度疏勒县信访局（行政单位和参照公务员法管理事业单位）机关运行经费支出2.64万元，比上年增加0.00万元，增长0.00%，主要原因是：本单位机关运行经费与上年度一致，无变化。</w:t>
      </w:r>
    </w:p>
    <w:p w14:paraId="7C2360D5">
      <w:pPr>
        <w:spacing w:line="640" w:lineRule="exact"/>
        <w:ind w:firstLine="640"/>
        <w:jc w:val="both"/>
        <w:outlineLvl w:val="3"/>
      </w:pPr>
      <w:r>
        <w:rPr>
          <w:rFonts w:ascii="楷体_GB2312" w:hAnsi="楷体_GB2312" w:eastAsia="楷体_GB2312"/>
          <w:b/>
          <w:sz w:val="32"/>
        </w:rPr>
        <w:t>（二）政府采购情况</w:t>
      </w:r>
    </w:p>
    <w:p w14:paraId="304BEA76">
      <w:pPr>
        <w:spacing w:line="580" w:lineRule="exact"/>
        <w:ind w:firstLine="640"/>
        <w:jc w:val="both"/>
      </w:pPr>
      <w:r>
        <w:rPr>
          <w:rFonts w:ascii="仿宋_GB2312" w:hAnsi="仿宋_GB2312" w:eastAsia="仿宋_GB2312"/>
          <w:b w:val="0"/>
          <w:sz w:val="32"/>
        </w:rPr>
        <w:t>2024年度政府采购支出总额1.91万元，其中：政府采购货物支出1.46万元、政府采购工程支出0.00万元、政府采购服务支出0.45万元。</w:t>
      </w:r>
    </w:p>
    <w:p w14:paraId="2010A029">
      <w:pPr>
        <w:spacing w:line="580" w:lineRule="exact"/>
        <w:ind w:firstLine="640"/>
        <w:jc w:val="both"/>
      </w:pPr>
      <w:r>
        <w:rPr>
          <w:rFonts w:ascii="仿宋_GB2312" w:hAnsi="仿宋_GB2312" w:eastAsia="仿宋_GB2312"/>
          <w:b w:val="0"/>
          <w:sz w:val="32"/>
        </w:rPr>
        <w:t>授予中小企业合同金额1.51万元，占政府采购支出总额的79.06%，其中：授予小微企业合同金额1.14万元，占政府采购支出总额的59.69%。</w:t>
      </w:r>
    </w:p>
    <w:p w14:paraId="114A3855">
      <w:pPr>
        <w:spacing w:line="640" w:lineRule="exact"/>
        <w:ind w:firstLine="640"/>
        <w:jc w:val="both"/>
        <w:outlineLvl w:val="3"/>
      </w:pPr>
      <w:r>
        <w:rPr>
          <w:rFonts w:ascii="楷体_GB2312" w:hAnsi="楷体_GB2312" w:eastAsia="楷体_GB2312"/>
          <w:b/>
          <w:sz w:val="32"/>
        </w:rPr>
        <w:t>（三）国有资产占用情况说明</w:t>
      </w:r>
    </w:p>
    <w:p w14:paraId="4D92016B">
      <w:pPr>
        <w:spacing w:line="580" w:lineRule="exact"/>
        <w:ind w:firstLine="640"/>
        <w:jc w:val="both"/>
      </w:pPr>
      <w:r>
        <w:rPr>
          <w:rFonts w:ascii="仿宋_GB2312" w:hAnsi="仿宋_GB2312" w:eastAsia="仿宋_GB2312"/>
          <w:b w:val="0"/>
          <w:sz w:val="32"/>
        </w:rPr>
        <w:t>截至2024年12月31日，房屋0.00平方米，价值0.00万元。车辆1辆，价值16.20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7E23172C">
      <w:pPr>
        <w:spacing w:line="640" w:lineRule="exact"/>
        <w:ind w:firstLine="640"/>
        <w:jc w:val="both"/>
        <w:outlineLvl w:val="2"/>
      </w:pPr>
      <w:r>
        <w:rPr>
          <w:rFonts w:ascii="黑体" w:hAnsi="黑体" w:eastAsia="黑体"/>
          <w:sz w:val="32"/>
        </w:rPr>
        <w:t>十一、预算绩效的情况说明</w:t>
      </w:r>
    </w:p>
    <w:p w14:paraId="22281149">
      <w:pPr>
        <w:spacing w:line="580" w:lineRule="exact"/>
        <w:ind w:firstLine="640"/>
        <w:jc w:val="both"/>
        <w:rPr>
          <w:rFonts w:hint="eastAsia" w:eastAsia="仿宋_GB2312"/>
          <w:lang w:eastAsia="zh-CN"/>
        </w:rPr>
      </w:pPr>
      <w:r>
        <w:rPr>
          <w:rFonts w:ascii="仿宋_GB2312" w:hAnsi="仿宋_GB2312" w:eastAsia="仿宋_GB2312"/>
          <w:b w:val="0"/>
          <w:sz w:val="32"/>
        </w:rPr>
        <w:t>根据预算绩效管理要求，本单位2024年度预算绩效管理形成整体支出绩效自评表1个，全年预算总额137.51万元，实际执行总额137.51万元；预算绩效评价项目</w:t>
      </w:r>
      <w:r>
        <w:rPr>
          <w:rFonts w:hint="eastAsia" w:ascii="仿宋_GB2312" w:hAnsi="仿宋_GB2312" w:eastAsia="仿宋_GB2312"/>
          <w:b w:val="0"/>
          <w:sz w:val="32"/>
          <w:lang w:val="en-US" w:eastAsia="zh-CN"/>
        </w:rPr>
        <w:t>1</w:t>
      </w:r>
      <w:r>
        <w:rPr>
          <w:rFonts w:ascii="仿宋_GB2312" w:hAnsi="仿宋_GB2312" w:eastAsia="仿宋_GB2312"/>
          <w:b w:val="0"/>
          <w:sz w:val="32"/>
        </w:rPr>
        <w:t>个，全年预算数2</w:t>
      </w:r>
      <w:r>
        <w:rPr>
          <w:rFonts w:hint="eastAsia" w:ascii="仿宋_GB2312" w:hAnsi="仿宋_GB2312" w:eastAsia="仿宋_GB2312"/>
          <w:b w:val="0"/>
          <w:sz w:val="32"/>
          <w:lang w:val="en-US" w:eastAsia="zh-CN"/>
        </w:rPr>
        <w:t>,</w:t>
      </w:r>
      <w:r>
        <w:rPr>
          <w:rFonts w:ascii="仿宋_GB2312" w:hAnsi="仿宋_GB2312" w:eastAsia="仿宋_GB2312"/>
          <w:b w:val="0"/>
          <w:sz w:val="32"/>
        </w:rPr>
        <w:t>260.44万元，全年执行数1</w:t>
      </w:r>
      <w:r>
        <w:rPr>
          <w:rFonts w:hint="eastAsia" w:ascii="仿宋_GB2312" w:hAnsi="仿宋_GB2312" w:eastAsia="仿宋_GB2312"/>
          <w:b w:val="0"/>
          <w:sz w:val="32"/>
          <w:lang w:val="en-US" w:eastAsia="zh-CN"/>
        </w:rPr>
        <w:t>,</w:t>
      </w:r>
      <w:r>
        <w:rPr>
          <w:rFonts w:ascii="仿宋_GB2312" w:hAnsi="仿宋_GB2312" w:eastAsia="仿宋_GB2312"/>
          <w:b w:val="0"/>
          <w:sz w:val="32"/>
        </w:rPr>
        <w:t>988.31万元。预算绩效管理取得的成效：单位预算绩效情况不予公开。发现的问题及原因：单位预算绩效情况不予公开。下一步改进措施：单位预算绩效情况不予公开。</w:t>
      </w:r>
      <w:r>
        <w:rPr>
          <w:rFonts w:hint="eastAsia" w:ascii="仿宋_GB2312" w:hAnsi="仿宋_GB2312" w:eastAsia="仿宋_GB2312"/>
          <w:b w:val="0"/>
          <w:sz w:val="32"/>
          <w:lang w:eastAsia="zh-CN"/>
        </w:rPr>
        <w:t>具体附整体支出绩效自评表。</w:t>
      </w:r>
    </w:p>
    <w:p w14:paraId="4A3C0EF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3797C27">
        <w:tblPrEx>
          <w:tblCellMar>
            <w:top w:w="0" w:type="dxa"/>
            <w:left w:w="108" w:type="dxa"/>
            <w:bottom w:w="0" w:type="dxa"/>
            <w:right w:w="108" w:type="dxa"/>
          </w:tblCellMar>
        </w:tblPrEx>
        <w:tc>
          <w:tcPr>
            <w:tcW w:w="8847" w:type="dxa"/>
            <w:gridSpan w:val="9"/>
            <w:vAlign w:val="center"/>
          </w:tcPr>
          <w:p w14:paraId="343C43C2">
            <w:pPr>
              <w:jc w:val="center"/>
            </w:pPr>
            <w:r>
              <w:rPr>
                <w:rFonts w:ascii="宋体" w:hAnsi="宋体" w:eastAsia="宋体"/>
                <w:sz w:val="24"/>
              </w:rPr>
              <w:t>单位整体支出绩效自评表</w:t>
            </w:r>
          </w:p>
        </w:tc>
      </w:tr>
      <w:tr w14:paraId="2C588FB3">
        <w:tblPrEx>
          <w:tblCellMar>
            <w:top w:w="0" w:type="dxa"/>
            <w:left w:w="108" w:type="dxa"/>
            <w:bottom w:w="0" w:type="dxa"/>
            <w:right w:w="108" w:type="dxa"/>
          </w:tblCellMar>
        </w:tblPrEx>
        <w:tc>
          <w:tcPr>
            <w:tcW w:w="8847" w:type="dxa"/>
            <w:gridSpan w:val="9"/>
            <w:vAlign w:val="center"/>
          </w:tcPr>
          <w:p w14:paraId="1CAC24BC">
            <w:pPr>
              <w:jc w:val="center"/>
            </w:pPr>
            <w:r>
              <w:rPr>
                <w:rFonts w:ascii="宋体" w:hAnsi="宋体" w:eastAsia="宋体"/>
                <w:sz w:val="24"/>
              </w:rPr>
              <w:t>（2024年度）</w:t>
            </w:r>
          </w:p>
        </w:tc>
      </w:tr>
      <w:tr w14:paraId="3C604EE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716BF">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BFEC843">
            <w:pPr>
              <w:jc w:val="center"/>
            </w:pPr>
            <w:r>
              <w:rPr>
                <w:rFonts w:ascii="宋体" w:hAnsi="宋体" w:eastAsia="宋体"/>
                <w:sz w:val="16"/>
              </w:rPr>
              <w:t>疏勒县信访局</w:t>
            </w:r>
          </w:p>
        </w:tc>
      </w:tr>
      <w:tr w14:paraId="4B5B129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E0183B">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F648D">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3667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084828">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D2AAAB">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8B424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338CF">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D2495">
            <w:pPr>
              <w:jc w:val="center"/>
            </w:pPr>
            <w:r>
              <w:rPr>
                <w:rFonts w:ascii="宋体" w:hAnsi="宋体" w:eastAsia="宋体"/>
                <w:sz w:val="16"/>
              </w:rPr>
              <w:t>得分</w:t>
            </w:r>
          </w:p>
        </w:tc>
      </w:tr>
      <w:tr w14:paraId="02D431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DC938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827C98">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AA60F">
            <w:pPr>
              <w:jc w:val="center"/>
            </w:pPr>
            <w:r>
              <w:rPr>
                <w:rFonts w:ascii="宋体" w:hAnsi="宋体" w:eastAsia="宋体"/>
                <w:sz w:val="16"/>
              </w:rPr>
              <w:t>568.22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7EEEA4">
            <w:pPr>
              <w:jc w:val="center"/>
            </w:pPr>
            <w:r>
              <w:rPr>
                <w:rFonts w:ascii="宋体" w:hAnsi="宋体" w:eastAsia="宋体"/>
                <w:sz w:val="16"/>
              </w:rPr>
              <w:t>137.51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5BBD7">
            <w:pPr>
              <w:jc w:val="center"/>
            </w:pPr>
            <w:r>
              <w:rPr>
                <w:rFonts w:ascii="宋体" w:hAnsi="宋体" w:eastAsia="宋体"/>
                <w:sz w:val="16"/>
              </w:rPr>
              <w:t>137.51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3E97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4B23F">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EB157">
            <w:pPr>
              <w:jc w:val="center"/>
            </w:pPr>
            <w:r>
              <w:rPr>
                <w:rFonts w:ascii="宋体" w:hAnsi="宋体" w:eastAsia="宋体"/>
                <w:sz w:val="16"/>
              </w:rPr>
              <w:t>10</w:t>
            </w:r>
          </w:p>
        </w:tc>
      </w:tr>
      <w:tr w14:paraId="22B803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4613B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31616">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C7F30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627A5">
            <w:pPr>
              <w:jc w:val="center"/>
            </w:pPr>
            <w:r>
              <w:rPr>
                <w:rFonts w:ascii="宋体" w:hAnsi="宋体" w:eastAsia="宋体"/>
                <w:sz w:val="16"/>
              </w:rPr>
              <w:t>4.59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84FE4">
            <w:pPr>
              <w:jc w:val="center"/>
            </w:pPr>
            <w:r>
              <w:rPr>
                <w:rFonts w:ascii="宋体" w:hAnsi="宋体" w:eastAsia="宋体"/>
                <w:sz w:val="16"/>
              </w:rPr>
              <w:t>4.59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2AD0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B316C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BC53B">
            <w:pPr>
              <w:jc w:val="center"/>
            </w:pPr>
            <w:r>
              <w:rPr>
                <w:rFonts w:ascii="宋体" w:hAnsi="宋体" w:eastAsia="宋体"/>
                <w:sz w:val="16"/>
              </w:rPr>
              <w:t>—</w:t>
            </w:r>
          </w:p>
        </w:tc>
      </w:tr>
      <w:tr w14:paraId="3D3C29D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D9913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D9EC5">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0945B">
            <w:pPr>
              <w:jc w:val="center"/>
            </w:pPr>
            <w:r>
              <w:rPr>
                <w:rFonts w:ascii="宋体" w:hAnsi="宋体" w:eastAsia="宋体"/>
                <w:sz w:val="16"/>
              </w:rPr>
              <w:t>568.22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00805">
            <w:pPr>
              <w:jc w:val="center"/>
            </w:pPr>
            <w:r>
              <w:rPr>
                <w:rFonts w:ascii="宋体" w:hAnsi="宋体" w:eastAsia="宋体"/>
                <w:sz w:val="16"/>
              </w:rPr>
              <w:t>132.92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83C061">
            <w:pPr>
              <w:jc w:val="center"/>
            </w:pPr>
            <w:r>
              <w:rPr>
                <w:rFonts w:ascii="宋体" w:hAnsi="宋体" w:eastAsia="宋体"/>
                <w:sz w:val="16"/>
              </w:rPr>
              <w:t>132.92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AC10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E98C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21829">
            <w:pPr>
              <w:jc w:val="center"/>
            </w:pPr>
            <w:r>
              <w:rPr>
                <w:rFonts w:ascii="宋体" w:hAnsi="宋体" w:eastAsia="宋体"/>
                <w:sz w:val="16"/>
              </w:rPr>
              <w:t>—</w:t>
            </w:r>
          </w:p>
        </w:tc>
      </w:tr>
      <w:tr w14:paraId="266E34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FB9E5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96E67">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A415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1AF0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CF6EC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17D7F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FD575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81FD8">
            <w:pPr>
              <w:jc w:val="center"/>
            </w:pPr>
            <w:r>
              <w:rPr>
                <w:rFonts w:ascii="宋体" w:hAnsi="宋体" w:eastAsia="宋体"/>
                <w:sz w:val="16"/>
              </w:rPr>
              <w:t>—</w:t>
            </w:r>
          </w:p>
        </w:tc>
      </w:tr>
      <w:tr w14:paraId="445494A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355AD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CA4DC2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6BC1F5">
            <w:pPr>
              <w:jc w:val="center"/>
            </w:pPr>
            <w:r>
              <w:rPr>
                <w:rFonts w:ascii="宋体" w:hAnsi="宋体" w:eastAsia="宋体"/>
                <w:sz w:val="16"/>
              </w:rPr>
              <w:t>实际完成情况</w:t>
            </w:r>
          </w:p>
        </w:tc>
      </w:tr>
      <w:tr w14:paraId="02D519C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FA59F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CA83BB6">
            <w:pPr>
              <w:jc w:val="both"/>
            </w:pPr>
            <w:r>
              <w:rPr>
                <w:rFonts w:ascii="宋体" w:hAnsi="宋体" w:eastAsia="宋体"/>
                <w:sz w:val="16"/>
              </w:rPr>
              <w:t>根据信访工作条例，利用干部下沉走访，各乡镇、单位加大自查自纠的力度，压实走访、入户包联责任，将矛盾纠纷、困难诉求、信访工作一起抓，积极引导群众线下化解矛盾、解决问题，防止矛盾纠纷和困难诉求得不到化解，导致上升为信访问题和越级上访。</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01FA0A">
            <w:pPr>
              <w:jc w:val="both"/>
            </w:pPr>
            <w:r>
              <w:rPr>
                <w:rFonts w:ascii="宋体" w:hAnsi="宋体" w:eastAsia="宋体"/>
                <w:sz w:val="16"/>
              </w:rPr>
              <w:t>2024年，疏勒县信访局在县委、县政府的坚强领导下，坚持以习近平新时代中国特色社会主义思想为指导,深入学习贯彻习近平法治思想、习近平总书记关于加强和改进新时代人民信访工作重要思想，全面贯彻实施《信访工作条例》，持续推进信访工作法治化走深走实，坚守人民信访为人民的初心使命，紧紧围绕全县发展稳定大局，本年度完成《信访工作条例》宣传2次，培训信访信息系统2次，保障信访窗口7个，召开信访联席会议10次，信访件及时受理率100%，信访件按期办结率100%，积极应对信访新形势、新挑战，全力畅通信访渠道，化解信访问题，维护群众合法权益，为促进社会和谐稳定发挥了重要作用。</w:t>
            </w:r>
          </w:p>
        </w:tc>
      </w:tr>
      <w:tr w14:paraId="3A2628A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BABF8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0E5B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4B47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AC015">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2EC7A">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D8DBC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5F93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53D2D9">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8011AF">
            <w:pPr>
              <w:jc w:val="center"/>
            </w:pPr>
            <w:r>
              <w:rPr>
                <w:rFonts w:ascii="宋体" w:hAnsi="宋体" w:eastAsia="宋体"/>
                <w:sz w:val="16"/>
              </w:rPr>
              <w:t>得分</w:t>
            </w:r>
          </w:p>
        </w:tc>
      </w:tr>
      <w:tr w14:paraId="3C1F191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E02A96">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A1390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F0F62">
            <w:pPr>
              <w:jc w:val="center"/>
            </w:pPr>
            <w:r>
              <w:rPr>
                <w:rFonts w:ascii="宋体" w:hAnsi="宋体" w:eastAsia="宋体"/>
                <w:sz w:val="16"/>
              </w:rPr>
              <w:t>信访条例宣传次数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57F1F">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5F35B2">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623A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596490">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A8D0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2DBB9">
            <w:pPr>
              <w:jc w:val="center"/>
            </w:pPr>
            <w:r>
              <w:rPr>
                <w:rFonts w:ascii="宋体" w:hAnsi="宋体" w:eastAsia="宋体"/>
                <w:sz w:val="16"/>
              </w:rPr>
              <w:t>5</w:t>
            </w:r>
          </w:p>
        </w:tc>
      </w:tr>
      <w:tr w14:paraId="14A337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4D826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28FFD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827EB">
            <w:pPr>
              <w:jc w:val="center"/>
            </w:pPr>
            <w:r>
              <w:rPr>
                <w:rFonts w:ascii="宋体" w:hAnsi="宋体" w:eastAsia="宋体"/>
                <w:sz w:val="16"/>
              </w:rPr>
              <w:t>培训信访信息系统次数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5F8EC">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957DF">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DE6C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F58B8">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2035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64B05E">
            <w:pPr>
              <w:jc w:val="center"/>
            </w:pPr>
            <w:r>
              <w:rPr>
                <w:rFonts w:ascii="宋体" w:hAnsi="宋体" w:eastAsia="宋体"/>
                <w:sz w:val="16"/>
              </w:rPr>
              <w:t>5</w:t>
            </w:r>
          </w:p>
        </w:tc>
      </w:tr>
      <w:tr w14:paraId="63E88C4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9A7D9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17158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5C9582">
            <w:pPr>
              <w:jc w:val="center"/>
            </w:pPr>
            <w:r>
              <w:rPr>
                <w:rFonts w:ascii="宋体" w:hAnsi="宋体" w:eastAsia="宋体"/>
                <w:sz w:val="16"/>
              </w:rPr>
              <w:t>保障信访窗口数量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E441E">
            <w:pPr>
              <w:jc w:val="center"/>
            </w:pPr>
            <w:r>
              <w:rPr>
                <w:rFonts w:ascii="宋体" w:hAnsi="宋体" w:eastAsia="宋体"/>
                <w:sz w:val="16"/>
              </w:rPr>
              <w:t>=7个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FF531">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F052E">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99A2D">
            <w:pPr>
              <w:jc w:val="center"/>
            </w:pPr>
            <w:r>
              <w:rPr>
                <w:rFonts w:ascii="宋体" w:hAnsi="宋体" w:eastAsia="宋体"/>
                <w:sz w:val="16"/>
              </w:rPr>
              <w:t>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88D3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A1B8F5">
            <w:pPr>
              <w:jc w:val="center"/>
            </w:pPr>
            <w:r>
              <w:rPr>
                <w:rFonts w:ascii="宋体" w:hAnsi="宋体" w:eastAsia="宋体"/>
                <w:sz w:val="16"/>
              </w:rPr>
              <w:t>25</w:t>
            </w:r>
          </w:p>
        </w:tc>
      </w:tr>
      <w:tr w14:paraId="2ECBC35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7B6D5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C81DA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2C8D1F">
            <w:pPr>
              <w:jc w:val="center"/>
            </w:pPr>
            <w:r>
              <w:rPr>
                <w:rFonts w:ascii="宋体" w:hAnsi="宋体" w:eastAsia="宋体"/>
                <w:sz w:val="16"/>
              </w:rPr>
              <w:t>召开信访工作联席会议次数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972DF">
            <w:pPr>
              <w:jc w:val="center"/>
            </w:pPr>
            <w:r>
              <w:rPr>
                <w:rFonts w:ascii="宋体" w:hAnsi="宋体" w:eastAsia="宋体"/>
                <w:sz w:val="16"/>
              </w:rPr>
              <w:t>&gt;=10次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9080E">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38B27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CBADB7">
            <w:pPr>
              <w:jc w:val="center"/>
            </w:pPr>
            <w:r>
              <w:rPr>
                <w:rFonts w:ascii="宋体" w:hAnsi="宋体" w:eastAsia="宋体"/>
                <w:sz w:val="16"/>
              </w:rPr>
              <w: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D13B2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EB02F">
            <w:pPr>
              <w:jc w:val="center"/>
            </w:pPr>
            <w:r>
              <w:rPr>
                <w:rFonts w:ascii="宋体" w:hAnsi="宋体" w:eastAsia="宋体"/>
                <w:sz w:val="16"/>
              </w:rPr>
              <w:t>5</w:t>
            </w:r>
          </w:p>
        </w:tc>
      </w:tr>
      <w:tr w14:paraId="1306F6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5B20E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E15B2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82C56">
            <w:pPr>
              <w:jc w:val="center"/>
            </w:pPr>
            <w:r>
              <w:rPr>
                <w:rFonts w:ascii="宋体" w:hAnsi="宋体" w:eastAsia="宋体"/>
                <w:sz w:val="16"/>
              </w:rPr>
              <w:t>信访件及时受理率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F20A0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178C6">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85D33">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C642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EAF56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EE34C">
            <w:pPr>
              <w:jc w:val="center"/>
            </w:pPr>
            <w:r>
              <w:rPr>
                <w:rFonts w:ascii="宋体" w:hAnsi="宋体" w:eastAsia="宋体"/>
                <w:sz w:val="16"/>
              </w:rPr>
              <w:t>25</w:t>
            </w:r>
          </w:p>
        </w:tc>
      </w:tr>
      <w:tr w14:paraId="6440A0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A9312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D0EC5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3353FB">
            <w:pPr>
              <w:jc w:val="center"/>
            </w:pPr>
            <w:r>
              <w:rPr>
                <w:rFonts w:ascii="宋体" w:hAnsi="宋体" w:eastAsia="宋体"/>
                <w:sz w:val="16"/>
              </w:rPr>
              <w:t>信访件按期办结率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2ED4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4C64C">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09BC88">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371E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07363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16B4BD">
            <w:pPr>
              <w:jc w:val="center"/>
            </w:pPr>
            <w:r>
              <w:rPr>
                <w:rFonts w:ascii="宋体" w:hAnsi="宋体" w:eastAsia="宋体"/>
                <w:sz w:val="16"/>
              </w:rPr>
              <w:t>25</w:t>
            </w:r>
          </w:p>
        </w:tc>
      </w:tr>
    </w:tbl>
    <w:p w14:paraId="751EE8A1">
      <w:r>
        <w:br w:type="page"/>
      </w:r>
    </w:p>
    <w:p w14:paraId="7755C1EE">
      <w:pPr>
        <w:spacing w:line="640" w:lineRule="exact"/>
        <w:ind w:firstLine="640"/>
        <w:jc w:val="both"/>
        <w:outlineLvl w:val="2"/>
      </w:pPr>
      <w:r>
        <w:rPr>
          <w:rFonts w:ascii="黑体" w:hAnsi="黑体" w:eastAsia="黑体"/>
          <w:sz w:val="32"/>
        </w:rPr>
        <w:t>十二、其他需说明的事项</w:t>
      </w:r>
    </w:p>
    <w:p w14:paraId="52C1B284">
      <w:pPr>
        <w:spacing w:line="580" w:lineRule="exact"/>
        <w:ind w:firstLine="640"/>
        <w:jc w:val="both"/>
      </w:pPr>
      <w:r>
        <w:rPr>
          <w:rFonts w:ascii="仿宋_GB2312" w:hAnsi="仿宋_GB2312" w:eastAsia="仿宋_GB2312"/>
          <w:b w:val="0"/>
          <w:sz w:val="32"/>
        </w:rPr>
        <w:t>本年本单位SM项目1个，全年预算数2</w:t>
      </w:r>
      <w:r>
        <w:rPr>
          <w:rFonts w:hint="eastAsia" w:ascii="仿宋_GB2312" w:hAnsi="仿宋_GB2312" w:eastAsia="仿宋_GB2312"/>
          <w:b w:val="0"/>
          <w:sz w:val="32"/>
          <w:lang w:val="en-US" w:eastAsia="zh-CN"/>
        </w:rPr>
        <w:t>,</w:t>
      </w:r>
      <w:r>
        <w:rPr>
          <w:rFonts w:ascii="仿宋_GB2312" w:hAnsi="仿宋_GB2312" w:eastAsia="仿宋_GB2312"/>
          <w:b w:val="0"/>
          <w:sz w:val="32"/>
        </w:rPr>
        <w:t>260.44万元，全年执行数1</w:t>
      </w:r>
      <w:r>
        <w:rPr>
          <w:rFonts w:hint="eastAsia" w:ascii="仿宋_GB2312" w:hAnsi="仿宋_GB2312" w:eastAsia="仿宋_GB2312"/>
          <w:b w:val="0"/>
          <w:sz w:val="32"/>
          <w:lang w:val="en-US" w:eastAsia="zh-CN"/>
        </w:rPr>
        <w:t>,</w:t>
      </w:r>
      <w:r>
        <w:rPr>
          <w:rFonts w:ascii="仿宋_GB2312" w:hAnsi="仿宋_GB2312" w:eastAsia="仿宋_GB2312"/>
          <w:b w:val="0"/>
          <w:sz w:val="32"/>
        </w:rPr>
        <w:t>988.31万元。</w:t>
      </w:r>
    </w:p>
    <w:p w14:paraId="1DD8FFE2">
      <w:r>
        <w:br w:type="page"/>
      </w:r>
    </w:p>
    <w:p w14:paraId="6F9B5E47">
      <w:pPr>
        <w:spacing w:line="240" w:lineRule="auto"/>
        <w:jc w:val="center"/>
        <w:outlineLvl w:val="1"/>
      </w:pPr>
      <w:r>
        <w:rPr>
          <w:rFonts w:ascii="黑体" w:hAnsi="黑体" w:eastAsia="黑体"/>
          <w:sz w:val="32"/>
        </w:rPr>
        <w:t>第三部分 专业名词解释</w:t>
      </w:r>
    </w:p>
    <w:p w14:paraId="253B3F0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5A31A2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BE7B73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5F3D4D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C53CA0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DB2DDA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5EC531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F0A267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903302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37ED31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F5A67B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FA3927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0DD07F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F3C5D6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060A5D2">
      <w:r>
        <w:br w:type="page"/>
      </w:r>
    </w:p>
    <w:p w14:paraId="51876DDC">
      <w:pPr>
        <w:spacing w:line="240" w:lineRule="auto"/>
        <w:jc w:val="center"/>
        <w:outlineLvl w:val="1"/>
      </w:pPr>
      <w:r>
        <w:rPr>
          <w:rFonts w:ascii="黑体" w:hAnsi="黑体" w:eastAsia="黑体"/>
          <w:sz w:val="32"/>
        </w:rPr>
        <w:t>第四部分 部门决算报表（见附表）</w:t>
      </w:r>
    </w:p>
    <w:p w14:paraId="79E3F9CB">
      <w:pPr>
        <w:spacing w:line="240" w:lineRule="auto"/>
        <w:ind w:firstLine="640"/>
        <w:jc w:val="both"/>
      </w:pPr>
      <w:r>
        <w:rPr>
          <w:rFonts w:ascii="仿宋_GB2312" w:hAnsi="仿宋_GB2312" w:eastAsia="仿宋_GB2312"/>
          <w:b w:val="0"/>
          <w:sz w:val="32"/>
        </w:rPr>
        <w:t>一、《收入支出决算总表》</w:t>
      </w:r>
    </w:p>
    <w:p w14:paraId="6F12BACB">
      <w:pPr>
        <w:spacing w:line="240" w:lineRule="auto"/>
        <w:ind w:firstLine="640"/>
        <w:jc w:val="both"/>
      </w:pPr>
      <w:r>
        <w:rPr>
          <w:rFonts w:ascii="仿宋_GB2312" w:hAnsi="仿宋_GB2312" w:eastAsia="仿宋_GB2312"/>
          <w:b w:val="0"/>
          <w:sz w:val="32"/>
        </w:rPr>
        <w:t>二、《收入决算表》</w:t>
      </w:r>
    </w:p>
    <w:p w14:paraId="0DC9C28C">
      <w:pPr>
        <w:spacing w:line="240" w:lineRule="auto"/>
        <w:ind w:firstLine="640"/>
        <w:jc w:val="both"/>
      </w:pPr>
      <w:r>
        <w:rPr>
          <w:rFonts w:ascii="仿宋_GB2312" w:hAnsi="仿宋_GB2312" w:eastAsia="仿宋_GB2312"/>
          <w:b w:val="0"/>
          <w:sz w:val="32"/>
        </w:rPr>
        <w:t>三、《支出决算表》</w:t>
      </w:r>
    </w:p>
    <w:p w14:paraId="0D69E719">
      <w:pPr>
        <w:spacing w:line="240" w:lineRule="auto"/>
        <w:ind w:firstLine="640"/>
        <w:jc w:val="both"/>
      </w:pPr>
      <w:r>
        <w:rPr>
          <w:rFonts w:ascii="仿宋_GB2312" w:hAnsi="仿宋_GB2312" w:eastAsia="仿宋_GB2312"/>
          <w:b w:val="0"/>
          <w:sz w:val="32"/>
        </w:rPr>
        <w:t>四、《财政拨款收入支出决算总表》</w:t>
      </w:r>
    </w:p>
    <w:p w14:paraId="4B41EF14">
      <w:pPr>
        <w:spacing w:line="240" w:lineRule="auto"/>
        <w:ind w:firstLine="640"/>
        <w:jc w:val="both"/>
      </w:pPr>
      <w:r>
        <w:rPr>
          <w:rFonts w:ascii="仿宋_GB2312" w:hAnsi="仿宋_GB2312" w:eastAsia="仿宋_GB2312"/>
          <w:b w:val="0"/>
          <w:sz w:val="32"/>
        </w:rPr>
        <w:t>五、《一般公共预算财政拨款支出决算表》</w:t>
      </w:r>
    </w:p>
    <w:p w14:paraId="40910E7A">
      <w:pPr>
        <w:spacing w:line="240" w:lineRule="auto"/>
        <w:ind w:firstLine="640"/>
        <w:jc w:val="both"/>
      </w:pPr>
      <w:r>
        <w:rPr>
          <w:rFonts w:ascii="仿宋_GB2312" w:hAnsi="仿宋_GB2312" w:eastAsia="仿宋_GB2312"/>
          <w:b w:val="0"/>
          <w:sz w:val="32"/>
        </w:rPr>
        <w:t>六、《一般公共预算财政拨款基本支出决算表》</w:t>
      </w:r>
    </w:p>
    <w:p w14:paraId="00DEB9D1">
      <w:pPr>
        <w:spacing w:line="240" w:lineRule="auto"/>
        <w:ind w:firstLine="640"/>
        <w:jc w:val="both"/>
      </w:pPr>
      <w:r>
        <w:rPr>
          <w:rFonts w:ascii="仿宋_GB2312" w:hAnsi="仿宋_GB2312" w:eastAsia="仿宋_GB2312"/>
          <w:b w:val="0"/>
          <w:sz w:val="32"/>
        </w:rPr>
        <w:t>七、《政府性基金预算财政拨款收入支出决算表》</w:t>
      </w:r>
    </w:p>
    <w:p w14:paraId="3D960388">
      <w:pPr>
        <w:spacing w:line="240" w:lineRule="auto"/>
        <w:ind w:firstLine="640"/>
        <w:jc w:val="both"/>
      </w:pPr>
      <w:r>
        <w:rPr>
          <w:rFonts w:ascii="仿宋_GB2312" w:hAnsi="仿宋_GB2312" w:eastAsia="仿宋_GB2312"/>
          <w:b w:val="0"/>
          <w:sz w:val="32"/>
        </w:rPr>
        <w:t>八、《国有资本经营预算财政拨款收入支出决算表》</w:t>
      </w:r>
    </w:p>
    <w:p w14:paraId="724AE942">
      <w:pPr>
        <w:spacing w:line="240" w:lineRule="auto"/>
        <w:ind w:firstLine="640"/>
        <w:jc w:val="both"/>
      </w:pPr>
      <w:r>
        <w:rPr>
          <w:rFonts w:ascii="仿宋_GB2312" w:hAnsi="仿宋_GB2312" w:eastAsia="仿宋_GB2312"/>
          <w:b w:val="0"/>
          <w:sz w:val="32"/>
        </w:rPr>
        <w:t>九、《财政拨款“三公”经费支出决算表》</w:t>
      </w:r>
    </w:p>
    <w:p w14:paraId="6CA9220F">
      <w:pPr>
        <w:spacing w:line="240" w:lineRule="auto"/>
        <w:ind w:firstLine="640"/>
        <w:jc w:val="both"/>
      </w:pPr>
    </w:p>
    <w:p w14:paraId="406EB6A5">
      <w:pPr>
        <w:spacing w:line="240" w:lineRule="auto"/>
        <w:ind w:firstLine="640"/>
        <w:jc w:val="both"/>
      </w:pPr>
    </w:p>
    <w:p w14:paraId="4E659CBB">
      <w:pPr>
        <w:spacing w:line="240" w:lineRule="auto"/>
        <w:ind w:firstLine="640"/>
        <w:jc w:val="both"/>
      </w:pPr>
    </w:p>
    <w:p w14:paraId="17B43672">
      <w:pPr>
        <w:spacing w:line="240" w:lineRule="auto"/>
        <w:ind w:firstLine="640"/>
        <w:jc w:val="both"/>
      </w:pPr>
    </w:p>
    <w:p w14:paraId="468C96B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111313"/>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B171A8"/>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4382</Words>
  <Characters>5028</Characters>
  <Lines>0</Lines>
  <Paragraphs>0</Paragraphs>
  <TotalTime>1</TotalTime>
  <ScaleCrop>false</ScaleCrop>
  <LinksUpToDate>false</LinksUpToDate>
  <CharactersWithSpaces>5036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2025-09-26T10:17:42Z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