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疏勒县妇女联合会2024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E85D219">
      <w:r>
        <w:br w:type="page"/>
      </w:r>
    </w:p>
    <w:p w14:paraId="1CD9DD75">
      <w:pPr>
        <w:spacing w:line="640" w:lineRule="exact"/>
        <w:jc w:val="center"/>
        <w:outlineLvl w:val="1"/>
      </w:pPr>
      <w:r>
        <w:rPr>
          <w:rFonts w:ascii="黑体" w:hAnsi="黑体" w:eastAsia="黑体"/>
          <w:sz w:val="32"/>
        </w:rPr>
        <w:t>第一部分 单位概况</w:t>
      </w:r>
    </w:p>
    <w:p w14:paraId="68530AE4">
      <w:pPr>
        <w:spacing w:line="640" w:lineRule="exact"/>
        <w:ind w:firstLine="640"/>
        <w:jc w:val="both"/>
        <w:outlineLvl w:val="2"/>
      </w:pPr>
      <w:r>
        <w:rPr>
          <w:rFonts w:ascii="黑体" w:hAnsi="黑体" w:eastAsia="黑体"/>
          <w:sz w:val="32"/>
        </w:rPr>
        <w:t>一、主要职能</w:t>
      </w:r>
    </w:p>
    <w:p w14:paraId="77C53197">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根据《中华全国妇女联合会章程》的规定及县妇联的要求，研究制定我县妇女、儿童、家庭工作的计划和具体措施，组织召开县妇女代表大会和执行委员会会议。</w:t>
      </w:r>
    </w:p>
    <w:p w14:paraId="45653EDE">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动员和组织全县广大妇女积极投身于以构建和谐社会为目标，以提高妇女素质为宗旨，以“四有、四自”教育为主要内容的“巾帼建功”活动。总结推广开展这一活动的经验，宣传表彰先进典型，激发妇女参与经济建设的积极性。</w:t>
      </w:r>
    </w:p>
    <w:p w14:paraId="35900E58">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依照《</w:t>
      </w:r>
      <w:r>
        <w:rPr>
          <w:rFonts w:hint="eastAsia" w:ascii="仿宋_GB2312" w:hAnsi="仿宋_GB2312" w:eastAsia="仿宋_GB2312"/>
          <w:sz w:val="32"/>
          <w:lang w:eastAsia="zh-CN"/>
        </w:rPr>
        <w:t>中华人民共和国妇女权益保障法</w:t>
      </w:r>
      <w:r>
        <w:rPr>
          <w:rFonts w:ascii="仿宋_GB2312" w:hAnsi="仿宋_GB2312" w:eastAsia="仿宋_GB2312"/>
          <w:sz w:val="32"/>
        </w:rPr>
        <w:t>》和《中华人民共和国未成年人保护法》，维护妇女、儿童的合法权益，积极开展普法宣传和教育，认真做好来信来访以及法律咨询工作，并配合有关部门抓好典型案例的调查处理。</w:t>
      </w:r>
    </w:p>
    <w:p w14:paraId="11D738C4">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负责做好妇女的思想政治工作，关心她们的学习和生活，反映她们的意见、建议和要求，为妇女办好事、办实事。</w:t>
      </w:r>
    </w:p>
    <w:p w14:paraId="7BAF209A">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负责开展“五好文明家庭”评选活动，积极倡导文明、健康、科学的生活方式。</w:t>
      </w:r>
    </w:p>
    <w:p w14:paraId="768DDA5D">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负责宣传、表彰妇女中的先进人物和事迹，促进妇女人才的成长，并向党组织推荐优秀妇女人才。</w:t>
      </w:r>
    </w:p>
    <w:p w14:paraId="392925A8">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负责基层妇女组织的组织建设和思想建设，深入基层，调查研究，掌握信息，及时向县委和省、市妇联传递妇女、儿童及家庭方面的动态，为领导决策提供可靠的依据。</w:t>
      </w:r>
    </w:p>
    <w:p w14:paraId="1273901B">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组织开展有利于妇女团结、身心健康的文化、体育、娱乐活动。</w:t>
      </w:r>
    </w:p>
    <w:p w14:paraId="68880187">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完成</w:t>
      </w:r>
      <w:r>
        <w:rPr>
          <w:rFonts w:hint="eastAsia" w:ascii="仿宋_GB2312" w:hAnsi="仿宋_GB2312" w:eastAsia="仿宋_GB2312"/>
          <w:sz w:val="32"/>
          <w:lang w:eastAsia="zh-CN"/>
        </w:rPr>
        <w:t>县委、县政府</w:t>
      </w:r>
      <w:r>
        <w:rPr>
          <w:rFonts w:ascii="仿宋_GB2312" w:hAnsi="仿宋_GB2312" w:eastAsia="仿宋_GB2312"/>
          <w:sz w:val="32"/>
        </w:rPr>
        <w:t>交办的其他工作任务。</w:t>
      </w:r>
    </w:p>
    <w:p w14:paraId="637F3BCF">
      <w:pPr>
        <w:spacing w:line="640" w:lineRule="exact"/>
        <w:ind w:firstLine="640"/>
        <w:jc w:val="both"/>
        <w:outlineLvl w:val="2"/>
      </w:pPr>
      <w:r>
        <w:rPr>
          <w:rFonts w:ascii="黑体" w:hAnsi="黑体" w:eastAsia="黑体"/>
          <w:sz w:val="32"/>
        </w:rPr>
        <w:t>二、机构设置及人员情况</w:t>
      </w:r>
    </w:p>
    <w:p w14:paraId="365BB630">
      <w:pPr>
        <w:spacing w:line="580" w:lineRule="exact"/>
        <w:ind w:firstLine="640"/>
        <w:jc w:val="both"/>
      </w:pPr>
      <w:r>
        <w:rPr>
          <w:rFonts w:ascii="仿宋_GB2312" w:hAnsi="仿宋_GB2312" w:eastAsia="仿宋_GB2312"/>
          <w:sz w:val="32"/>
        </w:rPr>
        <w:t>疏勒县妇女联合会2024年度，实有人数11人，其中：在职人员6人，增加1人；离休人员0人，增加0人；退休人员5人,减少1人。</w:t>
      </w:r>
    </w:p>
    <w:p w14:paraId="2941C67D">
      <w:pPr>
        <w:spacing w:line="580" w:lineRule="exact"/>
        <w:ind w:firstLine="640"/>
        <w:jc w:val="both"/>
      </w:pPr>
      <w:r>
        <w:rPr>
          <w:rFonts w:ascii="仿宋_GB2312" w:hAnsi="仿宋_GB2312" w:eastAsia="仿宋_GB2312"/>
          <w:sz w:val="32"/>
        </w:rPr>
        <w:t>疏勒县妇女联合会无下属预算单位，下设1个科室，分别是：疏勒县妇女联合会妇女儿童工作委员会办公室。</w:t>
      </w:r>
    </w:p>
    <w:p w14:paraId="1887AEA6">
      <w:r>
        <w:br w:type="page"/>
      </w:r>
    </w:p>
    <w:p w14:paraId="70108748">
      <w:pPr>
        <w:spacing w:line="240" w:lineRule="auto"/>
        <w:jc w:val="center"/>
        <w:outlineLvl w:val="1"/>
      </w:pPr>
      <w:r>
        <w:rPr>
          <w:rFonts w:ascii="黑体" w:hAnsi="黑体" w:eastAsia="黑体"/>
          <w:sz w:val="32"/>
        </w:rPr>
        <w:t>第二部分 部门决算情况说明</w:t>
      </w:r>
    </w:p>
    <w:p w14:paraId="5069BA3E">
      <w:pPr>
        <w:spacing w:line="640" w:lineRule="exact"/>
        <w:ind w:firstLine="640"/>
        <w:jc w:val="both"/>
        <w:outlineLvl w:val="2"/>
      </w:pPr>
      <w:r>
        <w:rPr>
          <w:rFonts w:ascii="黑体" w:hAnsi="黑体" w:eastAsia="黑体"/>
          <w:sz w:val="32"/>
        </w:rPr>
        <w:t>一、收入支出决算总体情况说明</w:t>
      </w:r>
    </w:p>
    <w:p w14:paraId="040F10B5">
      <w:pPr>
        <w:spacing w:line="580" w:lineRule="exact"/>
        <w:ind w:firstLine="640"/>
        <w:jc w:val="both"/>
      </w:pPr>
      <w:r>
        <w:rPr>
          <w:rFonts w:ascii="仿宋_GB2312" w:hAnsi="仿宋_GB2312" w:eastAsia="仿宋_GB2312"/>
          <w:b/>
          <w:sz w:val="32"/>
        </w:rPr>
        <w:t>2024年度收入总计176.25万元，</w:t>
      </w:r>
      <w:r>
        <w:rPr>
          <w:rFonts w:ascii="仿宋_GB2312" w:hAnsi="仿宋_GB2312" w:eastAsia="仿宋_GB2312"/>
          <w:b w:val="0"/>
          <w:sz w:val="32"/>
        </w:rPr>
        <w:t>其中：本年收入合计176.25万元，使用非财政拨款结余（含专用结余）0.00万元，年初结转和结余0.00万元。</w:t>
      </w:r>
    </w:p>
    <w:p w14:paraId="456A7861">
      <w:pPr>
        <w:spacing w:line="580" w:lineRule="exact"/>
        <w:ind w:firstLine="640"/>
        <w:jc w:val="both"/>
      </w:pPr>
      <w:r>
        <w:rPr>
          <w:rFonts w:ascii="仿宋_GB2312" w:hAnsi="仿宋_GB2312" w:eastAsia="仿宋_GB2312"/>
          <w:b/>
          <w:sz w:val="32"/>
        </w:rPr>
        <w:t>2024年度支出总计176.25万元，</w:t>
      </w:r>
      <w:r>
        <w:rPr>
          <w:rFonts w:ascii="仿宋_GB2312" w:hAnsi="仿宋_GB2312" w:eastAsia="仿宋_GB2312"/>
          <w:b w:val="0"/>
          <w:sz w:val="32"/>
        </w:rPr>
        <w:t>其中：本年支出合计176.25万元，结余分配0.00万元，年末结转和结余0.00万元。</w:t>
      </w:r>
    </w:p>
    <w:p w14:paraId="4CDC5603">
      <w:pPr>
        <w:spacing w:line="580" w:lineRule="exact"/>
        <w:ind w:firstLine="640"/>
        <w:jc w:val="both"/>
      </w:pPr>
      <w:r>
        <w:rPr>
          <w:rFonts w:ascii="仿宋_GB2312" w:hAnsi="仿宋_GB2312" w:eastAsia="仿宋_GB2312"/>
          <w:b w:val="0"/>
          <w:sz w:val="32"/>
        </w:rPr>
        <w:t>收入支出总体与上年相比，减少72.19万元，下降29.06%，主要原因是：本年度疏勒县2024年“石榴花最美家庭及优秀少年融情活动”项目经费减少。</w:t>
      </w:r>
    </w:p>
    <w:p w14:paraId="0474E6D5">
      <w:pPr>
        <w:spacing w:line="640" w:lineRule="exact"/>
        <w:ind w:firstLine="640"/>
        <w:jc w:val="both"/>
        <w:outlineLvl w:val="2"/>
      </w:pPr>
      <w:r>
        <w:rPr>
          <w:rFonts w:ascii="黑体" w:hAnsi="黑体" w:eastAsia="黑体"/>
          <w:sz w:val="32"/>
        </w:rPr>
        <w:t>二、收入决算情况说明</w:t>
      </w:r>
    </w:p>
    <w:p w14:paraId="3C69A6E8">
      <w:pPr>
        <w:spacing w:line="580" w:lineRule="exact"/>
        <w:ind w:firstLine="640"/>
        <w:jc w:val="both"/>
      </w:pPr>
      <w:r>
        <w:rPr>
          <w:rFonts w:ascii="仿宋_GB2312" w:hAnsi="仿宋_GB2312" w:eastAsia="仿宋_GB2312"/>
          <w:b/>
          <w:sz w:val="32"/>
        </w:rPr>
        <w:t>本年收入176.25万元，</w:t>
      </w:r>
      <w:r>
        <w:rPr>
          <w:rFonts w:ascii="仿宋_GB2312" w:hAnsi="仿宋_GB2312" w:eastAsia="仿宋_GB2312"/>
          <w:b w:val="0"/>
          <w:sz w:val="32"/>
        </w:rPr>
        <w:t>其中：财政拨款收入109.08万元，占61.89%；上级补助收入0.00万元，占0.00%；事业收入0.00万元，占0.00%；经营收入0.00万元，占0.00%；附属单位上缴收入0.00万元，占0.00%；其他收入67.17万元，占38.11%。</w:t>
      </w:r>
    </w:p>
    <w:p w14:paraId="55A7FC37">
      <w:pPr>
        <w:spacing w:line="640" w:lineRule="exact"/>
        <w:ind w:firstLine="640"/>
        <w:jc w:val="both"/>
        <w:outlineLvl w:val="2"/>
      </w:pPr>
      <w:r>
        <w:rPr>
          <w:rFonts w:ascii="黑体" w:hAnsi="黑体" w:eastAsia="黑体"/>
          <w:sz w:val="32"/>
        </w:rPr>
        <w:t>三、支出决算情况说明</w:t>
      </w:r>
    </w:p>
    <w:p w14:paraId="7A3FCC97">
      <w:pPr>
        <w:spacing w:line="580" w:lineRule="exact"/>
        <w:ind w:firstLine="640"/>
        <w:jc w:val="both"/>
      </w:pPr>
      <w:r>
        <w:rPr>
          <w:rFonts w:ascii="仿宋_GB2312" w:hAnsi="仿宋_GB2312" w:eastAsia="仿宋_GB2312"/>
          <w:b/>
          <w:sz w:val="32"/>
        </w:rPr>
        <w:t>本年支出176.25万元，</w:t>
      </w:r>
      <w:r>
        <w:rPr>
          <w:rFonts w:ascii="仿宋_GB2312" w:hAnsi="仿宋_GB2312" w:eastAsia="仿宋_GB2312"/>
          <w:b w:val="0"/>
          <w:sz w:val="32"/>
        </w:rPr>
        <w:t>其中：基本支出103.00万元，占58.44%；项目支出73.25万元，占41.56%；上缴上级支出0.00万元，占0.00%；经营支出0.00万元，占0.00%；对附属单位补助支出0.00万元，占0.00%。</w:t>
      </w:r>
    </w:p>
    <w:p w14:paraId="40E46D49">
      <w:pPr>
        <w:spacing w:line="640" w:lineRule="exact"/>
        <w:ind w:firstLine="640"/>
        <w:jc w:val="both"/>
        <w:outlineLvl w:val="2"/>
      </w:pPr>
      <w:r>
        <w:rPr>
          <w:rFonts w:ascii="黑体" w:hAnsi="黑体" w:eastAsia="黑体"/>
          <w:sz w:val="32"/>
        </w:rPr>
        <w:t>四、财政拨款收入支出决算总体情况说明</w:t>
      </w:r>
    </w:p>
    <w:p w14:paraId="59F258D5">
      <w:pPr>
        <w:spacing w:line="580" w:lineRule="exact"/>
        <w:ind w:firstLine="640"/>
        <w:jc w:val="both"/>
      </w:pPr>
      <w:r>
        <w:rPr>
          <w:rFonts w:ascii="仿宋_GB2312" w:hAnsi="仿宋_GB2312" w:eastAsia="仿宋_GB2312"/>
          <w:b/>
          <w:sz w:val="32"/>
        </w:rPr>
        <w:t>2024年度财政拨款收入总计109.08万元，</w:t>
      </w:r>
      <w:r>
        <w:rPr>
          <w:rFonts w:ascii="仿宋_GB2312" w:hAnsi="仿宋_GB2312" w:eastAsia="仿宋_GB2312"/>
          <w:b w:val="0"/>
          <w:sz w:val="32"/>
        </w:rPr>
        <w:t>其中：年初财政拨款结转和结余0.00万元，本年财政拨款收入109.08万元。</w:t>
      </w:r>
      <w:r>
        <w:rPr>
          <w:rFonts w:ascii="仿宋_GB2312" w:hAnsi="仿宋_GB2312" w:eastAsia="仿宋_GB2312"/>
          <w:b/>
          <w:sz w:val="32"/>
        </w:rPr>
        <w:t>财政拨款支出总计109.08万元，</w:t>
      </w:r>
      <w:r>
        <w:rPr>
          <w:rFonts w:ascii="仿宋_GB2312" w:hAnsi="仿宋_GB2312" w:eastAsia="仿宋_GB2312"/>
          <w:b w:val="0"/>
          <w:sz w:val="32"/>
        </w:rPr>
        <w:t>其中：年末财政拨款结转和结余0.00万元，本年财政拨款支出109.08万元。</w:t>
      </w:r>
    </w:p>
    <w:p w14:paraId="4A0A328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增加2.62万元，增长2.46%，主要原因是：本年在职人员增加，人员工资调增，社保、公积金基数调增，人员经费增加。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年初预算数91.76万元，决算数109.08万元，预决算差异率18.88%，主要原因是：年中追加人员工资、社保、公积金基数调增部分资金，导致预决算存在差异。</w:t>
      </w:r>
    </w:p>
    <w:p w14:paraId="06014BB8">
      <w:pPr>
        <w:spacing w:line="640" w:lineRule="exact"/>
        <w:ind w:firstLine="640"/>
        <w:jc w:val="both"/>
        <w:outlineLvl w:val="2"/>
      </w:pPr>
      <w:r>
        <w:rPr>
          <w:rFonts w:ascii="黑体" w:hAnsi="黑体" w:eastAsia="黑体"/>
          <w:sz w:val="32"/>
        </w:rPr>
        <w:t>五、一般公共预算财政拨款支出决算情况说明</w:t>
      </w:r>
    </w:p>
    <w:p w14:paraId="480BAE43">
      <w:pPr>
        <w:spacing w:line="640" w:lineRule="exact"/>
        <w:ind w:firstLine="640"/>
        <w:jc w:val="both"/>
        <w:outlineLvl w:val="3"/>
      </w:pPr>
      <w:r>
        <w:rPr>
          <w:rFonts w:ascii="楷体_GB2312" w:hAnsi="楷体_GB2312" w:eastAsia="楷体_GB2312"/>
          <w:b/>
          <w:sz w:val="32"/>
        </w:rPr>
        <w:t>（一）一般公共预算财政拨款支出决算总体情况</w:t>
      </w:r>
    </w:p>
    <w:p w14:paraId="46150974">
      <w:pPr>
        <w:spacing w:line="580" w:lineRule="exact"/>
        <w:ind w:firstLine="640"/>
        <w:jc w:val="both"/>
      </w:pPr>
      <w:r>
        <w:rPr>
          <w:rFonts w:ascii="仿宋_GB2312" w:hAnsi="仿宋_GB2312" w:eastAsia="仿宋_GB2312"/>
          <w:b/>
          <w:sz w:val="32"/>
        </w:rPr>
        <w:t>2024年度一般公共预算财政拨款支出109.08万元，</w:t>
      </w:r>
      <w:r>
        <w:rPr>
          <w:rFonts w:ascii="仿宋_GB2312" w:hAnsi="仿宋_GB2312" w:eastAsia="仿宋_GB2312"/>
          <w:b w:val="0"/>
          <w:sz w:val="32"/>
        </w:rPr>
        <w:t>占本年支出合计的61.89%。</w:t>
      </w:r>
      <w:r>
        <w:rPr>
          <w:rFonts w:ascii="仿宋_GB2312" w:hAnsi="仿宋_GB2312" w:eastAsia="仿宋_GB2312"/>
          <w:b/>
          <w:sz w:val="32"/>
        </w:rPr>
        <w:t>与上年相比，</w:t>
      </w:r>
      <w:r>
        <w:rPr>
          <w:rFonts w:ascii="仿宋_GB2312" w:hAnsi="仿宋_GB2312" w:eastAsia="仿宋_GB2312"/>
          <w:b w:val="0"/>
          <w:sz w:val="32"/>
        </w:rPr>
        <w:t>增加2.62万元，增长2.46%，主要原因是：本年在职人员增加，人员工资调增，社保、公积金基数调增，人员经费增加。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年初预算数91.76万元，决算数109.08万元，预决算差异率18.88%，主要原因是：年中追加人员工资、社保、公积金基数调增部分资金，导致预决算存在差异。</w:t>
      </w:r>
    </w:p>
    <w:p w14:paraId="1309DE16">
      <w:pPr>
        <w:spacing w:line="640" w:lineRule="exact"/>
        <w:ind w:firstLine="640"/>
        <w:jc w:val="both"/>
        <w:outlineLvl w:val="3"/>
      </w:pPr>
      <w:r>
        <w:rPr>
          <w:rFonts w:ascii="楷体_GB2312" w:hAnsi="楷体_GB2312" w:eastAsia="楷体_GB2312"/>
          <w:b/>
          <w:sz w:val="32"/>
        </w:rPr>
        <w:t>（二）一般公共预算财政拨款支出决算结构情况</w:t>
      </w:r>
    </w:p>
    <w:p w14:paraId="0DB410E6">
      <w:pPr>
        <w:spacing w:line="580" w:lineRule="exact"/>
        <w:ind w:firstLine="640"/>
        <w:jc w:val="both"/>
      </w:pPr>
      <w:r>
        <w:rPr>
          <w:rFonts w:ascii="仿宋_GB2312" w:hAnsi="仿宋_GB2312" w:eastAsia="仿宋_GB2312"/>
          <w:b w:val="0"/>
          <w:sz w:val="32"/>
        </w:rPr>
        <w:t>1.一般公共服务支出(类)76.00万元,占69.67%。</w:t>
      </w:r>
    </w:p>
    <w:p w14:paraId="498B067D">
      <w:pPr>
        <w:spacing w:line="580" w:lineRule="exact"/>
        <w:ind w:firstLine="640"/>
        <w:jc w:val="both"/>
      </w:pPr>
      <w:r>
        <w:rPr>
          <w:rFonts w:ascii="仿宋_GB2312" w:hAnsi="仿宋_GB2312" w:eastAsia="仿宋_GB2312"/>
          <w:b w:val="0"/>
          <w:sz w:val="32"/>
        </w:rPr>
        <w:t>2.社会保障和就业支出(类)16.79万元,占15.39%。</w:t>
      </w:r>
    </w:p>
    <w:p w14:paraId="1451F841">
      <w:pPr>
        <w:spacing w:line="580" w:lineRule="exact"/>
        <w:ind w:firstLine="640"/>
        <w:jc w:val="both"/>
      </w:pPr>
      <w:r>
        <w:rPr>
          <w:rFonts w:ascii="仿宋_GB2312" w:hAnsi="仿宋_GB2312" w:eastAsia="仿宋_GB2312"/>
          <w:b w:val="0"/>
          <w:sz w:val="32"/>
        </w:rPr>
        <w:t>3.卫生健康支出(类)4.05万元,占3.71%。</w:t>
      </w:r>
    </w:p>
    <w:p w14:paraId="4241BA02">
      <w:pPr>
        <w:spacing w:line="580" w:lineRule="exact"/>
        <w:ind w:firstLine="640"/>
        <w:jc w:val="both"/>
      </w:pPr>
      <w:r>
        <w:rPr>
          <w:rFonts w:ascii="仿宋_GB2312" w:hAnsi="仿宋_GB2312" w:eastAsia="仿宋_GB2312"/>
          <w:b w:val="0"/>
          <w:sz w:val="32"/>
        </w:rPr>
        <w:t>4.农林水支出(类)5.08万元,占4.66%。</w:t>
      </w:r>
    </w:p>
    <w:p w14:paraId="4C359082">
      <w:pPr>
        <w:spacing w:line="580" w:lineRule="exact"/>
        <w:ind w:firstLine="640"/>
        <w:jc w:val="both"/>
      </w:pPr>
      <w:r>
        <w:rPr>
          <w:rFonts w:ascii="仿宋_GB2312" w:hAnsi="仿宋_GB2312" w:eastAsia="仿宋_GB2312"/>
          <w:b w:val="0"/>
          <w:sz w:val="32"/>
        </w:rPr>
        <w:t>5.住房保障支出(类)7.16万元,占6.56%。</w:t>
      </w:r>
    </w:p>
    <w:p w14:paraId="688662D3">
      <w:pPr>
        <w:spacing w:line="640" w:lineRule="exact"/>
        <w:ind w:firstLine="640"/>
        <w:jc w:val="both"/>
        <w:outlineLvl w:val="3"/>
      </w:pPr>
      <w:r>
        <w:rPr>
          <w:rFonts w:ascii="楷体_GB2312" w:hAnsi="楷体_GB2312" w:eastAsia="楷体_GB2312"/>
          <w:b/>
          <w:sz w:val="32"/>
        </w:rPr>
        <w:t>（三）一般公共预算财政拨款支出决算具体情况</w:t>
      </w:r>
    </w:p>
    <w:p w14:paraId="2A1832A0">
      <w:pPr>
        <w:spacing w:line="580" w:lineRule="exact"/>
        <w:ind w:firstLine="640"/>
        <w:jc w:val="both"/>
      </w:pPr>
      <w:r>
        <w:rPr>
          <w:rFonts w:ascii="仿宋_GB2312" w:hAnsi="仿宋_GB2312" w:eastAsia="仿宋_GB2312"/>
          <w:b w:val="0"/>
          <w:sz w:val="32"/>
        </w:rPr>
        <w:t>1.一般公共服务支出(类)群众团体事务(款)行政运行(项):支出决算数为75.00万元，比上年决算减少0.13万元，下降0.17%,主要原因是：本年度减少疏勒县妇联庆祝国际劳动“三八”妇女节活动经费项目。</w:t>
      </w:r>
    </w:p>
    <w:p w14:paraId="7697BAC3">
      <w:pPr>
        <w:spacing w:line="580" w:lineRule="exact"/>
        <w:ind w:firstLine="640"/>
        <w:jc w:val="both"/>
      </w:pPr>
      <w:r>
        <w:rPr>
          <w:rFonts w:ascii="仿宋_GB2312" w:hAnsi="仿宋_GB2312" w:eastAsia="仿宋_GB2312"/>
          <w:b w:val="0"/>
          <w:sz w:val="32"/>
        </w:rPr>
        <w:t>2.一般公共服务支出(类)群众团体事务(款)其他群众团体事务支出(项):支出决算数为1.00万元，比上年决算增加0.70万元，增长233.33%,主要原因是：本年度2024年妇女儿童工作经费增加。</w:t>
      </w:r>
    </w:p>
    <w:p w14:paraId="549655F3">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3.社会保障和就业支出(类)行政事业单位养老支出(款)行政单位离退休(项):支出决算数为7.76万元，比上年决算增加0.98万元，增长14.45%,主要原因是：本年增加退休人员基础绩效奖，退休费支出增加。</w:t>
      </w:r>
    </w:p>
    <w:p w14:paraId="0DCB7C79">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9.03万元，比上年决算增加0.44万元，增长5.12%,主要原因是：本年在职人员增加，养老保险缴费较上年增加。</w:t>
      </w:r>
    </w:p>
    <w:p w14:paraId="69D6BF74">
      <w:pPr>
        <w:spacing w:line="580" w:lineRule="exact"/>
        <w:ind w:firstLine="640"/>
        <w:jc w:val="both"/>
      </w:pPr>
      <w:r>
        <w:rPr>
          <w:rFonts w:ascii="仿宋_GB2312" w:hAnsi="仿宋_GB2312" w:eastAsia="仿宋_GB2312"/>
          <w:b w:val="0"/>
          <w:sz w:val="32"/>
        </w:rPr>
        <w:t>5.卫生健康支出(类)行政事业单位医疗(款)行政单位医疗(项):支出决算数为3.57万元，比上年决算减少0.08万元，下降2.19%,主要原因是：本年在职人员调入调出，人员职级不同，缴费基数不同，导致行政单位医疗较上年减少。</w:t>
      </w:r>
    </w:p>
    <w:p w14:paraId="53E623BF">
      <w:pPr>
        <w:spacing w:line="580" w:lineRule="exact"/>
        <w:ind w:firstLine="640"/>
        <w:jc w:val="both"/>
      </w:pPr>
      <w:r>
        <w:rPr>
          <w:rFonts w:ascii="仿宋_GB2312" w:hAnsi="仿宋_GB2312" w:eastAsia="仿宋_GB2312"/>
          <w:b w:val="0"/>
          <w:sz w:val="32"/>
        </w:rPr>
        <w:t>6.卫生健康支出(类)行政事业单位医疗(款)公务员医疗补助(项):支出决算数为0.47万元，比上年决算减少0.73万元，下降60.83%,主要原因是：本年在职人员调入调出，人员职级不同，缴费基数不同，导致公务员医疗补助较上年减少。</w:t>
      </w:r>
    </w:p>
    <w:p w14:paraId="4F293080">
      <w:pPr>
        <w:spacing w:line="580" w:lineRule="exact"/>
        <w:ind w:firstLine="640"/>
        <w:jc w:val="both"/>
      </w:pPr>
      <w:r>
        <w:rPr>
          <w:rFonts w:ascii="仿宋_GB2312" w:hAnsi="仿宋_GB2312" w:eastAsia="仿宋_GB2312"/>
          <w:b w:val="0"/>
          <w:sz w:val="32"/>
        </w:rPr>
        <w:t>7.农林水支出(类)农业农村(款)其他农业农村支出(项):支出决算数为5.08万元，比上年决算增加1.00万元，增长24.51%,主要原因是：本年度增加为民办实事经费项目。</w:t>
      </w:r>
    </w:p>
    <w:p w14:paraId="5AD96027">
      <w:pPr>
        <w:spacing w:line="580" w:lineRule="exact"/>
        <w:ind w:firstLine="640"/>
        <w:jc w:val="both"/>
      </w:pPr>
      <w:r>
        <w:rPr>
          <w:rFonts w:ascii="仿宋_GB2312" w:hAnsi="仿宋_GB2312" w:eastAsia="仿宋_GB2312"/>
          <w:b w:val="0"/>
          <w:sz w:val="32"/>
        </w:rPr>
        <w:t>8.住房保障支出(类)住房改革支出(款)住房公积金(项):支出决算数为7.16万元，比上年决算增加0.42万元，增长6.23%,主要原因是：本年在职人员增加，住房公积金支出较上年增加。</w:t>
      </w:r>
    </w:p>
    <w:p w14:paraId="0F055F2C">
      <w:pPr>
        <w:spacing w:line="640" w:lineRule="exact"/>
        <w:ind w:firstLine="640"/>
        <w:jc w:val="both"/>
        <w:outlineLvl w:val="2"/>
      </w:pPr>
      <w:r>
        <w:rPr>
          <w:rFonts w:ascii="黑体" w:hAnsi="黑体" w:eastAsia="黑体"/>
          <w:sz w:val="32"/>
        </w:rPr>
        <w:t>六、一般公共预算财政拨款基本支出决算情况说明</w:t>
      </w:r>
    </w:p>
    <w:p w14:paraId="0A41DB5E">
      <w:pPr>
        <w:spacing w:line="580" w:lineRule="exact"/>
        <w:ind w:firstLine="640"/>
        <w:jc w:val="both"/>
      </w:pPr>
      <w:r>
        <w:rPr>
          <w:rFonts w:ascii="仿宋_GB2312" w:hAnsi="仿宋_GB2312" w:eastAsia="仿宋_GB2312"/>
          <w:b w:val="0"/>
          <w:sz w:val="32"/>
        </w:rPr>
        <w:t>2024年度一般公共预算财政拨款基本支出103.00万元，其中：</w:t>
      </w:r>
      <w:r>
        <w:rPr>
          <w:rFonts w:ascii="仿宋_GB2312" w:hAnsi="仿宋_GB2312" w:eastAsia="仿宋_GB2312"/>
          <w:b/>
          <w:sz w:val="32"/>
        </w:rPr>
        <w:t>人员经费101.51万元，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w:t>
      </w:r>
    </w:p>
    <w:p w14:paraId="7666F4FE">
      <w:pPr>
        <w:spacing w:line="580" w:lineRule="exact"/>
        <w:ind w:firstLine="640"/>
        <w:jc w:val="both"/>
      </w:pPr>
      <w:r>
        <w:rPr>
          <w:rFonts w:ascii="仿宋_GB2312" w:hAnsi="仿宋_GB2312" w:eastAsia="仿宋_GB2312"/>
          <w:b/>
          <w:sz w:val="32"/>
        </w:rPr>
        <w:t>公用经费1.49万元，</w:t>
      </w:r>
      <w:r>
        <w:rPr>
          <w:rFonts w:ascii="仿宋_GB2312" w:hAnsi="仿宋_GB2312" w:eastAsia="仿宋_GB2312"/>
          <w:b w:val="0"/>
          <w:sz w:val="32"/>
        </w:rPr>
        <w:t>包括：办公费、邮电费、差旅费、公务用车运行维护费。</w:t>
      </w:r>
    </w:p>
    <w:p w14:paraId="7840B858">
      <w:pPr>
        <w:spacing w:line="640" w:lineRule="exact"/>
        <w:ind w:firstLine="640"/>
        <w:jc w:val="both"/>
        <w:outlineLvl w:val="2"/>
      </w:pPr>
      <w:r>
        <w:rPr>
          <w:rFonts w:ascii="黑体" w:hAnsi="黑体" w:eastAsia="黑体"/>
          <w:sz w:val="32"/>
        </w:rPr>
        <w:t>七、政府性基金预算财政拨款收入支出决算情况说明</w:t>
      </w:r>
    </w:p>
    <w:p w14:paraId="33B128F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A15AC46">
      <w:pPr>
        <w:spacing w:line="640" w:lineRule="exact"/>
        <w:ind w:firstLine="640"/>
        <w:jc w:val="both"/>
        <w:outlineLvl w:val="2"/>
      </w:pPr>
      <w:r>
        <w:rPr>
          <w:rFonts w:ascii="黑体" w:hAnsi="黑体" w:eastAsia="黑体"/>
          <w:sz w:val="32"/>
        </w:rPr>
        <w:t>八、国有资本经营预算财政拨款收入支出决算情况说明</w:t>
      </w:r>
    </w:p>
    <w:p w14:paraId="05D51D7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0AC662F">
      <w:pPr>
        <w:spacing w:line="640" w:lineRule="exact"/>
        <w:ind w:firstLine="640"/>
        <w:jc w:val="both"/>
        <w:outlineLvl w:val="2"/>
      </w:pPr>
      <w:r>
        <w:rPr>
          <w:rFonts w:ascii="黑体" w:hAnsi="黑体" w:eastAsia="黑体"/>
          <w:sz w:val="32"/>
        </w:rPr>
        <w:t>九、财政拨款“三公”经费支出决算情况说明</w:t>
      </w:r>
    </w:p>
    <w:p w14:paraId="1FAB81CF">
      <w:pPr>
        <w:spacing w:line="580" w:lineRule="exact"/>
        <w:ind w:firstLine="640"/>
        <w:jc w:val="both"/>
      </w:pPr>
      <w:r>
        <w:rPr>
          <w:rFonts w:ascii="仿宋_GB2312" w:hAnsi="仿宋_GB2312" w:eastAsia="仿宋_GB2312"/>
          <w:b/>
          <w:sz w:val="32"/>
        </w:rPr>
        <w:t>2024年度财政拨款“三公”经费支出0.96万元，</w:t>
      </w:r>
      <w:r>
        <w:rPr>
          <w:rFonts w:ascii="仿宋_GB2312" w:hAnsi="仿宋_GB2312" w:eastAsia="仿宋_GB2312"/>
          <w:b w:val="0"/>
          <w:sz w:val="32"/>
        </w:rPr>
        <w:t>比上年增加0.18万元，增长23.08%，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0.96万元，占100.00%，比上年增加0.18万元，增长23.08%，主要原因是：本年因业务需求，用车次数增加，燃油费增加，导致公务用车运行维护费较上年增加。公务接待费支出0.00万元，占0.00%，比上年增加0.00万元，增长0.00%，主要原因是：2023年与2024年均未安排公务接待费支出。</w:t>
      </w:r>
    </w:p>
    <w:p w14:paraId="2808710A">
      <w:pPr>
        <w:spacing w:line="580" w:lineRule="exact"/>
        <w:ind w:firstLine="640"/>
        <w:jc w:val="both"/>
      </w:pPr>
      <w:r>
        <w:rPr>
          <w:rFonts w:ascii="仿宋_GB2312" w:hAnsi="仿宋_GB2312" w:eastAsia="仿宋_GB2312"/>
          <w:b/>
          <w:sz w:val="32"/>
        </w:rPr>
        <w:t>具体情况如下：</w:t>
      </w:r>
    </w:p>
    <w:p w14:paraId="2B70100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047B873">
      <w:pPr>
        <w:spacing w:line="580" w:lineRule="exact"/>
        <w:ind w:firstLine="640"/>
        <w:jc w:val="both"/>
      </w:pPr>
      <w:r>
        <w:rPr>
          <w:rFonts w:ascii="仿宋_GB2312" w:hAnsi="仿宋_GB2312" w:eastAsia="仿宋_GB2312"/>
          <w:b w:val="0"/>
          <w:sz w:val="32"/>
        </w:rPr>
        <w:t>公务用车购置及运行维护费0.96万元，其中：公务用车购置费0.00万元，公务用车运行维护费0.96万元。公务用车运行维护费开支内容包括车辆加油费、维修费、保险费、审车费等。公务用车购置数0辆，公务用车保有量1辆。国有资产占用情况中固定资产车辆2辆，与公务用车保有量差异原因是：差异车辆为一般业务用车，预算未安排公务用车运行维护费。</w:t>
      </w:r>
    </w:p>
    <w:p w14:paraId="2690BC8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3D60BD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0.96万元，决算数0.96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0.96万元，决算数0.96万元，预决算差异率0.00%，主要原因是：严格按照预算执行，预决算无差异。公务接待费全年预算数0.00万元，决算数0.00万元，预决算差异率0.00%，主要原因是：本单位无公务接待费。</w:t>
      </w:r>
    </w:p>
    <w:p w14:paraId="5BF01FA6">
      <w:pPr>
        <w:spacing w:line="640" w:lineRule="exact"/>
        <w:ind w:firstLine="640"/>
        <w:jc w:val="both"/>
        <w:outlineLvl w:val="2"/>
      </w:pPr>
      <w:r>
        <w:rPr>
          <w:rFonts w:ascii="黑体" w:hAnsi="黑体" w:eastAsia="黑体"/>
          <w:sz w:val="32"/>
        </w:rPr>
        <w:t>十、其他重要事项的情况说明</w:t>
      </w:r>
    </w:p>
    <w:p w14:paraId="760728FA">
      <w:pPr>
        <w:spacing w:line="640" w:lineRule="exact"/>
        <w:ind w:firstLine="640"/>
        <w:jc w:val="both"/>
        <w:outlineLvl w:val="3"/>
      </w:pPr>
      <w:r>
        <w:rPr>
          <w:rFonts w:ascii="楷体_GB2312" w:hAnsi="楷体_GB2312" w:eastAsia="楷体_GB2312"/>
          <w:b/>
          <w:sz w:val="32"/>
        </w:rPr>
        <w:t>（一）机关运行经费及公用经费支出情况</w:t>
      </w:r>
    </w:p>
    <w:p w14:paraId="306058DD">
      <w:pPr>
        <w:spacing w:line="580" w:lineRule="exact"/>
        <w:ind w:firstLine="640"/>
        <w:jc w:val="both"/>
      </w:pPr>
      <w:r>
        <w:rPr>
          <w:rFonts w:ascii="仿宋_GB2312" w:hAnsi="仿宋_GB2312" w:eastAsia="仿宋_GB2312"/>
          <w:b w:val="0"/>
          <w:sz w:val="32"/>
        </w:rPr>
        <w:t>2024年度疏勒县妇女联合会（行政单位和参照公务员法管理事业单位）机关运行经费支出1.49万元，比上年减少4.03万元，下降73.01%，主要原因是：节约办公用品，减少支出。</w:t>
      </w:r>
    </w:p>
    <w:p w14:paraId="598317B6">
      <w:pPr>
        <w:spacing w:line="640" w:lineRule="exact"/>
        <w:ind w:firstLine="640"/>
        <w:jc w:val="both"/>
        <w:outlineLvl w:val="3"/>
      </w:pPr>
      <w:r>
        <w:rPr>
          <w:rFonts w:ascii="楷体_GB2312" w:hAnsi="楷体_GB2312" w:eastAsia="楷体_GB2312"/>
          <w:b/>
          <w:sz w:val="32"/>
        </w:rPr>
        <w:t>（二）政府采购情况</w:t>
      </w:r>
    </w:p>
    <w:p w14:paraId="16E20A82">
      <w:pPr>
        <w:spacing w:line="580" w:lineRule="exact"/>
        <w:ind w:firstLine="640"/>
        <w:jc w:val="both"/>
      </w:pPr>
      <w:r>
        <w:rPr>
          <w:rFonts w:ascii="仿宋_GB2312" w:hAnsi="仿宋_GB2312" w:eastAsia="仿宋_GB2312"/>
          <w:b w:val="0"/>
          <w:sz w:val="32"/>
        </w:rPr>
        <w:t>2024年度政府采购支出总额77.76万元，其中：政府采购货物支出4.40万元、政府采购工程支出0.00万元、政府采购服务支出73.36万元。</w:t>
      </w:r>
    </w:p>
    <w:p w14:paraId="45569145">
      <w:pPr>
        <w:spacing w:line="580" w:lineRule="exact"/>
        <w:ind w:firstLine="640"/>
        <w:jc w:val="both"/>
      </w:pPr>
      <w:r>
        <w:rPr>
          <w:rFonts w:ascii="仿宋_GB2312" w:hAnsi="仿宋_GB2312" w:eastAsia="仿宋_GB2312"/>
          <w:b w:val="0"/>
          <w:sz w:val="32"/>
        </w:rPr>
        <w:t>授予中小企业合同金额77.76万元，占政府采购支出总额的100.00%，其中：授予小微企业合同金额73.55万元，占政府采购支出总额的94.59%。</w:t>
      </w:r>
    </w:p>
    <w:p w14:paraId="2939599B">
      <w:pPr>
        <w:spacing w:line="640" w:lineRule="exact"/>
        <w:ind w:firstLine="640"/>
        <w:jc w:val="both"/>
        <w:outlineLvl w:val="3"/>
      </w:pPr>
      <w:r>
        <w:rPr>
          <w:rFonts w:ascii="楷体_GB2312" w:hAnsi="楷体_GB2312" w:eastAsia="楷体_GB2312"/>
          <w:b/>
          <w:sz w:val="32"/>
        </w:rPr>
        <w:t>（三）国有资产占用情况说明</w:t>
      </w:r>
    </w:p>
    <w:p w14:paraId="6659AFCD">
      <w:pPr>
        <w:spacing w:line="580" w:lineRule="exact"/>
        <w:ind w:firstLine="640"/>
        <w:jc w:val="both"/>
      </w:pPr>
      <w:r>
        <w:rPr>
          <w:rFonts w:ascii="仿宋_GB2312" w:hAnsi="仿宋_GB2312" w:eastAsia="仿宋_GB2312"/>
          <w:b w:val="0"/>
          <w:sz w:val="32"/>
        </w:rPr>
        <w:t>截至2024年12月31日，房屋0.00平方米，价值0.00万元。车辆2辆，价值45.77万元，其中：副部（省）级及以上领导用车0辆、主要负责人用车0辆、机要通信用车0辆、应急保障用车0辆、执法执勤用车0辆、特种专业技术用车0辆、离退休干部服务用车0辆、其他用车2辆，其他用车主要是：一般公务用车和单位业务用车。单价100万元（含）以上设备（不含车辆）0台（套）。</w:t>
      </w:r>
    </w:p>
    <w:p w14:paraId="033ED3D2">
      <w:pPr>
        <w:spacing w:line="640" w:lineRule="exact"/>
        <w:ind w:firstLine="640"/>
        <w:jc w:val="both"/>
        <w:outlineLvl w:val="2"/>
      </w:pPr>
      <w:r>
        <w:rPr>
          <w:rFonts w:ascii="黑体" w:hAnsi="黑体" w:eastAsia="黑体"/>
          <w:sz w:val="32"/>
        </w:rPr>
        <w:t>十一、预算绩效的情况说明</w:t>
      </w:r>
    </w:p>
    <w:p w14:paraId="34312E3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176.25万元，实际执行总额176.25万元；预算绩效评价项目2个，全年预算数44.74万元，全年执行数44.74万元。预算绩效管理取得的成效：一是保障各级妇联接续推进妇女儿童</w:t>
      </w:r>
      <w:r>
        <w:rPr>
          <w:rFonts w:hint="eastAsia" w:ascii="仿宋_GB2312" w:hAnsi="仿宋_GB2312" w:eastAsia="仿宋_GB2312"/>
          <w:b w:val="0"/>
          <w:sz w:val="32"/>
          <w:lang w:eastAsia="zh-CN"/>
        </w:rPr>
        <w:t>工作</w:t>
      </w:r>
      <w:r>
        <w:rPr>
          <w:rFonts w:ascii="仿宋_GB2312" w:hAnsi="仿宋_GB2312" w:eastAsia="仿宋_GB2312"/>
          <w:b w:val="0"/>
          <w:sz w:val="32"/>
        </w:rPr>
        <w:t>二是指导和督促基层妇联开展工作；三是提升各级妇联组织引领妇女积极参与经济建设的能力；四是充分发挥妇联组织独特作用，巩固提升脱贫妇女脱贫成果的成色和质量；五是通过开展美丽庭院推进会引领妇女积极参与经济建设能力。发现的问题及原因：一是单位财务人员对绩效工作了解不透，由于工作任务重，忽视了绩效工作的重要性，管理意识有待增强；二是绩效管理经验不足，应全面加强预算绩效管理工作认识，在对单位其他工作</w:t>
      </w:r>
      <w:r>
        <w:rPr>
          <w:rFonts w:hint="eastAsia" w:ascii="仿宋_GB2312" w:hAnsi="仿宋_GB2312" w:eastAsia="仿宋_GB2312"/>
          <w:b w:val="0"/>
          <w:sz w:val="32"/>
          <w:lang w:eastAsia="zh-CN"/>
        </w:rPr>
        <w:t>人员</w:t>
      </w:r>
      <w:r>
        <w:rPr>
          <w:rFonts w:ascii="仿宋_GB2312" w:hAnsi="仿宋_GB2312" w:eastAsia="仿宋_GB2312"/>
          <w:b w:val="0"/>
          <w:sz w:val="32"/>
        </w:rPr>
        <w:t>绩效认知度宣传有待进一步提高；三是人员力量不足，同时，既没有现成的经验可供借鉴，又缺乏专业性很强的技能储备，只能是边工作、边学习、边积累，短期内很多工作只能停留在表面，难以深入推进。下一步改进措施：一是不断强化绩效意识，并结合工作实际，进行科学合理分配细化，及时跟踪绩效执行进度，科学合理安排支出，降低预算支出的波动幅度；二是健全完善绩效制度，全面梳理业务流程，明确业务环节，确保资金安全、合理、有效使用，最大限度发挥财政资金使用效益；三是严格执行预算支出，积极推进各项资金绩效实施。加强对绩效执行过程的控制和结果的反馈，对绩效执行差异及时分析成因和影响，并及时向领导进行反馈，以采取措施纠正执行偏差，促进绩效工作的全面进行。具体附整体支出绩效自评表，项目支出绩效自评表。</w:t>
      </w:r>
    </w:p>
    <w:p w14:paraId="442A6B2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BB31F64">
        <w:tblPrEx>
          <w:tblCellMar>
            <w:top w:w="0" w:type="dxa"/>
            <w:left w:w="108" w:type="dxa"/>
            <w:bottom w:w="0" w:type="dxa"/>
            <w:right w:w="108" w:type="dxa"/>
          </w:tblCellMar>
        </w:tblPrEx>
        <w:tc>
          <w:tcPr>
            <w:tcW w:w="8847" w:type="dxa"/>
            <w:gridSpan w:val="9"/>
            <w:vAlign w:val="center"/>
          </w:tcPr>
          <w:p w14:paraId="5DBFD984">
            <w:pPr>
              <w:jc w:val="center"/>
            </w:pPr>
            <w:r>
              <w:rPr>
                <w:rFonts w:ascii="宋体" w:hAnsi="宋体" w:eastAsia="宋体"/>
                <w:sz w:val="24"/>
              </w:rPr>
              <w:t>单位整体支出绩效自评表</w:t>
            </w:r>
          </w:p>
        </w:tc>
      </w:tr>
      <w:tr w14:paraId="2928C76C">
        <w:tblPrEx>
          <w:tblCellMar>
            <w:top w:w="0" w:type="dxa"/>
            <w:left w:w="108" w:type="dxa"/>
            <w:bottom w:w="0" w:type="dxa"/>
            <w:right w:w="108" w:type="dxa"/>
          </w:tblCellMar>
        </w:tblPrEx>
        <w:tc>
          <w:tcPr>
            <w:tcW w:w="8847" w:type="dxa"/>
            <w:gridSpan w:val="9"/>
            <w:vAlign w:val="center"/>
          </w:tcPr>
          <w:p w14:paraId="6464AFA6">
            <w:pPr>
              <w:jc w:val="center"/>
            </w:pPr>
            <w:r>
              <w:rPr>
                <w:rFonts w:ascii="宋体" w:hAnsi="宋体" w:eastAsia="宋体"/>
                <w:sz w:val="24"/>
              </w:rPr>
              <w:t>（2024年度）</w:t>
            </w:r>
          </w:p>
        </w:tc>
      </w:tr>
      <w:tr w14:paraId="067CA11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6A6B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8886796">
            <w:pPr>
              <w:jc w:val="center"/>
            </w:pPr>
            <w:r>
              <w:rPr>
                <w:rFonts w:ascii="宋体" w:hAnsi="宋体" w:eastAsia="宋体"/>
                <w:sz w:val="16"/>
              </w:rPr>
              <w:t>疏勒县妇女联合会</w:t>
            </w:r>
          </w:p>
        </w:tc>
      </w:tr>
      <w:tr w14:paraId="168D06D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F348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C288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D43A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60B2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E99D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D058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6DDC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C36F1">
            <w:pPr>
              <w:jc w:val="center"/>
            </w:pPr>
            <w:r>
              <w:rPr>
                <w:rFonts w:ascii="宋体" w:hAnsi="宋体" w:eastAsia="宋体"/>
                <w:sz w:val="16"/>
              </w:rPr>
              <w:t>得分</w:t>
            </w:r>
          </w:p>
        </w:tc>
      </w:tr>
      <w:tr w14:paraId="02E79B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FA29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3AAC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A50A4">
            <w:pPr>
              <w:jc w:val="center"/>
            </w:pPr>
            <w:r>
              <w:rPr>
                <w:rFonts w:ascii="宋体" w:hAnsi="宋体" w:eastAsia="宋体"/>
                <w:sz w:val="16"/>
              </w:rPr>
              <w:t>91.76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0C11B">
            <w:pPr>
              <w:jc w:val="center"/>
            </w:pPr>
            <w:r>
              <w:rPr>
                <w:rFonts w:ascii="宋体" w:hAnsi="宋体" w:eastAsia="宋体"/>
                <w:sz w:val="16"/>
              </w:rPr>
              <w:t>176.25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5C457">
            <w:pPr>
              <w:jc w:val="center"/>
            </w:pPr>
            <w:r>
              <w:rPr>
                <w:rFonts w:ascii="宋体" w:hAnsi="宋体" w:eastAsia="宋体"/>
                <w:sz w:val="16"/>
              </w:rPr>
              <w:t>176.25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E82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F3CB5">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88FAB">
            <w:pPr>
              <w:jc w:val="center"/>
            </w:pPr>
            <w:r>
              <w:rPr>
                <w:rFonts w:ascii="宋体" w:hAnsi="宋体" w:eastAsia="宋体"/>
                <w:sz w:val="16"/>
              </w:rPr>
              <w:t>10</w:t>
            </w:r>
          </w:p>
        </w:tc>
      </w:tr>
      <w:tr w14:paraId="008739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EB5E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B430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C46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CE1F8">
            <w:pPr>
              <w:jc w:val="center"/>
            </w:pPr>
            <w:r>
              <w:rPr>
                <w:rFonts w:ascii="宋体" w:hAnsi="宋体" w:eastAsia="宋体"/>
                <w:sz w:val="16"/>
              </w:rPr>
              <w:t>7.25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40DD4">
            <w:pPr>
              <w:jc w:val="center"/>
            </w:pPr>
            <w:r>
              <w:rPr>
                <w:rFonts w:ascii="宋体" w:hAnsi="宋体" w:eastAsia="宋体"/>
                <w:sz w:val="16"/>
              </w:rPr>
              <w:t>7.25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880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FEC4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C369E">
            <w:pPr>
              <w:jc w:val="center"/>
            </w:pPr>
            <w:r>
              <w:rPr>
                <w:rFonts w:ascii="宋体" w:hAnsi="宋体" w:eastAsia="宋体"/>
                <w:sz w:val="16"/>
              </w:rPr>
              <w:t>—</w:t>
            </w:r>
          </w:p>
        </w:tc>
      </w:tr>
      <w:tr w14:paraId="4C247F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8A7C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EB63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00D79">
            <w:pPr>
              <w:jc w:val="center"/>
            </w:pPr>
            <w:r>
              <w:rPr>
                <w:rFonts w:ascii="宋体" w:hAnsi="宋体" w:eastAsia="宋体"/>
                <w:sz w:val="16"/>
              </w:rPr>
              <w:t>90.76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87B00">
            <w:pPr>
              <w:jc w:val="center"/>
            </w:pPr>
            <w:r>
              <w:rPr>
                <w:rFonts w:ascii="宋体" w:hAnsi="宋体" w:eastAsia="宋体"/>
                <w:sz w:val="16"/>
              </w:rPr>
              <w:t>101.83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B6D0C">
            <w:pPr>
              <w:jc w:val="center"/>
            </w:pPr>
            <w:r>
              <w:rPr>
                <w:rFonts w:ascii="宋体" w:hAnsi="宋体" w:eastAsia="宋体"/>
                <w:sz w:val="16"/>
              </w:rPr>
              <w:t>101.83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825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5DC7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5EE16">
            <w:pPr>
              <w:jc w:val="center"/>
            </w:pPr>
            <w:r>
              <w:rPr>
                <w:rFonts w:ascii="宋体" w:hAnsi="宋体" w:eastAsia="宋体"/>
                <w:sz w:val="16"/>
              </w:rPr>
              <w:t>—</w:t>
            </w:r>
          </w:p>
        </w:tc>
      </w:tr>
      <w:tr w14:paraId="2DE832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BBD9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8D5B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833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912B1">
            <w:pPr>
              <w:jc w:val="center"/>
            </w:pPr>
            <w:r>
              <w:rPr>
                <w:rFonts w:ascii="宋体" w:hAnsi="宋体" w:eastAsia="宋体"/>
                <w:sz w:val="16"/>
              </w:rPr>
              <w:t>67.17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ECB93">
            <w:pPr>
              <w:jc w:val="center"/>
            </w:pPr>
            <w:r>
              <w:rPr>
                <w:rFonts w:ascii="宋体" w:hAnsi="宋体" w:eastAsia="宋体"/>
                <w:sz w:val="16"/>
              </w:rPr>
              <w:t>67.17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6DA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3C0A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03B28">
            <w:pPr>
              <w:jc w:val="center"/>
            </w:pPr>
            <w:r>
              <w:rPr>
                <w:rFonts w:ascii="宋体" w:hAnsi="宋体" w:eastAsia="宋体"/>
                <w:sz w:val="16"/>
              </w:rPr>
              <w:t>—</w:t>
            </w:r>
          </w:p>
        </w:tc>
      </w:tr>
      <w:tr w14:paraId="4855B2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18F15">
            <w:pPr>
              <w:jc w:val="center"/>
            </w:pPr>
            <w:bookmarkStart w:id="0" w:name="_GoBack" w:colFirst="1" w:colLast="8"/>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78882E">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6CBCCB">
            <w:pPr>
              <w:jc w:val="center"/>
            </w:pPr>
            <w:r>
              <w:rPr>
                <w:rFonts w:ascii="宋体" w:hAnsi="宋体" w:eastAsia="宋体"/>
                <w:sz w:val="16"/>
              </w:rPr>
              <w:t>实际完成情况</w:t>
            </w:r>
          </w:p>
        </w:tc>
      </w:tr>
      <w:tr w14:paraId="69D3DD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33A6C"/>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5154A5">
            <w:pPr>
              <w:jc w:val="both"/>
            </w:pPr>
            <w:r>
              <w:rPr>
                <w:rFonts w:ascii="宋体" w:hAnsi="宋体" w:eastAsia="宋体"/>
                <w:sz w:val="16"/>
              </w:rPr>
              <w:t>开设“石榴花”大宣讲，加大对妇女权益保障法和反家庭暴力法及其办法等法律法规的宣传力度，教育引导妇女尊法学法守法用法，养成办事依法、遇事找法、解决问题靠法的法治习惯。利用重要节点，组织专家、律师、巾帼宣讲员等法律志愿者，重点宣传与妇女群众婚姻、生产、生活息息相关的法律法规。用好社会资源、专业力量，为广大妇女儿童提供心理关爱、困难帮扶，全面提高广大妇女群众的法治意识和依法维权能力。充分发挥各级妇联组织作用，用好妇女志愿服务队，定期研判，解决问题，定期开展妇女培训，广泛开展各类活动，建立健全妇女人才库，深入开展妇联干部入户走访，以多种形式常态化表扬、通报、批评活动培树妇女典型。推动党的创新理论走进基层、走进家庭、走进妇女心里。妇联机关带村（社区）文明之家、党员干部带妇女群众，依托新时代文明实践中心、爱国主义教育基地等阵地，常态化开展百万巾帼大宣讲。以“石榴花开耀天山</w:t>
            </w:r>
            <w:r>
              <w:rPr>
                <w:rFonts w:hint="eastAsia" w:ascii="宋体" w:hAnsi="宋体"/>
                <w:sz w:val="16"/>
                <w:lang w:eastAsia="zh-CN"/>
              </w:rPr>
              <w:t>系列</w:t>
            </w:r>
            <w:r>
              <w:rPr>
                <w:rFonts w:ascii="宋体" w:hAnsi="宋体" w:eastAsia="宋体"/>
                <w:sz w:val="16"/>
              </w:rPr>
              <w:t>活动”为主题，大力宣传在乡村振兴、安全生产、维护稳定工作中涌现出的优秀女性，发挥先进妇女典型的示范引领作用，大力宣传三八红旗手、巾帼建功标兵、最美家政人、巾帼新农人等先进事迹和典型故事，打造熠熠生辉的新时代巾帼典型群像，激励各族妇女见贤思齐、奋发向上，形成崇尚榜样、学习模范、争当先进的良好社会风尚。积极开展文艺活动，展示广大妇女群众健康向上、乐观进取的风采，营造热闹、喜庆的节日氛围。组织开展形式多样的学习宣传活动，以现代文化为引领，大力开展巾帼民族融情及“去极端化”行动。在“三八”节日期间对先进妇女代表、老模范、基层一线公安民警、医务人员、环卫工人、教职工等进行慰问，表达对广大妇女的关心关怀。推动实施巾帼志愿服务关爱行动，重点关心关爱残疾、单亲、留守、流动、生活困难的妇女儿童和家庭，以实际行动浸润心灵，架起党联系妇女群众的“连心桥”。深入开展婚姻家庭矛盾纠纷排查化解工作，把婚姻家庭纠纷人民调解工作作为基层社会治理的重要内容，抓细、抓实，将家风传承、家教服务与婚姻家庭纠纷预防化解有机结合，为维护家庭和谐、社会稳定作出积极贡献。积极实施“爱心一元捐”、“两癌救助”、“春蕾计划”等公益项目，关心关爱妇女儿童。</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509F04">
            <w:pPr>
              <w:jc w:val="both"/>
            </w:pPr>
            <w:r>
              <w:rPr>
                <w:rFonts w:ascii="宋体" w:hAnsi="宋体" w:eastAsia="宋体"/>
                <w:sz w:val="16"/>
              </w:rPr>
              <w:t>开设“石榴花”大宣讲，加大对妇女权益保障法和反家庭暴力法及其办法等法律法规的宣传力度，教育引导妇女尊法学法守法用法，养成办事依法、遇事找法、解决问题靠法的法治习惯。利用重要节点，组织专家、律师、巾帼宣讲员等法律志愿者，重点宣传与妇女群众婚姻、生产、生活息息相关的法律法规。用好社会资源、专业力量，为广大妇女儿童提供心理关爱、困难帮扶，全面提高广大妇女群众的法治意识和依法维权能力。充分发挥各级妇联组织作用，用好妇女志愿服务队，在全县“两新”组织中建立妇女组织379家</w:t>
            </w:r>
            <w:r>
              <w:rPr>
                <w:rFonts w:hint="eastAsia" w:ascii="宋体" w:hAnsi="宋体"/>
                <w:sz w:val="16"/>
                <w:lang w:eastAsia="zh-CN"/>
              </w:rPr>
              <w:t>，</w:t>
            </w:r>
            <w:r>
              <w:rPr>
                <w:rFonts w:ascii="宋体" w:hAnsi="宋体" w:eastAsia="宋体"/>
                <w:sz w:val="16"/>
              </w:rPr>
              <w:t>定期研判，解决问题，定期开展妇女培训，广泛开展各类活动，建立健全妇女人才库，深入开展妇联干部入户走访，以多种形式常态化表扬、通报、批评活动培树妇女典型。推动党的创新理论走进基层、走进家庭、走进妇女心里。妇联机关带村（社区）文明之家、党员干部带妇女群众，依托新时代文明实践中心、爱国主义教育基地等阵地，常态化开展百万巾帼大宣讲。以“石榴花开耀天山</w:t>
            </w:r>
            <w:r>
              <w:rPr>
                <w:rFonts w:hint="eastAsia" w:ascii="宋体" w:hAnsi="宋体"/>
                <w:sz w:val="16"/>
                <w:lang w:eastAsia="zh-CN"/>
              </w:rPr>
              <w:t>系列</w:t>
            </w:r>
            <w:r>
              <w:rPr>
                <w:rFonts w:ascii="宋体" w:hAnsi="宋体" w:eastAsia="宋体"/>
                <w:sz w:val="16"/>
              </w:rPr>
              <w:t>活动”为主题，大力宣传在乡村振兴、安全生产、维护稳定工作中涌现出的优秀女性，发挥先进妇女典型的示范引领作用，大力宣传三八红旗手、巾帼建功标兵、最美家政人、巾帼新农人等先进事迹和典型故事，打造熠熠生辉的新时代巾帼典型群像，激励各族妇女见贤思齐、奋发向上，形成崇尚榜样、学习模范、争当先进的良好社会风尚。积极开展文艺活动，建立乡村“靓发屋”116个</w:t>
            </w:r>
            <w:r>
              <w:rPr>
                <w:rFonts w:hint="eastAsia" w:ascii="宋体" w:hAnsi="宋体"/>
                <w:sz w:val="16"/>
                <w:lang w:eastAsia="zh-CN"/>
              </w:rPr>
              <w:t>，</w:t>
            </w:r>
            <w:r>
              <w:rPr>
                <w:rFonts w:ascii="宋体" w:hAnsi="宋体" w:eastAsia="宋体"/>
                <w:sz w:val="16"/>
              </w:rPr>
              <w:t>展示广大妇女群众健康向上、乐观进取的风采，营造热闹、喜庆的节日氛围。组织开展形式多样的学习宣传活动，以现代文化为引领，大力开展巾帼民族融情及“去极端化”行动。在“三八”节日期间对先进妇女代表、老模范、基层一线公安民警、医务人员、环卫工人、教职工等进行慰问，表达对广大妇女的关心关怀。推动实施巾帼志愿服务关爱行动，重点关心关爱残疾、单亲、留守、流动、生活困难的妇女儿童和家庭，以实际行动浸润心灵，架起党联系妇女群众的“连心桥”。深入开展婚姻家庭矛盾纠纷排查化解工作，把婚姻家庭纠纷人民调解工作作为基层社会治理的重要内容，婚姻矛盾纠纷化解率达94%，抓细、抓实，将家风传承、家教服务与婚姻家庭纠纷预防化解有机结合，为维护家庭和谐、社会稳定作出积极贡献。积极实施“爱心一元捐”、“两癌救助”、“春蕾计划”等公益项目，开设石榴籽课堂2437次，石榴籽春蕾书包共计发放2876个，关心关爱妇女儿童。</w:t>
            </w:r>
          </w:p>
        </w:tc>
      </w:tr>
      <w:bookmarkEnd w:id="0"/>
      <w:tr w14:paraId="522D41E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10B7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A9B5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AB7A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10AA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71B6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65C7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884C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F82F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46B9F">
            <w:pPr>
              <w:jc w:val="center"/>
            </w:pPr>
            <w:r>
              <w:rPr>
                <w:rFonts w:ascii="宋体" w:hAnsi="宋体" w:eastAsia="宋体"/>
                <w:sz w:val="16"/>
              </w:rPr>
              <w:t>得分</w:t>
            </w:r>
          </w:p>
        </w:tc>
      </w:tr>
      <w:tr w14:paraId="0DF41DB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3247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93053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6B200">
            <w:pPr>
              <w:jc w:val="center"/>
            </w:pPr>
            <w:r>
              <w:rPr>
                <w:rFonts w:ascii="宋体" w:hAnsi="宋体" w:eastAsia="宋体"/>
                <w:sz w:val="16"/>
              </w:rPr>
              <w:t>信访事件受理及按期办结率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A735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91230">
            <w:pPr>
              <w:jc w:val="center"/>
            </w:pPr>
            <w:r>
              <w:rPr>
                <w:rFonts w:ascii="宋体" w:hAnsi="宋体" w:eastAsia="宋体"/>
                <w:sz w:val="16"/>
              </w:rPr>
              <w:t>2024年工作总结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9BDD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8E6F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F4C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C85C9">
            <w:pPr>
              <w:jc w:val="center"/>
            </w:pPr>
            <w:r>
              <w:rPr>
                <w:rFonts w:ascii="宋体" w:hAnsi="宋体" w:eastAsia="宋体"/>
                <w:sz w:val="16"/>
              </w:rPr>
              <w:t>15</w:t>
            </w:r>
          </w:p>
        </w:tc>
      </w:tr>
      <w:tr w14:paraId="6AEF93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99D9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CCF0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2D9ED">
            <w:pPr>
              <w:jc w:val="center"/>
            </w:pPr>
            <w:r>
              <w:rPr>
                <w:rFonts w:ascii="宋体" w:hAnsi="宋体" w:eastAsia="宋体"/>
                <w:sz w:val="16"/>
              </w:rPr>
              <w:t>婚姻矛盾纠纷化解率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EAED9">
            <w:pPr>
              <w:jc w:val="center"/>
            </w:pPr>
            <w:r>
              <w:rPr>
                <w:rFonts w:ascii="宋体" w:hAnsi="宋体" w:eastAsia="宋体"/>
                <w:sz w:val="16"/>
              </w:rPr>
              <w:t>&gt;=94%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78550">
            <w:pPr>
              <w:jc w:val="center"/>
            </w:pPr>
            <w:r>
              <w:rPr>
                <w:rFonts w:ascii="宋体" w:hAnsi="宋体" w:eastAsia="宋体"/>
                <w:sz w:val="16"/>
              </w:rPr>
              <w:t>2024年工作总结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0F26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1DFD4">
            <w:pPr>
              <w:jc w:val="center"/>
            </w:pPr>
            <w:r>
              <w:rPr>
                <w:rFonts w:ascii="宋体" w:hAnsi="宋体" w:eastAsia="宋体"/>
                <w:sz w:val="16"/>
              </w:rPr>
              <w:t>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AF1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1553C">
            <w:pPr>
              <w:jc w:val="center"/>
            </w:pPr>
            <w:r>
              <w:rPr>
                <w:rFonts w:ascii="宋体" w:hAnsi="宋体" w:eastAsia="宋体"/>
                <w:sz w:val="16"/>
              </w:rPr>
              <w:t>15</w:t>
            </w:r>
          </w:p>
        </w:tc>
      </w:tr>
      <w:tr w14:paraId="679E64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A429D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646A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E0C05">
            <w:pPr>
              <w:jc w:val="center"/>
            </w:pPr>
            <w:r>
              <w:rPr>
                <w:rFonts w:ascii="宋体" w:hAnsi="宋体" w:eastAsia="宋体"/>
                <w:sz w:val="16"/>
              </w:rPr>
              <w:t>开设石榴籽课堂次数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19434">
            <w:pPr>
              <w:jc w:val="center"/>
            </w:pPr>
            <w:r>
              <w:rPr>
                <w:rFonts w:ascii="宋体" w:hAnsi="宋体" w:eastAsia="宋体"/>
                <w:sz w:val="16"/>
              </w:rPr>
              <w:t>&gt;=2437次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EAA17">
            <w:pPr>
              <w:jc w:val="center"/>
            </w:pPr>
            <w:r>
              <w:rPr>
                <w:rFonts w:ascii="宋体" w:hAnsi="宋体" w:eastAsia="宋体"/>
                <w:sz w:val="16"/>
              </w:rPr>
              <w:t>2024年工作总结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511D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9EAC6">
            <w:pPr>
              <w:jc w:val="center"/>
            </w:pPr>
            <w:r>
              <w:rPr>
                <w:rFonts w:ascii="宋体" w:hAnsi="宋体" w:eastAsia="宋体"/>
                <w:sz w:val="16"/>
              </w:rPr>
              <w:t>2437次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1E5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91E10">
            <w:pPr>
              <w:jc w:val="center"/>
            </w:pPr>
            <w:r>
              <w:rPr>
                <w:rFonts w:ascii="宋体" w:hAnsi="宋体" w:eastAsia="宋体"/>
                <w:sz w:val="16"/>
              </w:rPr>
              <w:t>15</w:t>
            </w:r>
          </w:p>
        </w:tc>
      </w:tr>
      <w:tr w14:paraId="5D7AC6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FB85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0199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790A3">
            <w:pPr>
              <w:jc w:val="center"/>
            </w:pPr>
            <w:r>
              <w:rPr>
                <w:rFonts w:ascii="宋体" w:hAnsi="宋体" w:eastAsia="宋体"/>
                <w:sz w:val="16"/>
              </w:rPr>
              <w:t>在全县“两新”组织中建立妇女组织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787B8">
            <w:pPr>
              <w:jc w:val="center"/>
            </w:pPr>
            <w:r>
              <w:rPr>
                <w:rFonts w:ascii="宋体" w:hAnsi="宋体" w:eastAsia="宋体"/>
                <w:sz w:val="16"/>
              </w:rPr>
              <w:t>&gt;=379家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81C54">
            <w:pPr>
              <w:jc w:val="center"/>
            </w:pPr>
            <w:r>
              <w:rPr>
                <w:rFonts w:ascii="宋体" w:hAnsi="宋体" w:eastAsia="宋体"/>
                <w:sz w:val="16"/>
              </w:rPr>
              <w:t>2024年工作总结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16D2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DEC5D">
            <w:pPr>
              <w:jc w:val="center"/>
            </w:pPr>
            <w:r>
              <w:rPr>
                <w:rFonts w:ascii="宋体" w:hAnsi="宋体" w:eastAsia="宋体"/>
                <w:sz w:val="16"/>
              </w:rPr>
              <w:t>379家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3A8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0C09D">
            <w:pPr>
              <w:jc w:val="center"/>
            </w:pPr>
            <w:r>
              <w:rPr>
                <w:rFonts w:ascii="宋体" w:hAnsi="宋体" w:eastAsia="宋体"/>
                <w:sz w:val="16"/>
              </w:rPr>
              <w:t>15</w:t>
            </w:r>
          </w:p>
        </w:tc>
      </w:tr>
      <w:tr w14:paraId="1E7ED8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E4CA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AE44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73488">
            <w:pPr>
              <w:jc w:val="center"/>
            </w:pPr>
            <w:r>
              <w:rPr>
                <w:rFonts w:ascii="宋体" w:hAnsi="宋体" w:eastAsia="宋体"/>
                <w:sz w:val="16"/>
              </w:rPr>
              <w:t>建立乡村“靓发屋”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DCE0A">
            <w:pPr>
              <w:jc w:val="center"/>
            </w:pPr>
            <w:r>
              <w:rPr>
                <w:rFonts w:ascii="宋体" w:hAnsi="宋体" w:eastAsia="宋体"/>
                <w:sz w:val="16"/>
              </w:rPr>
              <w:t>&gt;=116个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DF9C8">
            <w:pPr>
              <w:jc w:val="center"/>
            </w:pPr>
            <w:r>
              <w:rPr>
                <w:rFonts w:ascii="宋体" w:hAnsi="宋体" w:eastAsia="宋体"/>
                <w:sz w:val="16"/>
              </w:rPr>
              <w:t>2024年工作总结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7249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4EC2C">
            <w:pPr>
              <w:jc w:val="center"/>
            </w:pPr>
            <w:r>
              <w:rPr>
                <w:rFonts w:ascii="宋体" w:hAnsi="宋体" w:eastAsia="宋体"/>
                <w:sz w:val="16"/>
              </w:rPr>
              <w:t>116个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E58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C46E2">
            <w:pPr>
              <w:jc w:val="center"/>
            </w:pPr>
            <w:r>
              <w:rPr>
                <w:rFonts w:ascii="宋体" w:hAnsi="宋体" w:eastAsia="宋体"/>
                <w:sz w:val="16"/>
              </w:rPr>
              <w:t>15</w:t>
            </w:r>
          </w:p>
        </w:tc>
      </w:tr>
      <w:tr w14:paraId="7ABA22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EDE3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18EE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FD572">
            <w:pPr>
              <w:jc w:val="center"/>
            </w:pPr>
            <w:r>
              <w:rPr>
                <w:rFonts w:ascii="宋体" w:hAnsi="宋体" w:eastAsia="宋体"/>
                <w:sz w:val="16"/>
              </w:rPr>
              <w:t>石榴籽·春蕾书包发放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A0FE6">
            <w:pPr>
              <w:jc w:val="center"/>
            </w:pPr>
            <w:r>
              <w:rPr>
                <w:rFonts w:ascii="宋体" w:hAnsi="宋体" w:eastAsia="宋体"/>
                <w:sz w:val="16"/>
              </w:rPr>
              <w:t>&gt;=2876个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62A08">
            <w:pPr>
              <w:jc w:val="center"/>
            </w:pPr>
            <w:r>
              <w:rPr>
                <w:rFonts w:ascii="宋体" w:hAnsi="宋体" w:eastAsia="宋体"/>
                <w:sz w:val="16"/>
              </w:rPr>
              <w:t>2024年工作总结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9768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D7A04">
            <w:pPr>
              <w:jc w:val="center"/>
            </w:pPr>
            <w:r>
              <w:rPr>
                <w:rFonts w:ascii="宋体" w:hAnsi="宋体" w:eastAsia="宋体"/>
                <w:sz w:val="16"/>
              </w:rPr>
              <w:t>2876个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15B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8F10C">
            <w:pPr>
              <w:jc w:val="center"/>
            </w:pPr>
            <w:r>
              <w:rPr>
                <w:rFonts w:ascii="宋体" w:hAnsi="宋体" w:eastAsia="宋体"/>
                <w:sz w:val="16"/>
              </w:rPr>
              <w:t>15</w:t>
            </w:r>
          </w:p>
        </w:tc>
      </w:tr>
    </w:tbl>
    <w:p w14:paraId="7E70B9B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5D6EBA3">
        <w:tblPrEx>
          <w:tblCellMar>
            <w:top w:w="0" w:type="dxa"/>
            <w:left w:w="108" w:type="dxa"/>
            <w:bottom w:w="0" w:type="dxa"/>
            <w:right w:w="108" w:type="dxa"/>
          </w:tblCellMar>
        </w:tblPrEx>
        <w:tc>
          <w:tcPr>
            <w:tcW w:w="8848" w:type="dxa"/>
            <w:gridSpan w:val="14"/>
            <w:vAlign w:val="center"/>
          </w:tcPr>
          <w:p w14:paraId="75C382A2">
            <w:pPr>
              <w:jc w:val="center"/>
            </w:pPr>
            <w:r>
              <w:rPr>
                <w:rFonts w:ascii="宋体" w:hAnsi="宋体" w:eastAsia="宋体"/>
                <w:sz w:val="24"/>
              </w:rPr>
              <w:t>项目支出绩效自评表</w:t>
            </w:r>
          </w:p>
        </w:tc>
      </w:tr>
      <w:tr w14:paraId="3C2DEFAE">
        <w:tblPrEx>
          <w:tblCellMar>
            <w:top w:w="0" w:type="dxa"/>
            <w:left w:w="108" w:type="dxa"/>
            <w:bottom w:w="0" w:type="dxa"/>
            <w:right w:w="108" w:type="dxa"/>
          </w:tblCellMar>
        </w:tblPrEx>
        <w:tc>
          <w:tcPr>
            <w:tcW w:w="8848" w:type="dxa"/>
            <w:gridSpan w:val="14"/>
            <w:vAlign w:val="center"/>
          </w:tcPr>
          <w:p w14:paraId="37C4C9E5">
            <w:pPr>
              <w:jc w:val="center"/>
            </w:pPr>
            <w:r>
              <w:rPr>
                <w:rFonts w:ascii="宋体" w:hAnsi="宋体" w:eastAsia="宋体"/>
                <w:sz w:val="24"/>
              </w:rPr>
              <w:t>(2024年度)</w:t>
            </w:r>
          </w:p>
        </w:tc>
      </w:tr>
      <w:tr w14:paraId="66E0A6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24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A5E03F">
            <w:pPr>
              <w:jc w:val="center"/>
            </w:pPr>
            <w:r>
              <w:rPr>
                <w:rFonts w:ascii="宋体" w:hAnsi="宋体" w:eastAsia="宋体"/>
                <w:sz w:val="16"/>
              </w:rPr>
              <w:t>2024年妇女儿童工作经费项目</w:t>
            </w:r>
          </w:p>
        </w:tc>
      </w:tr>
      <w:tr w14:paraId="518FD0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DA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07D9E5">
            <w:pPr>
              <w:jc w:val="center"/>
            </w:pPr>
            <w:r>
              <w:rPr>
                <w:rFonts w:ascii="宋体" w:hAnsi="宋体" w:eastAsia="宋体"/>
                <w:sz w:val="16"/>
              </w:rPr>
              <w:t>疏勒县妇女联合会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D50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B167F0">
            <w:pPr>
              <w:jc w:val="center"/>
            </w:pPr>
            <w:r>
              <w:rPr>
                <w:rFonts w:ascii="宋体" w:hAnsi="宋体" w:eastAsia="宋体"/>
                <w:sz w:val="16"/>
              </w:rPr>
              <w:t>疏勒县妇女联合会</w:t>
            </w:r>
          </w:p>
        </w:tc>
      </w:tr>
      <w:tr w14:paraId="1235C4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3C0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130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AD2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50D3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E57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8AD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FAA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0293">
            <w:pPr>
              <w:jc w:val="center"/>
            </w:pPr>
            <w:r>
              <w:rPr>
                <w:rFonts w:ascii="宋体" w:hAnsi="宋体" w:eastAsia="宋体"/>
                <w:sz w:val="16"/>
              </w:rPr>
              <w:t>得分</w:t>
            </w:r>
          </w:p>
        </w:tc>
      </w:tr>
      <w:tr w14:paraId="6262E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A03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49C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4787A">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ED817">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A49F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81E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7ADE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F583">
            <w:pPr>
              <w:jc w:val="center"/>
            </w:pPr>
            <w:r>
              <w:rPr>
                <w:rFonts w:ascii="宋体" w:hAnsi="宋体" w:eastAsia="宋体"/>
                <w:sz w:val="16"/>
              </w:rPr>
              <w:t>10.00分</w:t>
            </w:r>
          </w:p>
        </w:tc>
      </w:tr>
      <w:tr w14:paraId="2A53E3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E03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DF7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46D8E">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3DAA3">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2746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9B9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EC5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8BD1">
            <w:pPr>
              <w:jc w:val="center"/>
            </w:pPr>
            <w:r>
              <w:rPr>
                <w:rFonts w:ascii="宋体" w:hAnsi="宋体" w:eastAsia="宋体"/>
                <w:sz w:val="16"/>
              </w:rPr>
              <w:t>—</w:t>
            </w:r>
          </w:p>
        </w:tc>
      </w:tr>
      <w:tr w14:paraId="3A2C8E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8E4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59F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EFA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BD8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3EF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73F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F65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E660">
            <w:pPr>
              <w:jc w:val="center"/>
            </w:pPr>
            <w:r>
              <w:rPr>
                <w:rFonts w:ascii="宋体" w:hAnsi="宋体" w:eastAsia="宋体"/>
                <w:sz w:val="16"/>
              </w:rPr>
              <w:t>—</w:t>
            </w:r>
          </w:p>
        </w:tc>
      </w:tr>
      <w:tr w14:paraId="42A238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890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5319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A173E2">
            <w:pPr>
              <w:jc w:val="center"/>
            </w:pPr>
            <w:r>
              <w:rPr>
                <w:rFonts w:ascii="宋体" w:hAnsi="宋体" w:eastAsia="宋体"/>
                <w:sz w:val="16"/>
              </w:rPr>
              <w:t>实际完成情况</w:t>
            </w:r>
          </w:p>
        </w:tc>
      </w:tr>
      <w:tr w14:paraId="1763F1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78A9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0AA06A">
            <w:pPr>
              <w:jc w:val="both"/>
            </w:pPr>
            <w:r>
              <w:rPr>
                <w:rFonts w:ascii="宋体" w:hAnsi="宋体" w:eastAsia="宋体"/>
                <w:sz w:val="16"/>
              </w:rPr>
              <w:t>项目总投资1万元，本项目主要实施内容为给新建的4个“妇女微家”采购相应配套设施及图书；通过实施本项目，积极发挥好微宣讲、微议事、微培训、微调解、微公益、微茶话的作用，着力将“妇女微家”打造成引领思想意识、引导就业示范、倡导乡风文明，指导便民服务的“妇”字号微基地，打通与基层妇女联系的“最后一米”，做妇女群众信赖的娘家人，最大限度把各族妇女团结凝聚在党的周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D3CDA3">
            <w:pPr>
              <w:jc w:val="both"/>
            </w:pPr>
            <w:r>
              <w:rPr>
                <w:rFonts w:hint="eastAsia" w:ascii="宋体" w:hAnsi="宋体"/>
                <w:sz w:val="16"/>
                <w:lang w:eastAsia="zh-CN"/>
              </w:rPr>
              <w:t>截至2024</w:t>
            </w:r>
            <w:r>
              <w:rPr>
                <w:rFonts w:ascii="宋体" w:hAnsi="宋体" w:eastAsia="宋体"/>
                <w:sz w:val="16"/>
              </w:rPr>
              <w:t>年12月31日，项目总投资1万元，本项目主要实施内容为给新建的4个“妇女微家”采购相应配套设施及图书；通过实施本项目，积极发挥好微宣讲、微议事、微培训、微调解、微公益、微茶话的作用，着力将“妇女微家”打造成引领思想意识、引导就业示范、倡导乡风文明，指导便民服务的“妇”字号微基地，打通与基层妇女联系的“最后一米”，做妇女群众信赖的娘家人，最大限度把各族妇女团结凝聚在党的周围。</w:t>
            </w:r>
          </w:p>
        </w:tc>
      </w:tr>
      <w:tr w14:paraId="29A6AC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993A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807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E31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E5C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1C4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51D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0C3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F6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661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FA0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553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0CA3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ED66F">
            <w:pPr>
              <w:jc w:val="center"/>
            </w:pPr>
            <w:r>
              <w:rPr>
                <w:rFonts w:ascii="宋体" w:hAnsi="宋体" w:eastAsia="宋体"/>
                <w:sz w:val="16"/>
              </w:rPr>
              <w:t>偏差原因分析及改进措施</w:t>
            </w:r>
          </w:p>
        </w:tc>
      </w:tr>
      <w:tr w14:paraId="644B41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E3A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122A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1B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D230">
            <w:pPr>
              <w:jc w:val="center"/>
            </w:pPr>
            <w:r>
              <w:rPr>
                <w:rFonts w:ascii="宋体" w:hAnsi="宋体" w:eastAsia="宋体"/>
                <w:sz w:val="16"/>
              </w:rPr>
              <w:t>建设“妇女微家”数量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FDE4">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67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78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85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CE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84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AFF5">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58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6F6B9">
            <w:pPr>
              <w:jc w:val="center"/>
            </w:pPr>
          </w:p>
        </w:tc>
      </w:tr>
      <w:tr w14:paraId="0CB2A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7C5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555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25A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71B72">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E4B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D9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4DD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9A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83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66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EC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447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782D3">
            <w:pPr>
              <w:jc w:val="center"/>
            </w:pPr>
          </w:p>
        </w:tc>
      </w:tr>
      <w:tr w14:paraId="2B866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F04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C12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D72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95C2">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F2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53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EE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4D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12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CD4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74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B40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49988">
            <w:pPr>
              <w:jc w:val="center"/>
            </w:pPr>
          </w:p>
        </w:tc>
      </w:tr>
      <w:tr w14:paraId="57FE9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1F6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FBC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8E3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CBF5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1A8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A7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F80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EAB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9E9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CD7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64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C03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4920D">
            <w:pPr>
              <w:jc w:val="center"/>
            </w:pPr>
          </w:p>
        </w:tc>
      </w:tr>
      <w:tr w14:paraId="7853AC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588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703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709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D4B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140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AD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B5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961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9F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1F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26D1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2DB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EE7EF">
            <w:pPr>
              <w:jc w:val="center"/>
            </w:pPr>
          </w:p>
        </w:tc>
      </w:tr>
      <w:tr w14:paraId="0FF716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749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438A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00BF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B090C">
            <w:pPr>
              <w:jc w:val="center"/>
            </w:pPr>
            <w:r>
              <w:rPr>
                <w:rFonts w:ascii="宋体" w:hAnsi="宋体" w:eastAsia="宋体"/>
                <w:sz w:val="16"/>
              </w:rPr>
              <w:t>妇联馆配图书成本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8DB7">
            <w:pPr>
              <w:jc w:val="center"/>
            </w:pPr>
            <w:r>
              <w:rPr>
                <w:rFonts w:ascii="宋体" w:hAnsi="宋体" w:eastAsia="宋体"/>
                <w:sz w:val="16"/>
              </w:rPr>
              <w:t>&lt;=0.19万元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49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5D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8F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4D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F8743">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783AD">
            <w:pPr>
              <w:jc w:val="center"/>
            </w:pPr>
            <w:r>
              <w:rPr>
                <w:rFonts w:ascii="宋体" w:hAnsi="宋体" w:eastAsia="宋体"/>
                <w:sz w:val="16"/>
              </w:rPr>
              <w: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2D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976F8">
            <w:pPr>
              <w:jc w:val="center"/>
            </w:pPr>
          </w:p>
        </w:tc>
      </w:tr>
      <w:tr w14:paraId="619278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4A9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2B0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16B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1108">
            <w:pPr>
              <w:jc w:val="center"/>
            </w:pPr>
            <w:r>
              <w:rPr>
                <w:rFonts w:ascii="宋体" w:hAnsi="宋体" w:eastAsia="宋体"/>
                <w:sz w:val="16"/>
              </w:rPr>
              <w:t>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59F6">
            <w:pPr>
              <w:jc w:val="center"/>
            </w:pPr>
            <w:r>
              <w:rPr>
                <w:rFonts w:ascii="宋体" w:hAnsi="宋体" w:eastAsia="宋体"/>
                <w:sz w:val="16"/>
              </w:rPr>
              <w:t>&lt;=0.81万元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2E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C1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40C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7B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701E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84C0">
            <w:pPr>
              <w:jc w:val="center"/>
            </w:pPr>
            <w:r>
              <w:rPr>
                <w:rFonts w:ascii="宋体" w:hAnsi="宋体" w:eastAsia="宋体"/>
                <w:sz w:val="16"/>
              </w:rPr>
              <w:t>=0.81万元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79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C5C04">
            <w:pPr>
              <w:jc w:val="center"/>
            </w:pPr>
          </w:p>
        </w:tc>
      </w:tr>
      <w:tr w14:paraId="63B615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546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A231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5E23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C628">
            <w:pPr>
              <w:jc w:val="center"/>
            </w:pPr>
            <w:r>
              <w:rPr>
                <w:rFonts w:ascii="宋体" w:hAnsi="宋体" w:eastAsia="宋体"/>
                <w:sz w:val="16"/>
              </w:rPr>
              <w:t>实现联系妇女全覆盖服务妇女零距离的有效平台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1F4BB">
            <w:pPr>
              <w:jc w:val="center"/>
            </w:pPr>
            <w:r>
              <w:rPr>
                <w:rFonts w:ascii="宋体" w:hAnsi="宋体" w:eastAsia="宋体"/>
                <w:sz w:val="16"/>
              </w:rPr>
              <w:t>有效实现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416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43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D4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849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F3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9630">
            <w:pPr>
              <w:jc w:val="center"/>
            </w:pPr>
            <w:r>
              <w:rPr>
                <w:rFonts w:ascii="宋体" w:hAnsi="宋体" w:eastAsia="宋体"/>
                <w:sz w:val="16"/>
              </w:rPr>
              <w:t>有效实现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63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97EB8">
            <w:pPr>
              <w:jc w:val="center"/>
            </w:pPr>
          </w:p>
        </w:tc>
      </w:tr>
      <w:tr w14:paraId="556175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BC8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4CE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3D0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B1D6">
            <w:pPr>
              <w:jc w:val="center"/>
            </w:pPr>
            <w:r>
              <w:rPr>
                <w:rFonts w:ascii="宋体" w:hAnsi="宋体" w:eastAsia="宋体"/>
                <w:sz w:val="16"/>
              </w:rPr>
              <w:t>提高各族妇女团结程度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6EF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35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71D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73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85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C4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128B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A07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49C8D">
            <w:pPr>
              <w:jc w:val="center"/>
            </w:pPr>
          </w:p>
        </w:tc>
      </w:tr>
      <w:tr w14:paraId="509AC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D0B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FD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5A7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124FA">
            <w:pPr>
              <w:jc w:val="center"/>
            </w:pPr>
            <w:r>
              <w:rPr>
                <w:rFonts w:ascii="宋体" w:hAnsi="宋体" w:eastAsia="宋体"/>
                <w:sz w:val="16"/>
              </w:rPr>
              <w:t>妇女满意度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EFF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D6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D4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DC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70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9B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55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64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D135B">
            <w:pPr>
              <w:jc w:val="center"/>
            </w:pPr>
            <w:r>
              <w:rPr>
                <w:rFonts w:ascii="宋体" w:hAnsi="宋体" w:eastAsia="宋体"/>
                <w:sz w:val="16"/>
              </w:rPr>
              <w:t>妇女满意度100%，故存在5%，</w:t>
            </w:r>
          </w:p>
        </w:tc>
      </w:tr>
      <w:tr w14:paraId="57FC789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3524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4B4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20D3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9BA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B7F272"/>
        </w:tc>
      </w:tr>
    </w:tbl>
    <w:p w14:paraId="4C4C9A37">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14:paraId="30FE5CC9">
        <w:tblPrEx>
          <w:tblCellMar>
            <w:top w:w="0" w:type="dxa"/>
            <w:left w:w="108" w:type="dxa"/>
            <w:bottom w:w="0" w:type="dxa"/>
            <w:right w:w="108" w:type="dxa"/>
          </w:tblCellMar>
        </w:tblPrEx>
        <w:tc>
          <w:tcPr>
            <w:tcW w:w="8848" w:type="dxa"/>
            <w:gridSpan w:val="14"/>
            <w:vAlign w:val="center"/>
          </w:tcPr>
          <w:p w14:paraId="359D2AF0">
            <w:pPr>
              <w:jc w:val="center"/>
            </w:pPr>
            <w:r>
              <w:rPr>
                <w:rFonts w:ascii="宋体" w:hAnsi="宋体" w:eastAsia="宋体"/>
                <w:sz w:val="24"/>
              </w:rPr>
              <w:t>项目支出绩效自评表</w:t>
            </w:r>
          </w:p>
        </w:tc>
      </w:tr>
      <w:tr w14:paraId="30090371">
        <w:tblPrEx>
          <w:tblCellMar>
            <w:top w:w="0" w:type="dxa"/>
            <w:left w:w="108" w:type="dxa"/>
            <w:bottom w:w="0" w:type="dxa"/>
            <w:right w:w="108" w:type="dxa"/>
          </w:tblCellMar>
        </w:tblPrEx>
        <w:tc>
          <w:tcPr>
            <w:tcW w:w="8848" w:type="dxa"/>
            <w:gridSpan w:val="14"/>
            <w:vAlign w:val="center"/>
          </w:tcPr>
          <w:p w14:paraId="53C460E6">
            <w:pPr>
              <w:jc w:val="center"/>
            </w:pPr>
            <w:r>
              <w:rPr>
                <w:rFonts w:ascii="宋体" w:hAnsi="宋体" w:eastAsia="宋体"/>
                <w:sz w:val="24"/>
              </w:rPr>
              <w:t>(2024年度)</w:t>
            </w:r>
          </w:p>
        </w:tc>
      </w:tr>
      <w:tr w14:paraId="6FFC4D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B9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E46862">
            <w:pPr>
              <w:jc w:val="center"/>
            </w:pPr>
            <w:r>
              <w:rPr>
                <w:rFonts w:ascii="宋体" w:hAnsi="宋体" w:eastAsia="宋体"/>
                <w:sz w:val="16"/>
              </w:rPr>
              <w:t>2024年疏勒县“石榴花·最美家庭及优秀少年融情交流活动”项目</w:t>
            </w:r>
          </w:p>
        </w:tc>
      </w:tr>
      <w:tr w14:paraId="66661D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15F4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CBAC1E">
            <w:pPr>
              <w:jc w:val="center"/>
            </w:pPr>
            <w:r>
              <w:rPr>
                <w:rFonts w:ascii="宋体" w:hAnsi="宋体" w:eastAsia="宋体"/>
                <w:sz w:val="16"/>
              </w:rPr>
              <w:t>疏勒县妇女联合会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80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E8F975">
            <w:pPr>
              <w:jc w:val="center"/>
            </w:pPr>
            <w:r>
              <w:rPr>
                <w:rFonts w:ascii="宋体" w:hAnsi="宋体" w:eastAsia="宋体"/>
                <w:sz w:val="16"/>
              </w:rPr>
              <w:t>疏勒县妇女联合会</w:t>
            </w:r>
          </w:p>
        </w:tc>
      </w:tr>
      <w:tr w14:paraId="547BC4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0DC6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F61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228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A1C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C2A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4BF9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6C5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32277">
            <w:pPr>
              <w:jc w:val="center"/>
            </w:pPr>
            <w:r>
              <w:rPr>
                <w:rFonts w:ascii="宋体" w:hAnsi="宋体" w:eastAsia="宋体"/>
                <w:sz w:val="16"/>
              </w:rPr>
              <w:t>得分</w:t>
            </w:r>
          </w:p>
        </w:tc>
      </w:tr>
      <w:tr w14:paraId="19B2B1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126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9D2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782C8">
            <w:pPr>
              <w:jc w:val="center"/>
            </w:pPr>
            <w:r>
              <w:rPr>
                <w:rFonts w:ascii="宋体" w:hAnsi="宋体" w:eastAsia="宋体"/>
                <w:sz w:val="16"/>
              </w:rPr>
              <w:t>43.74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D1698">
            <w:pPr>
              <w:jc w:val="center"/>
            </w:pPr>
            <w:r>
              <w:rPr>
                <w:rFonts w:ascii="宋体" w:hAnsi="宋体" w:eastAsia="宋体"/>
                <w:sz w:val="16"/>
              </w:rPr>
              <w:t>43.74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E1886">
            <w:pPr>
              <w:jc w:val="center"/>
            </w:pPr>
            <w:r>
              <w:rPr>
                <w:rFonts w:ascii="宋体" w:hAnsi="宋体" w:eastAsia="宋体"/>
                <w:sz w:val="16"/>
              </w:rPr>
              <w:t>43.74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F28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CF49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59B0">
            <w:pPr>
              <w:jc w:val="center"/>
            </w:pPr>
            <w:r>
              <w:rPr>
                <w:rFonts w:ascii="宋体" w:hAnsi="宋体" w:eastAsia="宋体"/>
                <w:sz w:val="16"/>
              </w:rPr>
              <w:t>10.00分</w:t>
            </w:r>
          </w:p>
        </w:tc>
      </w:tr>
      <w:tr w14:paraId="43064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2CE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585D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396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CA6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C1E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583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59F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370FB">
            <w:pPr>
              <w:jc w:val="center"/>
            </w:pPr>
            <w:r>
              <w:rPr>
                <w:rFonts w:ascii="宋体" w:hAnsi="宋体" w:eastAsia="宋体"/>
                <w:sz w:val="16"/>
              </w:rPr>
              <w:t>—</w:t>
            </w:r>
          </w:p>
        </w:tc>
      </w:tr>
      <w:tr w14:paraId="1A39E5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9FD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B8A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04F36">
            <w:pPr>
              <w:jc w:val="center"/>
            </w:pPr>
            <w:r>
              <w:rPr>
                <w:rFonts w:ascii="宋体" w:hAnsi="宋体" w:eastAsia="宋体"/>
                <w:sz w:val="16"/>
              </w:rPr>
              <w:t>43.74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118BB">
            <w:pPr>
              <w:jc w:val="center"/>
            </w:pPr>
            <w:r>
              <w:rPr>
                <w:rFonts w:ascii="宋体" w:hAnsi="宋体" w:eastAsia="宋体"/>
                <w:sz w:val="16"/>
              </w:rPr>
              <w:t>43.74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4E9D9">
            <w:pPr>
              <w:jc w:val="center"/>
            </w:pPr>
            <w:r>
              <w:rPr>
                <w:rFonts w:ascii="宋体" w:hAnsi="宋体" w:eastAsia="宋体"/>
                <w:sz w:val="16"/>
              </w:rPr>
              <w:t>43.74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9A8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1AE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D012">
            <w:pPr>
              <w:jc w:val="center"/>
            </w:pPr>
            <w:r>
              <w:rPr>
                <w:rFonts w:ascii="宋体" w:hAnsi="宋体" w:eastAsia="宋体"/>
                <w:sz w:val="16"/>
              </w:rPr>
              <w:t>—</w:t>
            </w:r>
          </w:p>
        </w:tc>
      </w:tr>
      <w:tr w14:paraId="02FA2F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9D02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D463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FA3FD1">
            <w:pPr>
              <w:jc w:val="center"/>
            </w:pPr>
            <w:r>
              <w:rPr>
                <w:rFonts w:ascii="宋体" w:hAnsi="宋体" w:eastAsia="宋体"/>
                <w:sz w:val="16"/>
              </w:rPr>
              <w:t>实际完成情况</w:t>
            </w:r>
          </w:p>
        </w:tc>
      </w:tr>
      <w:tr w14:paraId="799D15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CD5F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BFA667">
            <w:pPr>
              <w:jc w:val="both"/>
            </w:pPr>
            <w:r>
              <w:rPr>
                <w:rFonts w:ascii="宋体" w:hAnsi="宋体" w:eastAsia="宋体"/>
                <w:sz w:val="16"/>
              </w:rPr>
              <w:t>此项目年初预算数43.74万元。为做好2024年疏勒县“石榴花·最美家庭及优秀少年融情交流活动”的筛选、结对工作，我县将组织有一定的国语表达能力、在家庭文明、家庭教育、家庭服务、家庭研究等家庭工作领域中作出突出贡献，具有一定的社会影响力和示范带动作用的家庭及品学兼优积极向上的优秀少年共计34名代表赴山东观摩学习。通过组织参观学习援疆省市的文化风情、社会经济发展、家庭家教家风等，促进两地妇女儿童之间的情感与经验交流，让两地少年儿童开阔视野、增长本领、凝心铸魂，自觉做铸牢中华民族共同体意识的践行者，让家庭单元成为文化润疆工作的有力推动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CDB138">
            <w:pPr>
              <w:jc w:val="both"/>
            </w:pPr>
            <w:r>
              <w:rPr>
                <w:rFonts w:hint="eastAsia" w:ascii="宋体" w:hAnsi="宋体"/>
                <w:sz w:val="16"/>
                <w:lang w:eastAsia="zh-CN"/>
              </w:rPr>
              <w:t>截至2024</w:t>
            </w:r>
            <w:r>
              <w:rPr>
                <w:rFonts w:ascii="宋体" w:hAnsi="宋体" w:eastAsia="宋体"/>
                <w:sz w:val="16"/>
              </w:rPr>
              <w:t>年12月31日，项目实际支出43.74万元，为做好2024年疏勒县“石榴花·最美家庭及优秀少年融情交流活动”的筛选、结对工作，我县将组织有一定的国语表达能力、在家庭文明、家庭教育、家庭服务、家庭研究等家庭工作领域中作出突出贡献，具有一定的社会影响力和示范带动作用的家庭及品学兼优积极向上的优秀少年共计34名代表赴山东观摩学习。通过组织参观学习援疆省市的文化风情、社会经济发展、家庭家教家风等，促进两地妇女儿童之间的情感与经验交流，让两地少年儿童开阔视野、增长本领、凝心铸魂，自觉做铸牢中华民族共同体意识的践行者，让家庭单元成为文化润疆工作的有力推动者。</w:t>
            </w:r>
          </w:p>
        </w:tc>
      </w:tr>
      <w:tr w14:paraId="28BAC7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2E1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FE1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70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4783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8AC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DC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62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08F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3B5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932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EF16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49F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42C94">
            <w:pPr>
              <w:jc w:val="center"/>
            </w:pPr>
            <w:r>
              <w:rPr>
                <w:rFonts w:ascii="宋体" w:hAnsi="宋体" w:eastAsia="宋体"/>
                <w:sz w:val="16"/>
              </w:rPr>
              <w:t>偏差原因分析及改进措施</w:t>
            </w:r>
          </w:p>
        </w:tc>
      </w:tr>
      <w:tr w14:paraId="1A9343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901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9B705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605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459C7">
            <w:pPr>
              <w:jc w:val="center"/>
            </w:pPr>
            <w:r>
              <w:rPr>
                <w:rFonts w:ascii="宋体" w:hAnsi="宋体" w:eastAsia="宋体"/>
                <w:sz w:val="16"/>
              </w:rPr>
              <w:t>参加活动人数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BF0E">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D01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CE2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F2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E6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38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2762">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8F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44EEE">
            <w:pPr>
              <w:jc w:val="center"/>
            </w:pPr>
          </w:p>
        </w:tc>
      </w:tr>
      <w:tr w14:paraId="3E3351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ED8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CF7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08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B319E">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4BC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4A5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60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328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7B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7C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92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D6F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06885">
            <w:pPr>
              <w:jc w:val="center"/>
            </w:pPr>
          </w:p>
        </w:tc>
      </w:tr>
      <w:tr w14:paraId="11805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745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E41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C1E1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1692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B9C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94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F2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862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77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BFF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81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04CE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48D3B">
            <w:pPr>
              <w:jc w:val="center"/>
            </w:pPr>
          </w:p>
        </w:tc>
      </w:tr>
      <w:tr w14:paraId="7BCD7D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731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4754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01C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0B04">
            <w:pPr>
              <w:jc w:val="center"/>
            </w:pPr>
            <w:r>
              <w:rPr>
                <w:rFonts w:ascii="宋体" w:hAnsi="宋体" w:eastAsia="宋体"/>
                <w:sz w:val="16"/>
              </w:rPr>
              <w:t>参加活动人员往返机票费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80149">
            <w:pPr>
              <w:jc w:val="center"/>
            </w:pPr>
            <w:r>
              <w:rPr>
                <w:rFonts w:ascii="宋体" w:hAnsi="宋体" w:eastAsia="宋体"/>
                <w:sz w:val="16"/>
              </w:rPr>
              <w:t>&lt;=241080元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5A3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85A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FF9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61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96C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3869B">
            <w:pPr>
              <w:jc w:val="center"/>
            </w:pPr>
            <w:r>
              <w:rPr>
                <w:rFonts w:ascii="宋体" w:hAnsi="宋体" w:eastAsia="宋体"/>
                <w:sz w:val="16"/>
              </w:rPr>
              <w:t>=241080元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8C0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DCCC4">
            <w:pPr>
              <w:jc w:val="center"/>
            </w:pPr>
          </w:p>
        </w:tc>
      </w:tr>
      <w:tr w14:paraId="4BFD39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866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448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454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B88E">
            <w:pPr>
              <w:jc w:val="center"/>
            </w:pPr>
            <w:r>
              <w:rPr>
                <w:rFonts w:ascii="宋体" w:hAnsi="宋体" w:eastAsia="宋体"/>
                <w:sz w:val="16"/>
              </w:rPr>
              <w:t>参加活动人员用车费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ECEE">
            <w:pPr>
              <w:jc w:val="center"/>
            </w:pPr>
            <w:r>
              <w:rPr>
                <w:rFonts w:ascii="宋体" w:hAnsi="宋体" w:eastAsia="宋体"/>
                <w:sz w:val="16"/>
              </w:rPr>
              <w:t>&lt;=50800元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4B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679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887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E5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017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30FC8">
            <w:pPr>
              <w:jc w:val="center"/>
            </w:pPr>
            <w:r>
              <w:rPr>
                <w:rFonts w:ascii="宋体" w:hAnsi="宋体" w:eastAsia="宋体"/>
                <w:sz w:val="16"/>
              </w:rPr>
              <w:t>=50800元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7E09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CF52E">
            <w:pPr>
              <w:jc w:val="center"/>
            </w:pPr>
          </w:p>
        </w:tc>
      </w:tr>
      <w:tr w14:paraId="38AE8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13D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E77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ED5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7208">
            <w:pPr>
              <w:jc w:val="center"/>
            </w:pPr>
            <w:r>
              <w:rPr>
                <w:rFonts w:ascii="宋体" w:hAnsi="宋体" w:eastAsia="宋体"/>
                <w:sz w:val="16"/>
              </w:rPr>
              <w:t>参加活动人员住宿费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E402">
            <w:pPr>
              <w:jc w:val="center"/>
            </w:pPr>
            <w:r>
              <w:rPr>
                <w:rFonts w:ascii="宋体" w:hAnsi="宋体" w:eastAsia="宋体"/>
                <w:sz w:val="16"/>
              </w:rPr>
              <w:t>&lt;=46410元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AA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94B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33A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D69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713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25A48">
            <w:pPr>
              <w:jc w:val="center"/>
            </w:pPr>
            <w:r>
              <w:rPr>
                <w:rFonts w:ascii="宋体" w:hAnsi="宋体" w:eastAsia="宋体"/>
                <w:sz w:val="16"/>
              </w:rPr>
              <w:t>=46410元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E223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2491F">
            <w:pPr>
              <w:jc w:val="center"/>
            </w:pPr>
          </w:p>
        </w:tc>
      </w:tr>
      <w:tr w14:paraId="48567E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F91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0DB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91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9698">
            <w:pPr>
              <w:jc w:val="center"/>
            </w:pPr>
            <w:r>
              <w:rPr>
                <w:rFonts w:ascii="宋体" w:hAnsi="宋体" w:eastAsia="宋体"/>
                <w:sz w:val="16"/>
              </w:rPr>
              <w:t>参加活动人员用餐费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D4A90">
            <w:pPr>
              <w:jc w:val="center"/>
            </w:pPr>
            <w:r>
              <w:rPr>
                <w:rFonts w:ascii="宋体" w:hAnsi="宋体" w:eastAsia="宋体"/>
                <w:sz w:val="16"/>
              </w:rPr>
              <w:t>&lt;=27200元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C06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307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E47A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61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51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7CD7">
            <w:pPr>
              <w:jc w:val="center"/>
            </w:pPr>
            <w:r>
              <w:rPr>
                <w:rFonts w:ascii="宋体" w:hAnsi="宋体" w:eastAsia="宋体"/>
                <w:sz w:val="16"/>
              </w:rPr>
              <w:t>=27200元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D61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53337">
            <w:pPr>
              <w:jc w:val="center"/>
            </w:pPr>
          </w:p>
        </w:tc>
      </w:tr>
      <w:tr w14:paraId="6BF85B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955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C9B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45D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25B1">
            <w:pPr>
              <w:jc w:val="center"/>
            </w:pPr>
            <w:r>
              <w:rPr>
                <w:rFonts w:ascii="宋体" w:hAnsi="宋体" w:eastAsia="宋体"/>
                <w:sz w:val="16"/>
              </w:rPr>
              <w:t>参加活动人员培训学习费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13BA">
            <w:pPr>
              <w:jc w:val="center"/>
            </w:pPr>
            <w:r>
              <w:rPr>
                <w:rFonts w:ascii="宋体" w:hAnsi="宋体" w:eastAsia="宋体"/>
                <w:sz w:val="16"/>
              </w:rPr>
              <w:t>&lt;=45000元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857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8F9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14F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B9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91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B6FE">
            <w:pPr>
              <w:jc w:val="center"/>
            </w:pPr>
            <w:r>
              <w:rPr>
                <w:rFonts w:ascii="宋体" w:hAnsi="宋体" w:eastAsia="宋体"/>
                <w:sz w:val="16"/>
              </w:rPr>
              <w:t>=45000元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59D3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86114">
            <w:pPr>
              <w:jc w:val="center"/>
            </w:pPr>
          </w:p>
        </w:tc>
      </w:tr>
      <w:tr w14:paraId="44853B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1D5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918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803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8110">
            <w:pPr>
              <w:jc w:val="center"/>
            </w:pPr>
            <w:r>
              <w:rPr>
                <w:rFonts w:ascii="宋体" w:hAnsi="宋体" w:eastAsia="宋体"/>
                <w:sz w:val="16"/>
              </w:rPr>
              <w:t>参加活动人员活动保障费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D39C3">
            <w:pPr>
              <w:jc w:val="center"/>
            </w:pPr>
            <w:r>
              <w:rPr>
                <w:rFonts w:ascii="宋体" w:hAnsi="宋体" w:eastAsia="宋体"/>
                <w:sz w:val="16"/>
              </w:rPr>
              <w:t>&lt;=26920元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84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B76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3FB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75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DB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C483">
            <w:pPr>
              <w:jc w:val="center"/>
            </w:pPr>
            <w:r>
              <w:rPr>
                <w:rFonts w:ascii="宋体" w:hAnsi="宋体" w:eastAsia="宋体"/>
                <w:sz w:val="16"/>
              </w:rPr>
              <w:t>=26920元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C1C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1DFAB">
            <w:pPr>
              <w:jc w:val="center"/>
            </w:pPr>
          </w:p>
        </w:tc>
      </w:tr>
      <w:tr w14:paraId="698B0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837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E77E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602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A050">
            <w:pPr>
              <w:jc w:val="center"/>
            </w:pPr>
            <w:r>
              <w:rPr>
                <w:rFonts w:ascii="宋体" w:hAnsi="宋体" w:eastAsia="宋体"/>
                <w:sz w:val="16"/>
              </w:rPr>
              <w:t>提高参加活动人员视野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4A2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98F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8C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D8B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E4C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CE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0F80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EB4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DC2E2">
            <w:pPr>
              <w:jc w:val="center"/>
            </w:pPr>
          </w:p>
        </w:tc>
      </w:tr>
      <w:tr w14:paraId="47F7CC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06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224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17B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86C5">
            <w:pPr>
              <w:jc w:val="center"/>
            </w:pPr>
            <w:r>
              <w:rPr>
                <w:rFonts w:ascii="宋体" w:hAnsi="宋体" w:eastAsia="宋体"/>
                <w:sz w:val="16"/>
              </w:rPr>
              <w:t>提高参加活动人员积极性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40E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986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2CE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E2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A6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57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35E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C04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11B61">
            <w:pPr>
              <w:jc w:val="center"/>
            </w:pPr>
          </w:p>
        </w:tc>
      </w:tr>
      <w:tr w14:paraId="52E4C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9AD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90F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83A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8400">
            <w:pPr>
              <w:jc w:val="center"/>
            </w:pPr>
            <w:r>
              <w:rPr>
                <w:rFonts w:ascii="宋体" w:hAnsi="宋体" w:eastAsia="宋体"/>
                <w:sz w:val="16"/>
              </w:rPr>
              <w:t>提高参加活动人员能力素质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DEF2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05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F60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65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FD0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8A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799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AC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3E9E6">
            <w:pPr>
              <w:jc w:val="center"/>
            </w:pPr>
          </w:p>
        </w:tc>
      </w:tr>
      <w:tr w14:paraId="4B7519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F22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20E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30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F667">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084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E50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054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096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10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8F9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143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CA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684FE">
            <w:pPr>
              <w:jc w:val="center"/>
            </w:pPr>
            <w:r>
              <w:rPr>
                <w:rFonts w:ascii="宋体" w:hAnsi="宋体" w:eastAsia="宋体"/>
                <w:sz w:val="16"/>
              </w:rPr>
              <w:t>参加活动人员满意度100%,故存在5%偏差</w:t>
            </w:r>
          </w:p>
        </w:tc>
      </w:tr>
      <w:tr w14:paraId="52879F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1F06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7B4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ADAF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84F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9BDFD3"/>
        </w:tc>
      </w:tr>
    </w:tbl>
    <w:p w14:paraId="68652C7A">
      <w:r>
        <w:br w:type="page"/>
      </w:r>
    </w:p>
    <w:p w14:paraId="0194EAF5">
      <w:pPr>
        <w:spacing w:line="640" w:lineRule="exact"/>
        <w:ind w:firstLine="640"/>
        <w:jc w:val="both"/>
        <w:outlineLvl w:val="2"/>
      </w:pPr>
      <w:r>
        <w:rPr>
          <w:rFonts w:ascii="黑体" w:hAnsi="黑体" w:eastAsia="黑体"/>
          <w:sz w:val="32"/>
        </w:rPr>
        <w:t>十二、其他需说明的事项</w:t>
      </w:r>
    </w:p>
    <w:p w14:paraId="015F97F7">
      <w:pPr>
        <w:spacing w:line="580" w:lineRule="exact"/>
        <w:ind w:firstLine="640"/>
        <w:jc w:val="both"/>
      </w:pPr>
      <w:r>
        <w:rPr>
          <w:rFonts w:ascii="仿宋_GB2312" w:hAnsi="仿宋_GB2312" w:eastAsia="仿宋_GB2312"/>
          <w:b w:val="0"/>
          <w:sz w:val="32"/>
        </w:rPr>
        <w:t>本单位无其他需说明的事项。</w:t>
      </w:r>
    </w:p>
    <w:p w14:paraId="4E4A40A6">
      <w:r>
        <w:br w:type="page"/>
      </w:r>
    </w:p>
    <w:p w14:paraId="6F702D40">
      <w:pPr>
        <w:spacing w:line="240" w:lineRule="auto"/>
        <w:jc w:val="center"/>
        <w:outlineLvl w:val="1"/>
      </w:pPr>
      <w:r>
        <w:rPr>
          <w:rFonts w:ascii="黑体" w:hAnsi="黑体" w:eastAsia="黑体"/>
          <w:sz w:val="32"/>
        </w:rPr>
        <w:t>第三部分 专业名词解释</w:t>
      </w:r>
    </w:p>
    <w:p w14:paraId="384CC65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AAED20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180E02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C47D9B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14F3E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45D524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A193D2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75A8C8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6C2436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D78F1E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26CA2D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A28AEE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7E0312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CEC1E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86F5796">
      <w:r>
        <w:br w:type="page"/>
      </w:r>
    </w:p>
    <w:p w14:paraId="1F54B924">
      <w:pPr>
        <w:spacing w:line="240" w:lineRule="auto"/>
        <w:jc w:val="center"/>
        <w:outlineLvl w:val="1"/>
      </w:pPr>
      <w:r>
        <w:rPr>
          <w:rFonts w:ascii="黑体" w:hAnsi="黑体" w:eastAsia="黑体"/>
          <w:sz w:val="32"/>
        </w:rPr>
        <w:t>第四部分 部门决算报表（见附表）</w:t>
      </w:r>
    </w:p>
    <w:p w14:paraId="7D3F703E">
      <w:pPr>
        <w:spacing w:line="240" w:lineRule="auto"/>
        <w:ind w:firstLine="640"/>
        <w:jc w:val="both"/>
      </w:pPr>
      <w:r>
        <w:rPr>
          <w:rFonts w:ascii="仿宋_GB2312" w:hAnsi="仿宋_GB2312" w:eastAsia="仿宋_GB2312"/>
          <w:b w:val="0"/>
          <w:sz w:val="32"/>
        </w:rPr>
        <w:t>一、《收入支出决算总表》</w:t>
      </w:r>
    </w:p>
    <w:p w14:paraId="2CEB5D6C">
      <w:pPr>
        <w:spacing w:line="240" w:lineRule="auto"/>
        <w:ind w:firstLine="640"/>
        <w:jc w:val="both"/>
      </w:pPr>
      <w:r>
        <w:rPr>
          <w:rFonts w:ascii="仿宋_GB2312" w:hAnsi="仿宋_GB2312" w:eastAsia="仿宋_GB2312"/>
          <w:b w:val="0"/>
          <w:sz w:val="32"/>
        </w:rPr>
        <w:t>二、《收入决算表》</w:t>
      </w:r>
    </w:p>
    <w:p w14:paraId="63FBFC5B">
      <w:pPr>
        <w:spacing w:line="240" w:lineRule="auto"/>
        <w:ind w:firstLine="640"/>
        <w:jc w:val="both"/>
      </w:pPr>
      <w:r>
        <w:rPr>
          <w:rFonts w:ascii="仿宋_GB2312" w:hAnsi="仿宋_GB2312" w:eastAsia="仿宋_GB2312"/>
          <w:b w:val="0"/>
          <w:sz w:val="32"/>
        </w:rPr>
        <w:t>三、《支出决算表》</w:t>
      </w:r>
    </w:p>
    <w:p w14:paraId="2D1B949B">
      <w:pPr>
        <w:spacing w:line="240" w:lineRule="auto"/>
        <w:ind w:firstLine="640"/>
        <w:jc w:val="both"/>
      </w:pPr>
      <w:r>
        <w:rPr>
          <w:rFonts w:ascii="仿宋_GB2312" w:hAnsi="仿宋_GB2312" w:eastAsia="仿宋_GB2312"/>
          <w:b w:val="0"/>
          <w:sz w:val="32"/>
        </w:rPr>
        <w:t>四、《财政拨款收入支出决算总表》</w:t>
      </w:r>
    </w:p>
    <w:p w14:paraId="7E0C982C">
      <w:pPr>
        <w:spacing w:line="240" w:lineRule="auto"/>
        <w:ind w:firstLine="640"/>
        <w:jc w:val="both"/>
      </w:pPr>
      <w:r>
        <w:rPr>
          <w:rFonts w:ascii="仿宋_GB2312" w:hAnsi="仿宋_GB2312" w:eastAsia="仿宋_GB2312"/>
          <w:b w:val="0"/>
          <w:sz w:val="32"/>
        </w:rPr>
        <w:t>五、《一般公共预算财政拨款支出决算表》</w:t>
      </w:r>
    </w:p>
    <w:p w14:paraId="5CB176DC">
      <w:pPr>
        <w:spacing w:line="240" w:lineRule="auto"/>
        <w:ind w:firstLine="640"/>
        <w:jc w:val="both"/>
      </w:pPr>
      <w:r>
        <w:rPr>
          <w:rFonts w:ascii="仿宋_GB2312" w:hAnsi="仿宋_GB2312" w:eastAsia="仿宋_GB2312"/>
          <w:b w:val="0"/>
          <w:sz w:val="32"/>
        </w:rPr>
        <w:t>六、《一般公共预算财政拨款基本支出决算表》</w:t>
      </w:r>
    </w:p>
    <w:p w14:paraId="5461302A">
      <w:pPr>
        <w:spacing w:line="240" w:lineRule="auto"/>
        <w:ind w:firstLine="640"/>
        <w:jc w:val="both"/>
      </w:pPr>
      <w:r>
        <w:rPr>
          <w:rFonts w:ascii="仿宋_GB2312" w:hAnsi="仿宋_GB2312" w:eastAsia="仿宋_GB2312"/>
          <w:b w:val="0"/>
          <w:sz w:val="32"/>
        </w:rPr>
        <w:t>七、《政府性基金预算财政拨款收入支出决算表》</w:t>
      </w:r>
    </w:p>
    <w:p w14:paraId="08B6C0C5">
      <w:pPr>
        <w:spacing w:line="240" w:lineRule="auto"/>
        <w:ind w:firstLine="640"/>
        <w:jc w:val="both"/>
      </w:pPr>
      <w:r>
        <w:rPr>
          <w:rFonts w:ascii="仿宋_GB2312" w:hAnsi="仿宋_GB2312" w:eastAsia="仿宋_GB2312"/>
          <w:b w:val="0"/>
          <w:sz w:val="32"/>
        </w:rPr>
        <w:t>八、《国有资本经营预算财政拨款收入支出决算表》</w:t>
      </w:r>
    </w:p>
    <w:p w14:paraId="45862EB0">
      <w:pPr>
        <w:spacing w:line="240" w:lineRule="auto"/>
        <w:ind w:firstLine="640"/>
        <w:jc w:val="both"/>
      </w:pPr>
      <w:r>
        <w:rPr>
          <w:rFonts w:ascii="仿宋_GB2312" w:hAnsi="仿宋_GB2312" w:eastAsia="仿宋_GB2312"/>
          <w:b w:val="0"/>
          <w:sz w:val="32"/>
        </w:rPr>
        <w:t>九、《财政拨款“三公”经费支出决算表》</w:t>
      </w:r>
    </w:p>
    <w:p w14:paraId="4D6F5869">
      <w:pPr>
        <w:spacing w:line="240" w:lineRule="auto"/>
        <w:ind w:firstLine="640"/>
        <w:jc w:val="both"/>
      </w:pPr>
    </w:p>
    <w:p w14:paraId="265C713B">
      <w:pPr>
        <w:spacing w:line="240" w:lineRule="auto"/>
        <w:ind w:firstLine="640"/>
        <w:jc w:val="both"/>
      </w:pPr>
    </w:p>
    <w:p w14:paraId="5A4941AF">
      <w:pPr>
        <w:spacing w:line="240" w:lineRule="auto"/>
        <w:ind w:firstLine="640"/>
        <w:jc w:val="both"/>
      </w:pPr>
    </w:p>
    <w:p w14:paraId="16B6CA0A">
      <w:pPr>
        <w:spacing w:line="240" w:lineRule="auto"/>
        <w:ind w:firstLine="640"/>
        <w:jc w:val="both"/>
      </w:pPr>
    </w:p>
    <w:p w14:paraId="266754E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F87F34"/>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0E7A4C"/>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B217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5037</Words>
  <Characters>5689</Characters>
  <Lines>0</Lines>
  <Paragraphs>0</Paragraphs>
  <TotalTime>3</TotalTime>
  <ScaleCrop>false</ScaleCrop>
  <LinksUpToDate>false</LinksUpToDate>
  <CharactersWithSpaces>5697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2025-09-26T05:12:09Z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