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873EA8">
      <w:r>
        <w:br w:type="page"/>
      </w:r>
    </w:p>
    <w:p w14:paraId="5B9506A9">
      <w:pPr>
        <w:spacing w:line="640" w:lineRule="exact"/>
        <w:jc w:val="center"/>
        <w:outlineLvl w:val="1"/>
      </w:pPr>
      <w:r>
        <w:rPr>
          <w:rFonts w:ascii="黑体" w:hAnsi="黑体" w:eastAsia="黑体"/>
          <w:sz w:val="32"/>
        </w:rPr>
        <w:t>第一部分 单位概况</w:t>
      </w:r>
    </w:p>
    <w:p w14:paraId="72639DE0">
      <w:pPr>
        <w:spacing w:line="640" w:lineRule="exact"/>
        <w:ind w:firstLine="640"/>
        <w:jc w:val="both"/>
        <w:outlineLvl w:val="2"/>
      </w:pPr>
      <w:r>
        <w:rPr>
          <w:rFonts w:ascii="黑体" w:hAnsi="黑体" w:eastAsia="黑体"/>
          <w:sz w:val="32"/>
        </w:rPr>
        <w:t>一、主要职能</w:t>
      </w:r>
    </w:p>
    <w:p w14:paraId="29B5AE3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负责全县审计工作。负责对全县财政收支和法律法规规定属于审计监督范围的财务收支的真实、合法和效益进行审计监督，对</w:t>
      </w:r>
      <w:r>
        <w:rPr>
          <w:rFonts w:hint="eastAsia" w:ascii="仿宋_GB2312" w:hAnsi="仿宋_GB2312" w:eastAsia="仿宋_GB2312"/>
          <w:sz w:val="32"/>
          <w:lang w:eastAsia="zh-CN"/>
        </w:rPr>
        <w:t>公共资金、国有资产、国有资源</w:t>
      </w:r>
      <w:r>
        <w:rPr>
          <w:rFonts w:ascii="仿宋_GB2312" w:hAnsi="仿宋_GB2312" w:eastAsia="仿宋_GB2312"/>
          <w:sz w:val="32"/>
        </w:rPr>
        <w:t>和领导干部履行经济责任情况实行审计全覆盖，对领导干部实行自然资源离任审计，对国家有关重大政策措施落实情况进行跟踪审计。对审计、专项审计调查和核查社会会计机构相关审计报告的结果承担责任，并负有督促被审计单位整改的责任。</w:t>
      </w:r>
    </w:p>
    <w:p w14:paraId="6503948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贯彻执行审计法律法规规章、国家审计准则和指南并监督执行。制定并组织实施专业领域审计工作规划。对直接审计、调查和核查的事项依法进行审计评价。作出审计决定或提出审计建议。</w:t>
      </w:r>
    </w:p>
    <w:p w14:paraId="595668E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向审计委员会提出年度审计预算执行和其他财政支出情况审计报告。向县人民政府提出年度县预算执行和其他财政收支情况的审计结果报告。受县人民政府委托向县人大工委提出县本级预算执行和其他财政收支情况的审计工作报告、审计查出问题整改情况报告。向县委、县人民政府报告对其他事项审计和专项审计调查情况及结果。依法向社会公布审计结果。向县有关部门、县乡党委和人民政府通报审计情况和审计结果。</w:t>
      </w:r>
    </w:p>
    <w:p w14:paraId="3D4CBE8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直接审计下列事项，出具审计报告，在法定职权范围内作出审计决定，包括国家有关重大政策贯彻落实情况；县本级预算执行情况和其他财政收支，县本级各部门预算执行情况、决算草案和其他财政收支，县本级各部门预算执行情况、决算草案和其他财政收支，县本级财政转移支付资金；县乡预算执行情况、决算草案和其他财政收支；使用县财</w:t>
      </w:r>
      <w:r>
        <w:rPr>
          <w:rFonts w:hint="eastAsia" w:ascii="仿宋_GB2312" w:hAnsi="仿宋_GB2312" w:eastAsia="仿宋_GB2312"/>
          <w:sz w:val="32"/>
          <w:lang w:eastAsia="zh-CN"/>
        </w:rPr>
        <w:t>政资</w:t>
      </w:r>
      <w:r>
        <w:rPr>
          <w:rFonts w:ascii="仿宋_GB2312" w:hAnsi="仿宋_GB2312" w:eastAsia="仿宋_GB2312"/>
          <w:sz w:val="32"/>
        </w:rPr>
        <w:t>金的事业单位和社会团体的财务收支；国家投资和以国家投资为主的建设项目的预算执行情况和决算；国家重大公共工程的</w:t>
      </w:r>
      <w:r>
        <w:rPr>
          <w:rFonts w:hint="eastAsia" w:ascii="仿宋_GB2312" w:hAnsi="仿宋_GB2312" w:eastAsia="仿宋_GB2312"/>
          <w:sz w:val="32"/>
          <w:lang w:eastAsia="zh-CN"/>
        </w:rPr>
        <w:t>资金</w:t>
      </w:r>
      <w:r>
        <w:rPr>
          <w:rFonts w:ascii="仿宋_GB2312" w:hAnsi="仿宋_GB2312" w:eastAsia="仿宋_GB2312"/>
          <w:sz w:val="32"/>
        </w:rPr>
        <w:t>管理使用和建设运营情况；资源管理、污染防控和生态保护与修复情况；县国有企业和金融机构、县人民政府规定的国有资本占控股或占主导地位的企业和金融机构境内外资产、负债和损益；有关社会保障基金、社会捐赠资金及其他基金、资金的财务收支；国际组织和外国政府援助、贷款项目；法律法规规定的其他事项。</w:t>
      </w:r>
    </w:p>
    <w:p w14:paraId="2C578E4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按规定对属于本级审计机关审计监督对象的党政主要领导干部及其他单位主要负责人实施经济责任审计和自然资源资产离任审计。</w:t>
      </w:r>
    </w:p>
    <w:p w14:paraId="51627147">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组织实施对国家财经法律法规、规章、政策和宏观调控措施执行情况、财政预算管理及国有资产管理使用等与国家财政收支有关的事项进行专项审计调查。</w:t>
      </w:r>
    </w:p>
    <w:p w14:paraId="2DD937C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依法检查审计决定执行情况，督促整改审计查出问题，依法办理被审计单位对审计决定提请行政复议、行政诉讼或县人民政府裁决中的有关事项，协助配合有关部门查处相关重大案件。</w:t>
      </w:r>
    </w:p>
    <w:p w14:paraId="7A576764">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指导和监督审计工作，核查社会审计机构对依法属于审计监督对象的单位出具的相关审计报告。</w:t>
      </w:r>
    </w:p>
    <w:p w14:paraId="4CB206BC">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指导和推广信息技术在审计领域的应用。</w:t>
      </w:r>
    </w:p>
    <w:p w14:paraId="26825F75">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完成县委、县政府交办的其他任务。</w:t>
      </w:r>
    </w:p>
    <w:p w14:paraId="3057A664">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职能转变。进一步完善县级审计管理体制，加强审计工作统筹，明晰审计机关职能定位。理顺职责关系，优化审计资源配置，充实加强一线审计力量，集中构建全面覆盖、权威高效的审计监督体系。优化审计工作机制，坚持科技强审，完善业务流程，改进工作方式，加强与相关部门的沟通协调，充分调动审计和社会力量，增强监督合力。</w:t>
      </w:r>
    </w:p>
    <w:p w14:paraId="571C00A7">
      <w:pPr>
        <w:spacing w:line="640" w:lineRule="exact"/>
        <w:ind w:firstLine="640"/>
        <w:jc w:val="both"/>
        <w:outlineLvl w:val="2"/>
      </w:pPr>
      <w:r>
        <w:rPr>
          <w:rFonts w:ascii="黑体" w:hAnsi="黑体" w:eastAsia="黑体"/>
          <w:sz w:val="32"/>
        </w:rPr>
        <w:t>二、机构设置及人员情况</w:t>
      </w:r>
    </w:p>
    <w:p w14:paraId="459BC87F">
      <w:pPr>
        <w:spacing w:line="580" w:lineRule="exact"/>
        <w:ind w:firstLine="640"/>
        <w:jc w:val="both"/>
      </w:pPr>
      <w:r>
        <w:rPr>
          <w:rFonts w:ascii="仿宋_GB2312" w:hAnsi="仿宋_GB2312" w:eastAsia="仿宋_GB2312"/>
          <w:sz w:val="32"/>
        </w:rPr>
        <w:t>疏勒县审计局2024年度，实有人数24人，其中：在职人员18人，增加1人；离休人员0人，增加0人；退休人员6人,减少1人。</w:t>
      </w:r>
    </w:p>
    <w:p w14:paraId="6275C1B2">
      <w:pPr>
        <w:spacing w:line="580" w:lineRule="exact"/>
        <w:ind w:firstLine="640"/>
        <w:jc w:val="both"/>
      </w:pPr>
      <w:r>
        <w:rPr>
          <w:rFonts w:ascii="仿宋_GB2312" w:hAnsi="仿宋_GB2312" w:eastAsia="仿宋_GB2312"/>
          <w:sz w:val="32"/>
        </w:rPr>
        <w:t>疏勒县审计局无下属预算单位，下设5个科室，分别是：综合审计室、综合办公室、政策法规室、经济责任审计室、固定资产投资审计室。</w:t>
      </w:r>
    </w:p>
    <w:p w14:paraId="0485E0CD">
      <w:r>
        <w:br w:type="page"/>
      </w:r>
    </w:p>
    <w:p w14:paraId="46372B21">
      <w:pPr>
        <w:spacing w:line="240" w:lineRule="auto"/>
        <w:jc w:val="center"/>
        <w:outlineLvl w:val="1"/>
      </w:pPr>
      <w:r>
        <w:rPr>
          <w:rFonts w:ascii="黑体" w:hAnsi="黑体" w:eastAsia="黑体"/>
          <w:sz w:val="32"/>
        </w:rPr>
        <w:t>第二部分 部门决算情况说明</w:t>
      </w:r>
    </w:p>
    <w:p w14:paraId="3D354A83">
      <w:pPr>
        <w:spacing w:line="640" w:lineRule="exact"/>
        <w:ind w:firstLine="640"/>
        <w:jc w:val="both"/>
        <w:outlineLvl w:val="2"/>
      </w:pPr>
      <w:r>
        <w:rPr>
          <w:rFonts w:ascii="黑体" w:hAnsi="黑体" w:eastAsia="黑体"/>
          <w:sz w:val="32"/>
        </w:rPr>
        <w:t>一、收入支出决算总体情况说明</w:t>
      </w:r>
    </w:p>
    <w:p w14:paraId="52C83B4F">
      <w:pPr>
        <w:spacing w:line="580" w:lineRule="exact"/>
        <w:ind w:firstLine="640"/>
        <w:jc w:val="both"/>
      </w:pPr>
      <w:r>
        <w:rPr>
          <w:rFonts w:ascii="仿宋_GB2312" w:hAnsi="仿宋_GB2312" w:eastAsia="仿宋_GB2312"/>
          <w:b/>
          <w:sz w:val="32"/>
        </w:rPr>
        <w:t>2024年度收入总计714.06万元，</w:t>
      </w:r>
      <w:r>
        <w:rPr>
          <w:rFonts w:ascii="仿宋_GB2312" w:hAnsi="仿宋_GB2312" w:eastAsia="仿宋_GB2312"/>
          <w:b w:val="0"/>
          <w:sz w:val="32"/>
        </w:rPr>
        <w:t>其中：本年收入合计664.96万元，使用非财政拨款结余（含专用结余）0.00万元，年初结转和结余49.10万元。</w:t>
      </w:r>
    </w:p>
    <w:p w14:paraId="2F28076A">
      <w:pPr>
        <w:spacing w:line="580" w:lineRule="exact"/>
        <w:ind w:firstLine="640"/>
        <w:jc w:val="both"/>
      </w:pPr>
      <w:r>
        <w:rPr>
          <w:rFonts w:ascii="仿宋_GB2312" w:hAnsi="仿宋_GB2312" w:eastAsia="仿宋_GB2312"/>
          <w:b/>
          <w:sz w:val="32"/>
        </w:rPr>
        <w:t>2024年度支出总计714.06万元，</w:t>
      </w:r>
      <w:r>
        <w:rPr>
          <w:rFonts w:ascii="仿宋_GB2312" w:hAnsi="仿宋_GB2312" w:eastAsia="仿宋_GB2312"/>
          <w:b w:val="0"/>
          <w:sz w:val="32"/>
        </w:rPr>
        <w:t>其中：本年支出合计704.82万元，结余分配0.00万元，年末结转和结余9.24万元。</w:t>
      </w:r>
    </w:p>
    <w:p w14:paraId="4F201D1A">
      <w:pPr>
        <w:spacing w:line="580" w:lineRule="exact"/>
        <w:ind w:firstLine="640"/>
        <w:jc w:val="both"/>
      </w:pPr>
      <w:r>
        <w:rPr>
          <w:rFonts w:ascii="仿宋_GB2312" w:hAnsi="仿宋_GB2312" w:eastAsia="仿宋_GB2312"/>
          <w:b w:val="0"/>
          <w:sz w:val="32"/>
        </w:rPr>
        <w:t>收入支出总体与上年相比，增加91.17万元，增长14.64%，主要原因是：本年在职人员增加，在职人员工资调增、社保、公积金基数调增，人员经费增加；本年增加经济责任审计、乡村振兴专项审计费、审计中介服务费项目。</w:t>
      </w:r>
    </w:p>
    <w:p w14:paraId="2F791A41">
      <w:pPr>
        <w:spacing w:line="640" w:lineRule="exact"/>
        <w:ind w:firstLine="640"/>
        <w:jc w:val="both"/>
        <w:outlineLvl w:val="2"/>
      </w:pPr>
      <w:r>
        <w:rPr>
          <w:rFonts w:ascii="黑体" w:hAnsi="黑体" w:eastAsia="黑体"/>
          <w:sz w:val="32"/>
        </w:rPr>
        <w:t>二、收入决算情况说明</w:t>
      </w:r>
    </w:p>
    <w:p w14:paraId="5C286E6E">
      <w:pPr>
        <w:spacing w:line="580" w:lineRule="exact"/>
        <w:ind w:firstLine="640"/>
        <w:jc w:val="both"/>
      </w:pPr>
      <w:r>
        <w:rPr>
          <w:rFonts w:ascii="仿宋_GB2312" w:hAnsi="仿宋_GB2312" w:eastAsia="仿宋_GB2312"/>
          <w:b/>
          <w:sz w:val="32"/>
        </w:rPr>
        <w:t>本年收入664.96万元，</w:t>
      </w:r>
      <w:r>
        <w:rPr>
          <w:rFonts w:ascii="仿宋_GB2312" w:hAnsi="仿宋_GB2312" w:eastAsia="仿宋_GB2312"/>
          <w:b w:val="0"/>
          <w:sz w:val="32"/>
        </w:rPr>
        <w:t>其中：财政拨款收入661.96万元，占99.55%；上级补助收入0.00万元，占0.00%；事业收入0.00万元，占0.00%；经营收入0.00万元，占0.00%；附属单位上缴收入0.00万元，占0.00%；其他收入3.00万元，占0.45%。</w:t>
      </w:r>
    </w:p>
    <w:p w14:paraId="4FF3CC59">
      <w:pPr>
        <w:spacing w:line="640" w:lineRule="exact"/>
        <w:ind w:firstLine="640"/>
        <w:jc w:val="both"/>
        <w:outlineLvl w:val="2"/>
      </w:pPr>
      <w:r>
        <w:rPr>
          <w:rFonts w:ascii="黑体" w:hAnsi="黑体" w:eastAsia="黑体"/>
          <w:sz w:val="32"/>
        </w:rPr>
        <w:t>三、支出决算情况说明</w:t>
      </w:r>
    </w:p>
    <w:p w14:paraId="192D60D8">
      <w:pPr>
        <w:spacing w:line="580" w:lineRule="exact"/>
        <w:ind w:firstLine="640"/>
        <w:jc w:val="both"/>
      </w:pPr>
      <w:r>
        <w:rPr>
          <w:rFonts w:ascii="仿宋_GB2312" w:hAnsi="仿宋_GB2312" w:eastAsia="仿宋_GB2312"/>
          <w:b/>
          <w:sz w:val="32"/>
        </w:rPr>
        <w:t>本年支出704.82万元，</w:t>
      </w:r>
      <w:r>
        <w:rPr>
          <w:rFonts w:ascii="仿宋_GB2312" w:hAnsi="仿宋_GB2312" w:eastAsia="仿宋_GB2312"/>
          <w:b w:val="0"/>
          <w:sz w:val="32"/>
        </w:rPr>
        <w:t>其中：基本支出348.62万元，占49.46%；项目支出356.20万元，占50.54%；上缴上级支出0.00万元，占0.00%；经营支出0.00万元，占0.00%；对附属单位补助支出0.00万元，占0.00%。</w:t>
      </w:r>
    </w:p>
    <w:p w14:paraId="70EE7BA3">
      <w:pPr>
        <w:spacing w:line="640" w:lineRule="exact"/>
        <w:ind w:firstLine="640"/>
        <w:jc w:val="both"/>
        <w:outlineLvl w:val="2"/>
      </w:pPr>
      <w:r>
        <w:rPr>
          <w:rFonts w:ascii="黑体" w:hAnsi="黑体" w:eastAsia="黑体"/>
          <w:sz w:val="32"/>
        </w:rPr>
        <w:t>四、财政拨款收入支出决算总体情况说明</w:t>
      </w:r>
    </w:p>
    <w:p w14:paraId="174DEF95">
      <w:pPr>
        <w:spacing w:line="580" w:lineRule="exact"/>
        <w:ind w:firstLine="640"/>
        <w:jc w:val="both"/>
      </w:pPr>
      <w:r>
        <w:rPr>
          <w:rFonts w:ascii="仿宋_GB2312" w:hAnsi="仿宋_GB2312" w:eastAsia="仿宋_GB2312"/>
          <w:b/>
          <w:sz w:val="32"/>
        </w:rPr>
        <w:t>2024年度财政拨款收入总计661.96万元，</w:t>
      </w:r>
      <w:r>
        <w:rPr>
          <w:rFonts w:ascii="仿宋_GB2312" w:hAnsi="仿宋_GB2312" w:eastAsia="仿宋_GB2312"/>
          <w:b w:val="0"/>
          <w:sz w:val="32"/>
        </w:rPr>
        <w:t>其中：年初财政拨款结转和结余0.00万元，本年财政拨款收入661.96万元。</w:t>
      </w:r>
      <w:r>
        <w:rPr>
          <w:rFonts w:ascii="仿宋_GB2312" w:hAnsi="仿宋_GB2312" w:eastAsia="仿宋_GB2312"/>
          <w:b/>
          <w:sz w:val="32"/>
        </w:rPr>
        <w:t>财政拨款支出总计661.96万元，</w:t>
      </w:r>
      <w:r>
        <w:rPr>
          <w:rFonts w:ascii="仿宋_GB2312" w:hAnsi="仿宋_GB2312" w:eastAsia="仿宋_GB2312"/>
          <w:b w:val="0"/>
          <w:sz w:val="32"/>
        </w:rPr>
        <w:t>其中：年末财政拨款结转和结余0.00万元，本年财政拨款支出661.96万元。</w:t>
      </w:r>
    </w:p>
    <w:p w14:paraId="1CAC62E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增加39.07万元，增长6.27%，主要原因是：本年在职人员增加，在职人员工资调增、社保、公积金基数调增，人员经费增加，增加经济责任审计项目和乡村振兴专项审计费项目，导致经费较上年增加。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261.03万元，决算数661.96万元，预决算差异率153.60%，主要原因是：本年在职人员增加，工资、社保、公积金等增加，年中追加人员经费，年中追加经济责任审计项目和乡村振兴专项审计费项目，导致预决算存在差异。</w:t>
      </w:r>
    </w:p>
    <w:p w14:paraId="67DBD942">
      <w:pPr>
        <w:spacing w:line="640" w:lineRule="exact"/>
        <w:ind w:firstLine="640"/>
        <w:jc w:val="both"/>
        <w:outlineLvl w:val="2"/>
      </w:pPr>
      <w:r>
        <w:rPr>
          <w:rFonts w:ascii="黑体" w:hAnsi="黑体" w:eastAsia="黑体"/>
          <w:sz w:val="32"/>
        </w:rPr>
        <w:t>五、一般公共预算财政拨款支出决算情况说明</w:t>
      </w:r>
    </w:p>
    <w:p w14:paraId="350E56C0">
      <w:pPr>
        <w:spacing w:line="640" w:lineRule="exact"/>
        <w:ind w:firstLine="640"/>
        <w:jc w:val="both"/>
        <w:outlineLvl w:val="3"/>
      </w:pPr>
      <w:r>
        <w:rPr>
          <w:rFonts w:ascii="楷体_GB2312" w:hAnsi="楷体_GB2312" w:eastAsia="楷体_GB2312"/>
          <w:b/>
          <w:sz w:val="32"/>
        </w:rPr>
        <w:t>（一）一般公共预算财政拨款支出决算总体情况</w:t>
      </w:r>
    </w:p>
    <w:p w14:paraId="1978CBEE">
      <w:pPr>
        <w:spacing w:line="580" w:lineRule="exact"/>
        <w:ind w:firstLine="640"/>
        <w:jc w:val="both"/>
      </w:pPr>
      <w:r>
        <w:rPr>
          <w:rFonts w:ascii="仿宋_GB2312" w:hAnsi="仿宋_GB2312" w:eastAsia="仿宋_GB2312"/>
          <w:b/>
          <w:sz w:val="32"/>
        </w:rPr>
        <w:t>2024年度一般公共预算财政拨款支出661.96万元，</w:t>
      </w:r>
      <w:r>
        <w:rPr>
          <w:rFonts w:ascii="仿宋_GB2312" w:hAnsi="仿宋_GB2312" w:eastAsia="仿宋_GB2312"/>
          <w:b w:val="0"/>
          <w:sz w:val="32"/>
        </w:rPr>
        <w:t>占本年支出合计的93.92%。</w:t>
      </w:r>
      <w:r>
        <w:rPr>
          <w:rFonts w:ascii="仿宋_GB2312" w:hAnsi="仿宋_GB2312" w:eastAsia="仿宋_GB2312"/>
          <w:b/>
          <w:sz w:val="32"/>
        </w:rPr>
        <w:t>与上年相比，</w:t>
      </w:r>
      <w:r>
        <w:rPr>
          <w:rFonts w:ascii="仿宋_GB2312" w:hAnsi="仿宋_GB2312" w:eastAsia="仿宋_GB2312"/>
          <w:b w:val="0"/>
          <w:sz w:val="32"/>
        </w:rPr>
        <w:t>增加39.07万元，增长6.27%，主要原因是：本年在职人员增加，在职人员工资调增、社保、公积金基数调增，人员经费增加，增加经济责任审计项目和乡村振兴专项审计费项目，导致经费较上年增加。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261.03万元，决算数661.96万元，预决算差异率153.60%，主要原因是：本年在职人员增加，工资、社保、公积金等增加，年中追加人员经费，年中追加经济责任审计项目和乡村振兴专项审计费项目，导致预决算存在差异。</w:t>
      </w:r>
    </w:p>
    <w:p w14:paraId="70ABC4E8">
      <w:pPr>
        <w:spacing w:line="640" w:lineRule="exact"/>
        <w:ind w:firstLine="640"/>
        <w:jc w:val="both"/>
        <w:outlineLvl w:val="3"/>
      </w:pPr>
      <w:r>
        <w:rPr>
          <w:rFonts w:ascii="楷体_GB2312" w:hAnsi="楷体_GB2312" w:eastAsia="楷体_GB2312"/>
          <w:b/>
          <w:sz w:val="32"/>
        </w:rPr>
        <w:t>（二）一般公共预算财政拨款支出决算结构情况</w:t>
      </w:r>
    </w:p>
    <w:p w14:paraId="7EDE13FD">
      <w:pPr>
        <w:spacing w:line="580" w:lineRule="exact"/>
        <w:ind w:firstLine="640"/>
        <w:jc w:val="both"/>
      </w:pPr>
      <w:r>
        <w:rPr>
          <w:rFonts w:ascii="仿宋_GB2312" w:hAnsi="仿宋_GB2312" w:eastAsia="仿宋_GB2312"/>
          <w:b w:val="0"/>
          <w:sz w:val="32"/>
        </w:rPr>
        <w:t>1.一般公共服务支出(类)390.12万元,占58.93%。</w:t>
      </w:r>
    </w:p>
    <w:p w14:paraId="51710F45">
      <w:pPr>
        <w:spacing w:line="580" w:lineRule="exact"/>
        <w:ind w:firstLine="640"/>
        <w:jc w:val="both"/>
      </w:pPr>
      <w:r>
        <w:rPr>
          <w:rFonts w:ascii="仿宋_GB2312" w:hAnsi="仿宋_GB2312" w:eastAsia="仿宋_GB2312"/>
          <w:b w:val="0"/>
          <w:sz w:val="32"/>
        </w:rPr>
        <w:t>2.社会保障和就业支出(类)39.79万元,占6.01%。</w:t>
      </w:r>
    </w:p>
    <w:p w14:paraId="6FF7F90E">
      <w:pPr>
        <w:spacing w:line="580" w:lineRule="exact"/>
        <w:ind w:firstLine="640"/>
        <w:jc w:val="both"/>
      </w:pPr>
      <w:r>
        <w:rPr>
          <w:rFonts w:ascii="仿宋_GB2312" w:hAnsi="仿宋_GB2312" w:eastAsia="仿宋_GB2312"/>
          <w:b w:val="0"/>
          <w:sz w:val="32"/>
        </w:rPr>
        <w:t>3.卫生健康支出(类)14.36万元,占2.17%。</w:t>
      </w:r>
    </w:p>
    <w:p w14:paraId="65E9DD0E">
      <w:pPr>
        <w:spacing w:line="580" w:lineRule="exact"/>
        <w:ind w:firstLine="640"/>
        <w:jc w:val="both"/>
      </w:pPr>
      <w:r>
        <w:rPr>
          <w:rFonts w:ascii="仿宋_GB2312" w:hAnsi="仿宋_GB2312" w:eastAsia="仿宋_GB2312"/>
          <w:b w:val="0"/>
          <w:sz w:val="32"/>
        </w:rPr>
        <w:t>4.农林水支出(类)194.00万元,占29.31%。</w:t>
      </w:r>
    </w:p>
    <w:p w14:paraId="0C6C2028">
      <w:pPr>
        <w:spacing w:line="580" w:lineRule="exact"/>
        <w:ind w:firstLine="640"/>
        <w:jc w:val="both"/>
      </w:pPr>
      <w:r>
        <w:rPr>
          <w:rFonts w:ascii="仿宋_GB2312" w:hAnsi="仿宋_GB2312" w:eastAsia="仿宋_GB2312"/>
          <w:b w:val="0"/>
          <w:sz w:val="32"/>
        </w:rPr>
        <w:t>5.住房保障支出(类)23.70万元,占3.58%。</w:t>
      </w:r>
    </w:p>
    <w:p w14:paraId="788AE642">
      <w:pPr>
        <w:spacing w:line="640" w:lineRule="exact"/>
        <w:ind w:firstLine="640"/>
        <w:jc w:val="both"/>
        <w:outlineLvl w:val="3"/>
      </w:pPr>
      <w:r>
        <w:rPr>
          <w:rFonts w:ascii="楷体_GB2312" w:hAnsi="楷体_GB2312" w:eastAsia="楷体_GB2312"/>
          <w:b/>
          <w:sz w:val="32"/>
        </w:rPr>
        <w:t>（三）一般公共预算财政拨款支出决算具体情况</w:t>
      </w:r>
    </w:p>
    <w:p w14:paraId="26B1080B">
      <w:pPr>
        <w:spacing w:line="580" w:lineRule="exact"/>
        <w:ind w:firstLine="640"/>
        <w:jc w:val="both"/>
      </w:pPr>
      <w:r>
        <w:rPr>
          <w:rFonts w:ascii="仿宋_GB2312" w:hAnsi="仿宋_GB2312" w:eastAsia="仿宋_GB2312"/>
          <w:b w:val="0"/>
          <w:sz w:val="32"/>
        </w:rPr>
        <w:t>1.一般公共服务支出(类)审计事务(款)行政运行(项):支出决算数为227.91万元，比上年决算增加31.38万元，增长15.97%,主要原因是：本年新增在职人员，人员经费增加，导致经费较上年有所增加。</w:t>
      </w:r>
    </w:p>
    <w:p w14:paraId="2FB21494">
      <w:pPr>
        <w:spacing w:line="580" w:lineRule="exact"/>
        <w:ind w:firstLine="640"/>
        <w:jc w:val="both"/>
      </w:pPr>
      <w:r>
        <w:rPr>
          <w:rFonts w:ascii="仿宋_GB2312" w:hAnsi="仿宋_GB2312" w:eastAsia="仿宋_GB2312"/>
          <w:b w:val="0"/>
          <w:sz w:val="32"/>
        </w:rPr>
        <w:t>2.一般公共服务支出(类)审计事务(款)审计业务(项):支出决算数为157.00万元，比上年决算增加157.00万元，增长100.00%,主要原因是：本年增加经济责任审计、乡村振兴专项审计费、审计中介服务费项目，相应支出增加。</w:t>
      </w:r>
    </w:p>
    <w:p w14:paraId="6F91ADFF">
      <w:pPr>
        <w:spacing w:line="580" w:lineRule="exact"/>
        <w:ind w:firstLine="640"/>
        <w:jc w:val="both"/>
      </w:pPr>
      <w:r>
        <w:rPr>
          <w:rFonts w:ascii="仿宋_GB2312" w:hAnsi="仿宋_GB2312" w:eastAsia="仿宋_GB2312"/>
          <w:b w:val="0"/>
          <w:sz w:val="32"/>
        </w:rPr>
        <w:t>3.一般公共服务支出(类)审计事务(款)其他审计事务支出(项):支出决算数为5.20万元，比上年决算增加5.20万元，增长100.00%,主要原因是：本年增加2024年审计工作经费项目。</w:t>
      </w:r>
    </w:p>
    <w:p w14:paraId="17D06EE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4.社会保障和就业支出(类)行政事业单位养老支出(款)行政单位离退休(项):支出决算数为9.82万元，比上年决算增加1.86万元，增长23.37%,主要原因是：本年增加退休人员基础绩效奖，退休费支出增加。</w:t>
      </w:r>
    </w:p>
    <w:p w14:paraId="4070133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29.96万元，比上年决算增加7.63万元，增长34.17%,主要原因是：本年度在职人员增加，养老保险缴费支出增加。</w:t>
      </w:r>
    </w:p>
    <w:p w14:paraId="4E9B37B5">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14.19万元，下降100.00%,主要原因是：本年无新增退休人员，职业年金缴费较上年减少。</w:t>
      </w:r>
    </w:p>
    <w:p w14:paraId="61459E54">
      <w:pPr>
        <w:spacing w:line="580" w:lineRule="exact"/>
        <w:ind w:firstLine="640"/>
        <w:jc w:val="both"/>
      </w:pPr>
      <w:r>
        <w:rPr>
          <w:rFonts w:ascii="仿宋_GB2312" w:hAnsi="仿宋_GB2312" w:eastAsia="仿宋_GB2312"/>
          <w:b w:val="0"/>
          <w:sz w:val="32"/>
        </w:rPr>
        <w:t>7.卫生健康支出(类)行政事业单位医疗(款)行政单位医疗(项):支出决算数为12.73万元，比上年决算增加2.91万元，增长29.63%,主要原因是：本年在职人员增加，行政单位医疗支出较上年增加。</w:t>
      </w:r>
    </w:p>
    <w:p w14:paraId="16414A9D">
      <w:pPr>
        <w:spacing w:line="580" w:lineRule="exact"/>
        <w:ind w:firstLine="640"/>
        <w:jc w:val="both"/>
      </w:pPr>
      <w:r>
        <w:rPr>
          <w:rFonts w:ascii="仿宋_GB2312" w:hAnsi="仿宋_GB2312" w:eastAsia="仿宋_GB2312"/>
          <w:b w:val="0"/>
          <w:sz w:val="32"/>
        </w:rPr>
        <w:t>8.卫生健康支出(类)行政事业单位医疗(款)公务员医疗补助(项):支出决算数为1.63万元，比上年决算增加0.47万元，增长40.52%,主要原因是：本年在职人员增加，公务员医疗补助较上年增加。</w:t>
      </w:r>
    </w:p>
    <w:p w14:paraId="400E78BB">
      <w:pPr>
        <w:spacing w:line="580" w:lineRule="exact"/>
        <w:ind w:firstLine="640"/>
        <w:jc w:val="both"/>
      </w:pPr>
      <w:r>
        <w:rPr>
          <w:rFonts w:ascii="仿宋_GB2312" w:hAnsi="仿宋_GB2312" w:eastAsia="仿宋_GB2312"/>
          <w:b w:val="0"/>
          <w:sz w:val="32"/>
        </w:rPr>
        <w:t>9.农林水支出(类)农业农村(款)其他农业农村支出(项):支出决算数为13.15万元，比上年决算减少1.99万元，下降13.14%,主要原因是：本年度无疏勒县2023年为民办实事经费项目。</w:t>
      </w:r>
    </w:p>
    <w:p w14:paraId="719F1549">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10.农林水支出(类)巩固脱贫攻坚成果衔接乡村振兴(款)农村基础设施建设(项):支出决算数为0.00万元，比上年决算减少25.22万元，下降100.00%,主要原因是：本年度无疏勒县2023年项目管理费项目。</w:t>
      </w:r>
    </w:p>
    <w:p w14:paraId="1E29D3A4">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11.农林水支出(类)巩固脱贫攻坚成果衔接乡村振兴(款)生产发展(项):支出决算数为180.85万元，比上年决算减少131.88万元，下降42.17%,主要原因是：本年度减少疏勒县管理费项目。</w:t>
      </w:r>
    </w:p>
    <w:p w14:paraId="254D8043">
      <w:pPr>
        <w:spacing w:line="580" w:lineRule="exact"/>
        <w:ind w:firstLine="640"/>
        <w:jc w:val="both"/>
      </w:pPr>
      <w:r>
        <w:rPr>
          <w:rFonts w:ascii="仿宋_GB2312" w:hAnsi="仿宋_GB2312" w:eastAsia="仿宋_GB2312"/>
          <w:b w:val="0"/>
          <w:sz w:val="32"/>
        </w:rPr>
        <w:t>12.住房保障支出(类)住房改革支出(款)住房公积金(项):支出决算数为23.70万元，比上年决算增加5.90万元，增长33.15%,主要原因是：本年在职人员增加，住房公积金支出较上年增加。</w:t>
      </w:r>
    </w:p>
    <w:p w14:paraId="7D602101">
      <w:pPr>
        <w:spacing w:line="640" w:lineRule="exact"/>
        <w:ind w:firstLine="640"/>
        <w:jc w:val="both"/>
        <w:outlineLvl w:val="2"/>
      </w:pPr>
      <w:r>
        <w:rPr>
          <w:rFonts w:ascii="黑体" w:hAnsi="黑体" w:eastAsia="黑体"/>
          <w:sz w:val="32"/>
        </w:rPr>
        <w:t>六、一般公共预算财政拨款基本支出决算情况说明</w:t>
      </w:r>
    </w:p>
    <w:p w14:paraId="27F1B241">
      <w:pPr>
        <w:spacing w:line="580" w:lineRule="exact"/>
        <w:ind w:firstLine="640"/>
        <w:jc w:val="both"/>
      </w:pPr>
      <w:r>
        <w:rPr>
          <w:rFonts w:ascii="仿宋_GB2312" w:hAnsi="仿宋_GB2312" w:eastAsia="仿宋_GB2312"/>
          <w:b w:val="0"/>
          <w:sz w:val="32"/>
        </w:rPr>
        <w:t>2024年度一般公共预算财政拨款基本支出305.76万元，其中：</w:t>
      </w:r>
      <w:r>
        <w:rPr>
          <w:rFonts w:ascii="仿宋_GB2312" w:hAnsi="仿宋_GB2312" w:eastAsia="仿宋_GB2312"/>
          <w:b/>
          <w:sz w:val="32"/>
        </w:rPr>
        <w:t>人员经费301.45万元，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125446F9">
      <w:pPr>
        <w:spacing w:line="580" w:lineRule="exact"/>
        <w:ind w:firstLine="640"/>
        <w:jc w:val="both"/>
      </w:pPr>
      <w:r>
        <w:rPr>
          <w:rFonts w:ascii="仿宋_GB2312" w:hAnsi="仿宋_GB2312" w:eastAsia="仿宋_GB2312"/>
          <w:b/>
          <w:sz w:val="32"/>
        </w:rPr>
        <w:t>公用经费4.31万元，</w:t>
      </w:r>
      <w:r>
        <w:rPr>
          <w:rFonts w:ascii="仿宋_GB2312" w:hAnsi="仿宋_GB2312" w:eastAsia="仿宋_GB2312"/>
          <w:b w:val="0"/>
          <w:sz w:val="32"/>
        </w:rPr>
        <w:t>包括：办公费、差旅费、维修（护）费、公务用车运行维护费、其他交通费用、其他商品和服务支出。</w:t>
      </w:r>
    </w:p>
    <w:p w14:paraId="5792F309">
      <w:pPr>
        <w:spacing w:line="640" w:lineRule="exact"/>
        <w:ind w:firstLine="640"/>
        <w:jc w:val="both"/>
        <w:outlineLvl w:val="2"/>
      </w:pPr>
      <w:r>
        <w:rPr>
          <w:rFonts w:ascii="黑体" w:hAnsi="黑体" w:eastAsia="黑体"/>
          <w:sz w:val="32"/>
        </w:rPr>
        <w:t>七、政府性基金预算财政拨款收入支出决算情况说明</w:t>
      </w:r>
    </w:p>
    <w:p w14:paraId="4CC9E40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691EAE">
      <w:pPr>
        <w:spacing w:line="640" w:lineRule="exact"/>
        <w:ind w:firstLine="640"/>
        <w:jc w:val="both"/>
        <w:outlineLvl w:val="2"/>
      </w:pPr>
      <w:r>
        <w:rPr>
          <w:rFonts w:ascii="黑体" w:hAnsi="黑体" w:eastAsia="黑体"/>
          <w:sz w:val="32"/>
        </w:rPr>
        <w:t>八、国有资本经营预算财政拨款收入支出决算情况说明</w:t>
      </w:r>
    </w:p>
    <w:p w14:paraId="0C9961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41CCF3">
      <w:pPr>
        <w:spacing w:line="640" w:lineRule="exact"/>
        <w:ind w:firstLine="640"/>
        <w:jc w:val="both"/>
        <w:outlineLvl w:val="2"/>
      </w:pPr>
      <w:r>
        <w:rPr>
          <w:rFonts w:ascii="黑体" w:hAnsi="黑体" w:eastAsia="黑体"/>
          <w:sz w:val="32"/>
        </w:rPr>
        <w:t>九、财政拨款“三公”经费支出决算情况说明</w:t>
      </w:r>
    </w:p>
    <w:p w14:paraId="62EDEBBC">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减少0.52万元，下降40.00%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0.78万元，占100.00%，比上年减少0.52万元，下降40.00%，主要原因是：严格落实中央八项规定精神，厉行节约，减少公务用车运行维护费。公务接待费支出0.00万元，占0.00%，比上年增加0.00万元，增长0.00%，主要原因是：2023年与2024年均未安排公务接待费支出。</w:t>
      </w:r>
    </w:p>
    <w:p w14:paraId="24674E77">
      <w:pPr>
        <w:spacing w:line="580" w:lineRule="exact"/>
        <w:ind w:firstLine="640"/>
        <w:jc w:val="both"/>
      </w:pPr>
      <w:r>
        <w:rPr>
          <w:rFonts w:ascii="仿宋_GB2312" w:hAnsi="仿宋_GB2312" w:eastAsia="仿宋_GB2312"/>
          <w:b/>
          <w:sz w:val="32"/>
        </w:rPr>
        <w:t>具体情况如下：</w:t>
      </w:r>
    </w:p>
    <w:p w14:paraId="5637815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F3E2458">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等。公务用车购置数0辆，公务用车保有量1辆。国有资产占用情况中固定资产车辆1辆，与公务用车保有量差异原因是：本单位固定资产车辆与公务用车保有量一致无差异。</w:t>
      </w:r>
    </w:p>
    <w:p w14:paraId="4BBF023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3573E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776C59B3">
      <w:pPr>
        <w:spacing w:line="640" w:lineRule="exact"/>
        <w:ind w:firstLine="640"/>
        <w:jc w:val="both"/>
        <w:outlineLvl w:val="2"/>
      </w:pPr>
      <w:r>
        <w:rPr>
          <w:rFonts w:ascii="黑体" w:hAnsi="黑体" w:eastAsia="黑体"/>
          <w:sz w:val="32"/>
        </w:rPr>
        <w:t>十、其他重要事项的情况说明</w:t>
      </w:r>
    </w:p>
    <w:p w14:paraId="4DB25D9F">
      <w:pPr>
        <w:spacing w:line="640" w:lineRule="exact"/>
        <w:ind w:firstLine="640"/>
        <w:jc w:val="both"/>
        <w:outlineLvl w:val="3"/>
      </w:pPr>
      <w:r>
        <w:rPr>
          <w:rFonts w:ascii="楷体_GB2312" w:hAnsi="楷体_GB2312" w:eastAsia="楷体_GB2312"/>
          <w:b/>
          <w:sz w:val="32"/>
        </w:rPr>
        <w:t>（一）机关运行经费及公用经费支出情况</w:t>
      </w:r>
    </w:p>
    <w:p w14:paraId="2DCD5655">
      <w:pPr>
        <w:spacing w:line="580" w:lineRule="exact"/>
        <w:ind w:firstLine="640"/>
        <w:jc w:val="both"/>
      </w:pPr>
      <w:r>
        <w:rPr>
          <w:rFonts w:ascii="仿宋_GB2312" w:hAnsi="仿宋_GB2312" w:eastAsia="仿宋_GB2312"/>
          <w:b w:val="0"/>
          <w:sz w:val="32"/>
        </w:rPr>
        <w:t>2024年度疏勒县审计局（行政单位和参照公务员法管理事业单位）机关运行经费支出4.31万元，比上年减少0.51万元，下降10.58%，主要原因是：严格控制经费，合理节约办公用品，减少不必要开支。</w:t>
      </w:r>
    </w:p>
    <w:p w14:paraId="6CA08B8B">
      <w:pPr>
        <w:spacing w:line="640" w:lineRule="exact"/>
        <w:ind w:firstLine="640"/>
        <w:jc w:val="both"/>
        <w:outlineLvl w:val="3"/>
      </w:pPr>
      <w:r>
        <w:rPr>
          <w:rFonts w:ascii="楷体_GB2312" w:hAnsi="楷体_GB2312" w:eastAsia="楷体_GB2312"/>
          <w:b/>
          <w:sz w:val="32"/>
        </w:rPr>
        <w:t>（二）政府采购情况</w:t>
      </w:r>
    </w:p>
    <w:p w14:paraId="1D39EAC8">
      <w:pPr>
        <w:spacing w:line="580" w:lineRule="exact"/>
        <w:ind w:firstLine="640"/>
        <w:jc w:val="both"/>
      </w:pPr>
      <w:r>
        <w:rPr>
          <w:rFonts w:ascii="仿宋_GB2312" w:hAnsi="仿宋_GB2312" w:eastAsia="仿宋_GB2312"/>
          <w:b w:val="0"/>
          <w:sz w:val="32"/>
        </w:rPr>
        <w:t>2024年度政府采购支出总额238.12万元，其中：政府采购货物支出8.87万元、政府采购工程支出0.00万元、政府采购服务支出229.24万元。</w:t>
      </w:r>
    </w:p>
    <w:p w14:paraId="1727FD2C">
      <w:pPr>
        <w:spacing w:line="580" w:lineRule="exact"/>
        <w:ind w:firstLine="640"/>
        <w:jc w:val="both"/>
      </w:pPr>
      <w:r>
        <w:rPr>
          <w:rFonts w:ascii="仿宋_GB2312" w:hAnsi="仿宋_GB2312" w:eastAsia="仿宋_GB2312"/>
          <w:b w:val="0"/>
          <w:sz w:val="32"/>
        </w:rPr>
        <w:t>授予中小企业合同金额234.96万元，占政府采购支出总额的98.67%，其中：授予小微企业合同金额234.96万元，占政府采购支出总额的98.67%。</w:t>
      </w:r>
    </w:p>
    <w:p w14:paraId="5BDD50FF">
      <w:pPr>
        <w:spacing w:line="640" w:lineRule="exact"/>
        <w:ind w:firstLine="640"/>
        <w:jc w:val="both"/>
        <w:outlineLvl w:val="3"/>
      </w:pPr>
      <w:r>
        <w:rPr>
          <w:rFonts w:ascii="楷体_GB2312" w:hAnsi="楷体_GB2312" w:eastAsia="楷体_GB2312"/>
          <w:b/>
          <w:sz w:val="32"/>
        </w:rPr>
        <w:t>（三）国有资产占用情况说明</w:t>
      </w:r>
    </w:p>
    <w:p w14:paraId="39FE0B16">
      <w:pPr>
        <w:spacing w:line="580" w:lineRule="exact"/>
        <w:ind w:firstLine="640"/>
        <w:jc w:val="both"/>
      </w:pPr>
      <w:r>
        <w:rPr>
          <w:rFonts w:ascii="仿宋_GB2312" w:hAnsi="仿宋_GB2312" w:eastAsia="仿宋_GB2312"/>
          <w:b w:val="0"/>
          <w:sz w:val="32"/>
        </w:rPr>
        <w:t>截至2024年12月31日，房屋0.00平方米，价值0.00万元。车辆1辆，价值17.53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2313E82">
      <w:pPr>
        <w:spacing w:line="640" w:lineRule="exact"/>
        <w:ind w:firstLine="640"/>
        <w:jc w:val="both"/>
        <w:outlineLvl w:val="2"/>
      </w:pPr>
      <w:r>
        <w:rPr>
          <w:rFonts w:ascii="黑体" w:hAnsi="黑体" w:eastAsia="黑体"/>
          <w:sz w:val="32"/>
        </w:rPr>
        <w:t>十一、预算绩效的情况说明</w:t>
      </w:r>
    </w:p>
    <w:p w14:paraId="64C488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714.06万元，实际执行总额704.82万元；预算绩效评价项目3个，全年预算数162.20万元，全年执行数162.20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项目细化管理工作不足。各项资金的使用没有做到细致的预算，造成项目遇到各种不确定因素，财政资金无法发挥最大使用效益。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4A1E5B0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1D7C14">
        <w:tblPrEx>
          <w:tblCellMar>
            <w:top w:w="0" w:type="dxa"/>
            <w:left w:w="108" w:type="dxa"/>
            <w:bottom w:w="0" w:type="dxa"/>
            <w:right w:w="108" w:type="dxa"/>
          </w:tblCellMar>
        </w:tblPrEx>
        <w:tc>
          <w:tcPr>
            <w:tcW w:w="8847" w:type="dxa"/>
            <w:gridSpan w:val="9"/>
            <w:vAlign w:val="center"/>
          </w:tcPr>
          <w:p w14:paraId="41E3B40B">
            <w:pPr>
              <w:jc w:val="center"/>
            </w:pPr>
            <w:r>
              <w:rPr>
                <w:rFonts w:ascii="宋体" w:hAnsi="宋体" w:eastAsia="宋体"/>
                <w:sz w:val="24"/>
              </w:rPr>
              <w:t>单位整体支出绩效自评表</w:t>
            </w:r>
          </w:p>
        </w:tc>
      </w:tr>
      <w:tr w14:paraId="2367C952">
        <w:tblPrEx>
          <w:tblCellMar>
            <w:top w:w="0" w:type="dxa"/>
            <w:left w:w="108" w:type="dxa"/>
            <w:bottom w:w="0" w:type="dxa"/>
            <w:right w:w="108" w:type="dxa"/>
          </w:tblCellMar>
        </w:tblPrEx>
        <w:tc>
          <w:tcPr>
            <w:tcW w:w="8847" w:type="dxa"/>
            <w:gridSpan w:val="9"/>
            <w:vAlign w:val="center"/>
          </w:tcPr>
          <w:p w14:paraId="7F73E30A">
            <w:pPr>
              <w:jc w:val="center"/>
            </w:pPr>
            <w:r>
              <w:rPr>
                <w:rFonts w:ascii="宋体" w:hAnsi="宋体" w:eastAsia="宋体"/>
                <w:sz w:val="24"/>
              </w:rPr>
              <w:t>（2024年度）</w:t>
            </w:r>
          </w:p>
        </w:tc>
      </w:tr>
      <w:tr w14:paraId="38E9DA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B965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C6C9DF">
            <w:pPr>
              <w:jc w:val="center"/>
            </w:pPr>
            <w:r>
              <w:rPr>
                <w:rFonts w:ascii="宋体" w:hAnsi="宋体" w:eastAsia="宋体"/>
                <w:sz w:val="16"/>
              </w:rPr>
              <w:t>疏勒县审计局</w:t>
            </w:r>
          </w:p>
        </w:tc>
      </w:tr>
      <w:tr w14:paraId="12299D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EBBE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90A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103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DCA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4C7E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332D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BD92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347C">
            <w:pPr>
              <w:jc w:val="center"/>
            </w:pPr>
            <w:r>
              <w:rPr>
                <w:rFonts w:ascii="宋体" w:hAnsi="宋体" w:eastAsia="宋体"/>
                <w:sz w:val="16"/>
              </w:rPr>
              <w:t>得分</w:t>
            </w:r>
          </w:p>
        </w:tc>
      </w:tr>
      <w:tr w14:paraId="64DC72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028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274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FD4D">
            <w:pPr>
              <w:jc w:val="center"/>
            </w:pPr>
            <w:r>
              <w:rPr>
                <w:rFonts w:ascii="宋体" w:hAnsi="宋体" w:eastAsia="宋体"/>
                <w:sz w:val="16"/>
              </w:rPr>
              <w:t>261.03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27D3A">
            <w:pPr>
              <w:jc w:val="center"/>
            </w:pPr>
            <w:r>
              <w:rPr>
                <w:rFonts w:ascii="宋体" w:hAnsi="宋体" w:eastAsia="宋体"/>
                <w:sz w:val="16"/>
              </w:rPr>
              <w:t>714.06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1721D">
            <w:pPr>
              <w:jc w:val="center"/>
            </w:pPr>
            <w:r>
              <w:rPr>
                <w:rFonts w:ascii="宋体" w:hAnsi="宋体" w:eastAsia="宋体"/>
                <w:sz w:val="16"/>
              </w:rPr>
              <w:t>704.82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6FA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149A4">
            <w:pPr>
              <w:jc w:val="center"/>
            </w:pPr>
            <w:r>
              <w:rPr>
                <w:rFonts w:ascii="宋体" w:hAnsi="宋体" w:eastAsia="宋体"/>
                <w:sz w:val="16"/>
              </w:rPr>
              <w:t>98.71%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3CA78">
            <w:pPr>
              <w:jc w:val="center"/>
            </w:pPr>
            <w:r>
              <w:rPr>
                <w:rFonts w:ascii="宋体" w:hAnsi="宋体" w:eastAsia="宋体"/>
                <w:sz w:val="16"/>
              </w:rPr>
              <w:t>9.87</w:t>
            </w:r>
          </w:p>
        </w:tc>
      </w:tr>
      <w:tr w14:paraId="5EBA54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4BF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3855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38F60">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29D24">
            <w:pPr>
              <w:jc w:val="center"/>
            </w:pPr>
            <w:r>
              <w:rPr>
                <w:rFonts w:ascii="宋体" w:hAnsi="宋体" w:eastAsia="宋体"/>
                <w:sz w:val="16"/>
              </w:rPr>
              <w:t>256.12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CAF73">
            <w:pPr>
              <w:jc w:val="center"/>
            </w:pPr>
            <w:r>
              <w:rPr>
                <w:rFonts w:ascii="宋体" w:hAnsi="宋体" w:eastAsia="宋体"/>
                <w:sz w:val="16"/>
              </w:rPr>
              <w:t>256.12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2BB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8F7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5097E">
            <w:pPr>
              <w:jc w:val="center"/>
            </w:pPr>
            <w:r>
              <w:rPr>
                <w:rFonts w:ascii="宋体" w:hAnsi="宋体" w:eastAsia="宋体"/>
                <w:sz w:val="16"/>
              </w:rPr>
              <w:t>—</w:t>
            </w:r>
          </w:p>
        </w:tc>
      </w:tr>
      <w:tr w14:paraId="68BD74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960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E24C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F9D68">
            <w:pPr>
              <w:jc w:val="center"/>
            </w:pPr>
            <w:r>
              <w:rPr>
                <w:rFonts w:ascii="宋体" w:hAnsi="宋体" w:eastAsia="宋体"/>
                <w:sz w:val="16"/>
              </w:rPr>
              <w:t>251.03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67A56">
            <w:pPr>
              <w:jc w:val="center"/>
            </w:pPr>
            <w:r>
              <w:rPr>
                <w:rFonts w:ascii="宋体" w:hAnsi="宋体" w:eastAsia="宋体"/>
                <w:sz w:val="16"/>
              </w:rPr>
              <w:t>457.94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6F7D2">
            <w:pPr>
              <w:jc w:val="center"/>
            </w:pPr>
            <w:r>
              <w:rPr>
                <w:rFonts w:ascii="宋体" w:hAnsi="宋体" w:eastAsia="宋体"/>
                <w:sz w:val="16"/>
              </w:rPr>
              <w:t>448.70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60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6B8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EDDF6">
            <w:pPr>
              <w:jc w:val="center"/>
            </w:pPr>
            <w:r>
              <w:rPr>
                <w:rFonts w:ascii="宋体" w:hAnsi="宋体" w:eastAsia="宋体"/>
                <w:sz w:val="16"/>
              </w:rPr>
              <w:t>—</w:t>
            </w:r>
          </w:p>
        </w:tc>
      </w:tr>
      <w:tr w14:paraId="5992FC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0FC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53FF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BB4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249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0A0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9B5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EAE0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D3717">
            <w:pPr>
              <w:jc w:val="center"/>
            </w:pPr>
            <w:r>
              <w:rPr>
                <w:rFonts w:ascii="宋体" w:hAnsi="宋体" w:eastAsia="宋体"/>
                <w:sz w:val="16"/>
              </w:rPr>
              <w:t>—</w:t>
            </w:r>
          </w:p>
        </w:tc>
      </w:tr>
      <w:tr w14:paraId="4C4ACC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8071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FF9F3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9A07F1">
            <w:pPr>
              <w:jc w:val="center"/>
            </w:pPr>
            <w:r>
              <w:rPr>
                <w:rFonts w:ascii="宋体" w:hAnsi="宋体" w:eastAsia="宋体"/>
                <w:sz w:val="16"/>
              </w:rPr>
              <w:t>实际完成情况</w:t>
            </w:r>
          </w:p>
        </w:tc>
      </w:tr>
      <w:tr w14:paraId="3A8423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2757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725475">
            <w:pPr>
              <w:jc w:val="both"/>
            </w:pPr>
            <w:r>
              <w:rPr>
                <w:rFonts w:ascii="宋体" w:hAnsi="宋体" w:eastAsia="宋体"/>
                <w:sz w:val="16"/>
              </w:rPr>
              <w:t>对审计、专项审计调查和核查社会审计机构相关审计报告的结果承担责任，并负有督促被审计单位整改的责任。贯彻执行审计法律法规规章、国家审计准则和指南并监督执行。制定并组织实施专业领域审计工作规划。对直接审计、调查和核查的事项依法进行审计评价，作出审计决定或提出审计建议。向县委审计委员会提出年度预算执行和其他财政支出情况审计结果报告。县本级预算执行情况和其他财政收支，县本级各部门（含乡镇）预算的执行情况、决算草案和其他财政收支；使用财政资金的事业单位和社会团</w:t>
            </w:r>
            <w:r>
              <w:rPr>
                <w:rFonts w:hint="eastAsia" w:ascii="宋体" w:hAnsi="宋体"/>
                <w:sz w:val="16"/>
                <w:lang w:eastAsia="zh-CN"/>
              </w:rPr>
              <w:t>体的</w:t>
            </w:r>
            <w:r>
              <w:rPr>
                <w:rFonts w:ascii="宋体" w:hAnsi="宋体" w:eastAsia="宋体"/>
                <w:sz w:val="16"/>
              </w:rPr>
              <w:t>财务收支，国家投资和以国家投资为主的建设项目的预算执行情况和决算；国家重大公共工程项目的资金管理使用和建设运行情况；自然资源管理、污染防治和生态保护与修复情况；县国有企业和金融机构、政府规定的国有资本占控股或占主导地位的企业和金融机构境内外资产、负债和损益；有关社会保障基金、社会捐赠资金以及其他基金、资金的财务收支；织实施对国家财经法律法规、规章、政策和宏观调控措施执行情况、财政预算管理及国有资产管理使用等与国家财政收支有关的事项进行专项审计调查。 依法检查审计决定执行情况，督促整改审计查出的问题，依法办理被审计单位对审计决定提请行政复议、行政诉讼或人民政府裁决中的有关事项，协助配合有关部门查处相关重大案件。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325C0C">
            <w:pPr>
              <w:jc w:val="both"/>
            </w:pPr>
            <w:r>
              <w:rPr>
                <w:rFonts w:ascii="宋体" w:hAnsi="宋体" w:eastAsia="宋体"/>
                <w:sz w:val="16"/>
              </w:rPr>
              <w:t>2024年度，我们全面达成各项审计工作目标。对审计、专项审计调查及核查社会审计机构相关审计报告的结果负责到底，积极督促被审计单位整改，整改完成率达到70.21% 。严格贯彻执行审计法律法规规章、国家审计准则和指南，监督执行覆盖率达100%。成功制定并组织实施专业领域审计工作规划，规划执行进度符合预期。对直接审计、调查和核查的事项依法精准审计评价。向县委审计委员会按时提交年度预算执行和其他财政支出情况审计结果报告。完成对县本级预算执行情况、其他财政收支，各部门（含乡镇）预算执行、决算草案及其他财政收支等多领域审计工作。依法检查审计决定执行情况，针对审计查出问题的整改督促成效显著，协助配合有关部门查处相关重大案件，有力维护财经秩序 。2024年度完成审计任务数量23个，提交各类审计报告23个，审计类型个数7个，帮扶村集体工作点数2个，组织生活会次数2次。有效贯彻执行国家、省、市、县有关审计工作的方针政策、法律法规和有关规定，起草有关地方性法规、规章草案，制定并组织实施审计工作发展规划、专业领域审计工作规划和年度审计计划，对直接审计、调查和核查的事项依法进行审计评价，做出审计决定或提出审计建议。</w:t>
            </w:r>
          </w:p>
        </w:tc>
      </w:tr>
      <w:tr w14:paraId="361E42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8F5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41B6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BF1B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A41E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04FE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520E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127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A941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2DAFF">
            <w:pPr>
              <w:jc w:val="center"/>
            </w:pPr>
            <w:r>
              <w:rPr>
                <w:rFonts w:ascii="宋体" w:hAnsi="宋体" w:eastAsia="宋体"/>
                <w:sz w:val="16"/>
              </w:rPr>
              <w:t>得分</w:t>
            </w:r>
          </w:p>
        </w:tc>
      </w:tr>
      <w:tr w14:paraId="47F161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3C4E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CD96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12D93">
            <w:pPr>
              <w:jc w:val="center"/>
            </w:pPr>
            <w:r>
              <w:rPr>
                <w:rFonts w:ascii="宋体" w:hAnsi="宋体" w:eastAsia="宋体"/>
                <w:sz w:val="16"/>
              </w:rPr>
              <w:t>审计任务数量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D9BA2">
            <w:pPr>
              <w:jc w:val="center"/>
            </w:pPr>
            <w:r>
              <w:rPr>
                <w:rFonts w:ascii="宋体" w:hAnsi="宋体" w:eastAsia="宋体"/>
                <w:sz w:val="16"/>
              </w:rPr>
              <w:t>&gt;=23个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9C8E0">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C59B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77079">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A20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ACBB">
            <w:pPr>
              <w:jc w:val="center"/>
            </w:pPr>
            <w:r>
              <w:rPr>
                <w:rFonts w:ascii="宋体" w:hAnsi="宋体" w:eastAsia="宋体"/>
                <w:sz w:val="16"/>
              </w:rPr>
              <w:t>15</w:t>
            </w:r>
          </w:p>
        </w:tc>
      </w:tr>
      <w:tr w14:paraId="7D42A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93A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AFA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6D64E">
            <w:pPr>
              <w:jc w:val="center"/>
            </w:pPr>
            <w:r>
              <w:rPr>
                <w:rFonts w:ascii="宋体" w:hAnsi="宋体" w:eastAsia="宋体"/>
                <w:sz w:val="16"/>
              </w:rPr>
              <w:t>提交各类审计报告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E1591">
            <w:pPr>
              <w:jc w:val="center"/>
            </w:pPr>
            <w:r>
              <w:rPr>
                <w:rFonts w:ascii="宋体" w:hAnsi="宋体" w:eastAsia="宋体"/>
                <w:sz w:val="16"/>
              </w:rPr>
              <w:t>&gt;=23个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FD38B">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B6A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0CF36">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4F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FEA77">
            <w:pPr>
              <w:jc w:val="center"/>
            </w:pPr>
            <w:r>
              <w:rPr>
                <w:rFonts w:ascii="宋体" w:hAnsi="宋体" w:eastAsia="宋体"/>
                <w:sz w:val="16"/>
              </w:rPr>
              <w:t>15</w:t>
            </w:r>
          </w:p>
        </w:tc>
      </w:tr>
      <w:tr w14:paraId="1A49C6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ADF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F4C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53211">
            <w:pPr>
              <w:jc w:val="center"/>
            </w:pPr>
            <w:r>
              <w:rPr>
                <w:rFonts w:ascii="宋体" w:hAnsi="宋体" w:eastAsia="宋体"/>
                <w:sz w:val="16"/>
              </w:rPr>
              <w:t>审计类型个数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D215A">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B3178">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E525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98337">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D4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AC007">
            <w:pPr>
              <w:jc w:val="center"/>
            </w:pPr>
            <w:r>
              <w:rPr>
                <w:rFonts w:ascii="宋体" w:hAnsi="宋体" w:eastAsia="宋体"/>
                <w:sz w:val="16"/>
              </w:rPr>
              <w:t>25</w:t>
            </w:r>
          </w:p>
        </w:tc>
      </w:tr>
      <w:tr w14:paraId="49301A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B6B8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F53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CD1C">
            <w:pPr>
              <w:jc w:val="center"/>
            </w:pPr>
            <w:r>
              <w:rPr>
                <w:rFonts w:ascii="宋体" w:hAnsi="宋体" w:eastAsia="宋体"/>
                <w:sz w:val="16"/>
              </w:rPr>
              <w:t>组织生活会次数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6A52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E4F50">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F979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FAA72">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A85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681CC">
            <w:pPr>
              <w:jc w:val="center"/>
            </w:pPr>
            <w:r>
              <w:rPr>
                <w:rFonts w:ascii="宋体" w:hAnsi="宋体" w:eastAsia="宋体"/>
                <w:sz w:val="16"/>
              </w:rPr>
              <w:t>5</w:t>
            </w:r>
          </w:p>
        </w:tc>
      </w:tr>
      <w:tr w14:paraId="0C8603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2EB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92B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AB93D">
            <w:pPr>
              <w:jc w:val="center"/>
            </w:pPr>
            <w:r>
              <w:rPr>
                <w:rFonts w:ascii="宋体" w:hAnsi="宋体" w:eastAsia="宋体"/>
                <w:sz w:val="16"/>
              </w:rPr>
              <w:t>帮扶村集体工作点数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63E08">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A5E62">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6CA0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C1D5E">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F17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CB8FB">
            <w:pPr>
              <w:jc w:val="center"/>
            </w:pPr>
            <w:r>
              <w:rPr>
                <w:rFonts w:ascii="宋体" w:hAnsi="宋体" w:eastAsia="宋体"/>
                <w:sz w:val="16"/>
              </w:rPr>
              <w:t>25</w:t>
            </w:r>
          </w:p>
        </w:tc>
      </w:tr>
      <w:tr w14:paraId="183066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4EC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9020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4FE6">
            <w:pPr>
              <w:jc w:val="center"/>
            </w:pPr>
            <w:r>
              <w:rPr>
                <w:rFonts w:ascii="宋体" w:hAnsi="宋体" w:eastAsia="宋体"/>
                <w:sz w:val="16"/>
              </w:rPr>
              <w:t>审计问题整改率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90157">
            <w:pPr>
              <w:jc w:val="center"/>
            </w:pPr>
            <w:r>
              <w:rPr>
                <w:rFonts w:ascii="宋体" w:hAnsi="宋体" w:eastAsia="宋体"/>
                <w:sz w:val="16"/>
              </w:rPr>
              <w: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41D31">
            <w:pPr>
              <w:jc w:val="center"/>
            </w:pPr>
            <w:r>
              <w:rPr>
                <w:rFonts w:ascii="宋体" w:hAnsi="宋体" w:eastAsia="宋体"/>
                <w:sz w:val="16"/>
              </w:rPr>
              <w:t>疏勒县审计局2024年工作计划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1A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04E0">
            <w:pPr>
              <w:jc w:val="center"/>
            </w:pPr>
            <w:r>
              <w:rPr>
                <w:rFonts w:ascii="宋体" w:hAnsi="宋体" w:eastAsia="宋体"/>
                <w:sz w:val="16"/>
              </w:rPr>
              <w:t>70.21%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175D4">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3448">
            <w:pPr>
              <w:jc w:val="center"/>
            </w:pPr>
            <w:r>
              <w:rPr>
                <w:rFonts w:ascii="宋体" w:hAnsi="宋体" w:eastAsia="宋体"/>
                <w:sz w:val="16"/>
              </w:rPr>
              <w:t>5</w:t>
            </w:r>
          </w:p>
        </w:tc>
      </w:tr>
    </w:tbl>
    <w:p w14:paraId="4CA382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B958EFA">
        <w:tblPrEx>
          <w:tblCellMar>
            <w:top w:w="0" w:type="dxa"/>
            <w:left w:w="108" w:type="dxa"/>
            <w:bottom w:w="0" w:type="dxa"/>
            <w:right w:w="108" w:type="dxa"/>
          </w:tblCellMar>
        </w:tblPrEx>
        <w:tc>
          <w:tcPr>
            <w:tcW w:w="8848" w:type="dxa"/>
            <w:gridSpan w:val="14"/>
            <w:vAlign w:val="center"/>
          </w:tcPr>
          <w:p w14:paraId="6BFF0C21">
            <w:pPr>
              <w:jc w:val="center"/>
            </w:pPr>
            <w:r>
              <w:rPr>
                <w:rFonts w:ascii="宋体" w:hAnsi="宋体" w:eastAsia="宋体"/>
                <w:sz w:val="24"/>
              </w:rPr>
              <w:t>项目支出绩效自评表</w:t>
            </w:r>
          </w:p>
        </w:tc>
      </w:tr>
      <w:tr w14:paraId="14C87347">
        <w:tblPrEx>
          <w:tblCellMar>
            <w:top w:w="0" w:type="dxa"/>
            <w:left w:w="108" w:type="dxa"/>
            <w:bottom w:w="0" w:type="dxa"/>
            <w:right w:w="108" w:type="dxa"/>
          </w:tblCellMar>
        </w:tblPrEx>
        <w:tc>
          <w:tcPr>
            <w:tcW w:w="8848" w:type="dxa"/>
            <w:gridSpan w:val="14"/>
            <w:vAlign w:val="center"/>
          </w:tcPr>
          <w:p w14:paraId="23FBC2DF">
            <w:pPr>
              <w:jc w:val="center"/>
            </w:pPr>
            <w:r>
              <w:rPr>
                <w:rFonts w:ascii="宋体" w:hAnsi="宋体" w:eastAsia="宋体"/>
                <w:sz w:val="24"/>
              </w:rPr>
              <w:t>(2024年度)</w:t>
            </w:r>
          </w:p>
        </w:tc>
      </w:tr>
      <w:tr w14:paraId="0C12D2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43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8D6869">
            <w:pPr>
              <w:jc w:val="center"/>
            </w:pPr>
            <w:r>
              <w:rPr>
                <w:rFonts w:ascii="宋体" w:hAnsi="宋体" w:eastAsia="宋体"/>
                <w:sz w:val="16"/>
              </w:rPr>
              <w:t>2022年度经济责任审计和乡村振兴专项</w:t>
            </w:r>
            <w:bookmarkStart w:id="0" w:name="_GoBack"/>
            <w:r>
              <w:rPr>
                <w:rFonts w:ascii="宋体" w:hAnsi="宋体" w:eastAsia="宋体"/>
                <w:sz w:val="16"/>
              </w:rPr>
              <w:t>审计费</w:t>
            </w:r>
            <w:bookmarkEnd w:id="0"/>
            <w:r>
              <w:rPr>
                <w:rFonts w:ascii="宋体" w:hAnsi="宋体" w:eastAsia="宋体"/>
                <w:sz w:val="16"/>
              </w:rPr>
              <w:t>项目</w:t>
            </w:r>
          </w:p>
        </w:tc>
      </w:tr>
      <w:tr w14:paraId="15444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A6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DFAF1">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AE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09B19B">
            <w:pPr>
              <w:jc w:val="center"/>
            </w:pPr>
            <w:r>
              <w:rPr>
                <w:rFonts w:ascii="宋体" w:hAnsi="宋体" w:eastAsia="宋体"/>
                <w:sz w:val="16"/>
              </w:rPr>
              <w:t>疏勒县审计局</w:t>
            </w:r>
          </w:p>
        </w:tc>
      </w:tr>
      <w:tr w14:paraId="6066AF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D14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B9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59F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DE2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76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E51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35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963B">
            <w:pPr>
              <w:jc w:val="center"/>
            </w:pPr>
            <w:r>
              <w:rPr>
                <w:rFonts w:ascii="宋体" w:hAnsi="宋体" w:eastAsia="宋体"/>
                <w:sz w:val="16"/>
              </w:rPr>
              <w:t>得分</w:t>
            </w:r>
          </w:p>
        </w:tc>
      </w:tr>
      <w:tr w14:paraId="180D9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B83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3F5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C642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475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A5E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87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4E8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28A6">
            <w:pPr>
              <w:jc w:val="center"/>
            </w:pPr>
            <w:r>
              <w:rPr>
                <w:rFonts w:ascii="宋体" w:hAnsi="宋体" w:eastAsia="宋体"/>
                <w:sz w:val="16"/>
              </w:rPr>
              <w:t>10.00分</w:t>
            </w:r>
          </w:p>
        </w:tc>
      </w:tr>
      <w:tr w14:paraId="70395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CCC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B2B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173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A57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6217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E3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61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BCB3">
            <w:pPr>
              <w:jc w:val="center"/>
            </w:pPr>
            <w:r>
              <w:rPr>
                <w:rFonts w:ascii="宋体" w:hAnsi="宋体" w:eastAsia="宋体"/>
                <w:sz w:val="16"/>
              </w:rPr>
              <w:t>—</w:t>
            </w:r>
          </w:p>
        </w:tc>
      </w:tr>
      <w:tr w14:paraId="20DDF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F2D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F3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4D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3D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04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A8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80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D7F8">
            <w:pPr>
              <w:jc w:val="center"/>
            </w:pPr>
            <w:r>
              <w:rPr>
                <w:rFonts w:ascii="宋体" w:hAnsi="宋体" w:eastAsia="宋体"/>
                <w:sz w:val="16"/>
              </w:rPr>
              <w:t>—</w:t>
            </w:r>
          </w:p>
        </w:tc>
      </w:tr>
      <w:tr w14:paraId="0703CB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B6E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800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A9A48A">
            <w:pPr>
              <w:jc w:val="center"/>
            </w:pPr>
            <w:r>
              <w:rPr>
                <w:rFonts w:ascii="宋体" w:hAnsi="宋体" w:eastAsia="宋体"/>
                <w:sz w:val="16"/>
              </w:rPr>
              <w:t>实际完成情况</w:t>
            </w:r>
          </w:p>
        </w:tc>
      </w:tr>
      <w:tr w14:paraId="40ED4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DA8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D82F8">
            <w:pPr>
              <w:jc w:val="both"/>
            </w:pPr>
            <w:r>
              <w:rPr>
                <w:rFonts w:ascii="宋体" w:hAnsi="宋体" w:eastAsia="宋体"/>
                <w:sz w:val="16"/>
              </w:rPr>
              <w:t>项目计划投资10万元，主要完成专项审计项目2个；业务经费种类1种，该项目实施保障2022年度经济责任审计和乡村振兴专项审计顺利进行，帮助被审计单位建立健全规章制度2项及以上，有效推进全县审计工作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194ED">
            <w:pPr>
              <w:jc w:val="both"/>
            </w:pPr>
            <w:r>
              <w:rPr>
                <w:rFonts w:hint="eastAsia" w:ascii="宋体" w:hAnsi="宋体"/>
                <w:sz w:val="16"/>
                <w:lang w:eastAsia="zh-CN"/>
              </w:rPr>
              <w:t>截至</w:t>
            </w:r>
            <w:r>
              <w:rPr>
                <w:rFonts w:ascii="宋体" w:hAnsi="宋体" w:eastAsia="宋体"/>
                <w:sz w:val="16"/>
              </w:rPr>
              <w:t>2024年12月31日，项目实际支出10万元，主要完成专项审计项目2个，业务经费种类1种，项目实施后，保障了2022年度经济责任审计和乡村振兴专项审计顺利进行，帮助被审计单位建立健全规章制度2项，问题整改落实率100%，有效推进全县审计工作进度，被审计单位对审计工作的满意度100%。</w:t>
            </w:r>
          </w:p>
        </w:tc>
      </w:tr>
      <w:tr w14:paraId="3E7BF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B52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FD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69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69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58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D6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81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DE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30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E6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84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EE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92ED8">
            <w:pPr>
              <w:jc w:val="center"/>
            </w:pPr>
            <w:r>
              <w:rPr>
                <w:rFonts w:ascii="宋体" w:hAnsi="宋体" w:eastAsia="宋体"/>
                <w:sz w:val="16"/>
              </w:rPr>
              <w:t>偏差原因分析及改进措施</w:t>
            </w:r>
          </w:p>
        </w:tc>
      </w:tr>
      <w:tr w14:paraId="6CF9A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B75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EAA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AEC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A3DD">
            <w:pPr>
              <w:jc w:val="center"/>
            </w:pPr>
            <w:r>
              <w:rPr>
                <w:rFonts w:ascii="宋体" w:hAnsi="宋体" w:eastAsia="宋体"/>
                <w:sz w:val="16"/>
              </w:rPr>
              <w:t>完成专项审计项目数量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56E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B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A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43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F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09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304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DF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C5C44">
            <w:pPr>
              <w:jc w:val="center"/>
            </w:pPr>
          </w:p>
        </w:tc>
      </w:tr>
      <w:tr w14:paraId="1C69F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8A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9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79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2CD0">
            <w:pPr>
              <w:jc w:val="center"/>
            </w:pPr>
            <w:r>
              <w:rPr>
                <w:rFonts w:ascii="宋体" w:hAnsi="宋体" w:eastAsia="宋体"/>
                <w:sz w:val="16"/>
              </w:rPr>
              <w:t>业务经费种类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FC44">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8B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6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0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B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B1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21A1">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70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1D1EC">
            <w:pPr>
              <w:jc w:val="center"/>
            </w:pPr>
          </w:p>
        </w:tc>
      </w:tr>
      <w:tr w14:paraId="574C0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CE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A5E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2DE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448B">
            <w:pPr>
              <w:jc w:val="center"/>
            </w:pPr>
            <w:r>
              <w:rPr>
                <w:rFonts w:ascii="宋体" w:hAnsi="宋体" w:eastAsia="宋体"/>
                <w:sz w:val="16"/>
              </w:rPr>
              <w:t>审计任务完成率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9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C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C5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06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D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5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22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4F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F372C">
            <w:pPr>
              <w:jc w:val="center"/>
            </w:pPr>
          </w:p>
        </w:tc>
      </w:tr>
      <w:tr w14:paraId="131B1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C5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E8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01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EB9F">
            <w:pPr>
              <w:jc w:val="center"/>
            </w:pPr>
            <w:r>
              <w:rPr>
                <w:rFonts w:ascii="宋体" w:hAnsi="宋体" w:eastAsia="宋体"/>
                <w:sz w:val="16"/>
              </w:rPr>
              <w:t>资金审计合规率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5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D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49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E5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A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BE4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6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82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7FEE">
            <w:pPr>
              <w:jc w:val="center"/>
            </w:pPr>
          </w:p>
        </w:tc>
      </w:tr>
      <w:tr w14:paraId="1FDDF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D0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B4E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409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2BD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9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5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80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DC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D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F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3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6B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28070">
            <w:pPr>
              <w:jc w:val="center"/>
            </w:pPr>
          </w:p>
        </w:tc>
      </w:tr>
      <w:tr w14:paraId="6D4E9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8C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FC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70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12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A73E">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E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3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10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EF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BE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1E1F">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728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79D1">
            <w:pPr>
              <w:jc w:val="center"/>
            </w:pPr>
          </w:p>
        </w:tc>
      </w:tr>
      <w:tr w14:paraId="4F332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19E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6AE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719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1D8D">
            <w:pPr>
              <w:jc w:val="center"/>
            </w:pPr>
            <w:r>
              <w:rPr>
                <w:rFonts w:ascii="宋体" w:hAnsi="宋体" w:eastAsia="宋体"/>
                <w:sz w:val="16"/>
              </w:rPr>
              <w:t>2022年度经济责任审计经费控制数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7FB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29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BD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9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7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3D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E88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E6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88A9A">
            <w:pPr>
              <w:jc w:val="center"/>
            </w:pPr>
          </w:p>
        </w:tc>
      </w:tr>
      <w:tr w14:paraId="0512B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FC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99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3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DE0C">
            <w:pPr>
              <w:jc w:val="center"/>
            </w:pPr>
            <w:r>
              <w:rPr>
                <w:rFonts w:ascii="宋体" w:hAnsi="宋体" w:eastAsia="宋体"/>
                <w:sz w:val="16"/>
              </w:rPr>
              <w:t>乡村振兴专项审计经费控制数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988E">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93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0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9B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9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C1D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8AD1">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D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776D">
            <w:pPr>
              <w:jc w:val="center"/>
            </w:pPr>
          </w:p>
        </w:tc>
      </w:tr>
      <w:tr w14:paraId="143A6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07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59EC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0C4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0BE2">
            <w:pPr>
              <w:jc w:val="center"/>
            </w:pPr>
            <w:r>
              <w:rPr>
                <w:rFonts w:ascii="宋体" w:hAnsi="宋体" w:eastAsia="宋体"/>
                <w:sz w:val="16"/>
              </w:rPr>
              <w:t>被审计单位根据审计建议建立健全规章制度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1B5E">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D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01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8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EE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2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4F4C">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00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B507">
            <w:pPr>
              <w:jc w:val="center"/>
            </w:pPr>
          </w:p>
        </w:tc>
      </w:tr>
      <w:tr w14:paraId="1682A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2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8E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C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981D">
            <w:pPr>
              <w:jc w:val="center"/>
            </w:pPr>
            <w:r>
              <w:rPr>
                <w:rFonts w:ascii="宋体" w:hAnsi="宋体" w:eastAsia="宋体"/>
                <w:sz w:val="16"/>
              </w:rPr>
              <w:t>问题整改落实率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E216">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2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A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6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3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9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8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64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83323">
            <w:pPr>
              <w:jc w:val="center"/>
            </w:pPr>
          </w:p>
        </w:tc>
      </w:tr>
      <w:tr w14:paraId="7259B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6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AC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B0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4B5A">
            <w:pPr>
              <w:jc w:val="center"/>
            </w:pPr>
            <w:r>
              <w:rPr>
                <w:rFonts w:ascii="宋体" w:hAnsi="宋体" w:eastAsia="宋体"/>
                <w:sz w:val="16"/>
              </w:rPr>
              <w:t>被审计单位对审计工作的满意率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E8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6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E6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7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75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C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5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0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199D0">
            <w:pPr>
              <w:jc w:val="center"/>
            </w:pPr>
            <w:r>
              <w:rPr>
                <w:rFonts w:ascii="宋体" w:hAnsi="宋体" w:eastAsia="宋体"/>
                <w:sz w:val="16"/>
              </w:rPr>
              <w:t>原因分析：该项目指标单位干部满意&gt;=95%，因项目实际问卷调查满意度为100%，故指标偏差为5%；改进措施：根据项目实施情况，合理设置预期指标值，使完成值和预期指标值相一致。</w:t>
            </w:r>
          </w:p>
        </w:tc>
      </w:tr>
      <w:tr w14:paraId="38BE4D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D0B3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D9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2B1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1EE8">
            <w:pPr>
              <w:jc w:val="center"/>
            </w:pPr>
            <w:r>
              <w:rPr>
                <w:rFonts w:ascii="宋体" w:hAnsi="宋体" w:eastAsia="宋体"/>
                <w:sz w:val="16"/>
              </w:rPr>
              <w:t>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7F3CAB"/>
        </w:tc>
      </w:tr>
    </w:tbl>
    <w:p w14:paraId="7F3984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BFB78F">
        <w:tblPrEx>
          <w:tblCellMar>
            <w:top w:w="0" w:type="dxa"/>
            <w:left w:w="108" w:type="dxa"/>
            <w:bottom w:w="0" w:type="dxa"/>
            <w:right w:w="108" w:type="dxa"/>
          </w:tblCellMar>
        </w:tblPrEx>
        <w:tc>
          <w:tcPr>
            <w:tcW w:w="8848" w:type="dxa"/>
            <w:gridSpan w:val="14"/>
            <w:vAlign w:val="center"/>
          </w:tcPr>
          <w:p w14:paraId="177F5ED8">
            <w:pPr>
              <w:jc w:val="center"/>
            </w:pPr>
            <w:r>
              <w:rPr>
                <w:rFonts w:ascii="宋体" w:hAnsi="宋体" w:eastAsia="宋体"/>
                <w:sz w:val="24"/>
              </w:rPr>
              <w:t>项目支出绩效自评表</w:t>
            </w:r>
          </w:p>
        </w:tc>
      </w:tr>
      <w:tr w14:paraId="23D7E7AF">
        <w:tblPrEx>
          <w:tblCellMar>
            <w:top w:w="0" w:type="dxa"/>
            <w:left w:w="108" w:type="dxa"/>
            <w:bottom w:w="0" w:type="dxa"/>
            <w:right w:w="108" w:type="dxa"/>
          </w:tblCellMar>
        </w:tblPrEx>
        <w:tc>
          <w:tcPr>
            <w:tcW w:w="8848" w:type="dxa"/>
            <w:gridSpan w:val="14"/>
            <w:vAlign w:val="center"/>
          </w:tcPr>
          <w:p w14:paraId="079B9944">
            <w:pPr>
              <w:jc w:val="center"/>
            </w:pPr>
            <w:r>
              <w:rPr>
                <w:rFonts w:ascii="宋体" w:hAnsi="宋体" w:eastAsia="宋体"/>
                <w:sz w:val="24"/>
              </w:rPr>
              <w:t>(2024年度)</w:t>
            </w:r>
          </w:p>
        </w:tc>
      </w:tr>
      <w:tr w14:paraId="049D59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FE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E38912">
            <w:pPr>
              <w:jc w:val="center"/>
            </w:pPr>
            <w:r>
              <w:rPr>
                <w:rFonts w:ascii="宋体" w:hAnsi="宋体" w:eastAsia="宋体"/>
                <w:sz w:val="16"/>
              </w:rPr>
              <w:t>2023年度审计中介服务费项目</w:t>
            </w:r>
          </w:p>
        </w:tc>
      </w:tr>
      <w:tr w14:paraId="2591DF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68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6F71A">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B1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DDB96E">
            <w:pPr>
              <w:jc w:val="center"/>
            </w:pPr>
            <w:r>
              <w:rPr>
                <w:rFonts w:ascii="宋体" w:hAnsi="宋体" w:eastAsia="宋体"/>
                <w:sz w:val="16"/>
              </w:rPr>
              <w:t>疏勒县审计局</w:t>
            </w:r>
          </w:p>
        </w:tc>
      </w:tr>
      <w:tr w14:paraId="58F89F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E2B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97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882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A3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AEA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38D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581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28B0">
            <w:pPr>
              <w:jc w:val="center"/>
            </w:pPr>
            <w:r>
              <w:rPr>
                <w:rFonts w:ascii="宋体" w:hAnsi="宋体" w:eastAsia="宋体"/>
                <w:sz w:val="16"/>
              </w:rPr>
              <w:t>得分</w:t>
            </w:r>
          </w:p>
        </w:tc>
      </w:tr>
      <w:tr w14:paraId="3FBFF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72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923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AF501">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4595">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278B">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14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0D1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448E">
            <w:pPr>
              <w:jc w:val="center"/>
            </w:pPr>
            <w:r>
              <w:rPr>
                <w:rFonts w:ascii="宋体" w:hAnsi="宋体" w:eastAsia="宋体"/>
                <w:sz w:val="16"/>
              </w:rPr>
              <w:t>10.00分</w:t>
            </w:r>
          </w:p>
        </w:tc>
      </w:tr>
      <w:tr w14:paraId="25D3D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39F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09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1FE49">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4D3A2">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F6144">
            <w:pPr>
              <w:jc w:val="center"/>
            </w:pPr>
            <w:r>
              <w:rPr>
                <w:rFonts w:ascii="宋体" w:hAnsi="宋体" w:eastAsia="宋体"/>
                <w:sz w:val="16"/>
              </w:rPr>
              <w:t>147.00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29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02E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A1C9">
            <w:pPr>
              <w:jc w:val="center"/>
            </w:pPr>
            <w:r>
              <w:rPr>
                <w:rFonts w:ascii="宋体" w:hAnsi="宋体" w:eastAsia="宋体"/>
                <w:sz w:val="16"/>
              </w:rPr>
              <w:t>—</w:t>
            </w:r>
          </w:p>
        </w:tc>
      </w:tr>
      <w:tr w14:paraId="5E614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56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A3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4F1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A8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143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E3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3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0D9D">
            <w:pPr>
              <w:jc w:val="center"/>
            </w:pPr>
            <w:r>
              <w:rPr>
                <w:rFonts w:ascii="宋体" w:hAnsi="宋体" w:eastAsia="宋体"/>
                <w:sz w:val="16"/>
              </w:rPr>
              <w:t>—</w:t>
            </w:r>
          </w:p>
        </w:tc>
      </w:tr>
      <w:tr w14:paraId="66F93B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EE2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987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DA6865">
            <w:pPr>
              <w:jc w:val="center"/>
            </w:pPr>
            <w:r>
              <w:rPr>
                <w:rFonts w:ascii="宋体" w:hAnsi="宋体" w:eastAsia="宋体"/>
                <w:sz w:val="16"/>
              </w:rPr>
              <w:t>实际完成情况</w:t>
            </w:r>
          </w:p>
        </w:tc>
      </w:tr>
      <w:tr w14:paraId="5D2E9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2AF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17B71">
            <w:pPr>
              <w:jc w:val="both"/>
            </w:pPr>
            <w:r>
              <w:rPr>
                <w:rFonts w:ascii="宋体" w:hAnsi="宋体" w:eastAsia="宋体"/>
                <w:sz w:val="16"/>
              </w:rPr>
              <w:t>疏勒县2023年审计中介服务费</w:t>
            </w:r>
            <w:r>
              <w:rPr>
                <w:rFonts w:hint="eastAsia" w:ascii="宋体" w:hAnsi="宋体"/>
                <w:sz w:val="16"/>
                <w:lang w:eastAsia="zh-CN"/>
              </w:rPr>
              <w:t>项目</w:t>
            </w:r>
            <w:r>
              <w:rPr>
                <w:rFonts w:ascii="宋体" w:hAnsi="宋体" w:eastAsia="宋体"/>
                <w:sz w:val="16"/>
              </w:rPr>
              <w:t>总投资147万元，聘用第三方造价咨询公司数量3个，通过项目实施进一步规范工程管理，有效解决工程结算资料不实、管理不规范等问题，做到问题早发现早解决，使企业满意度达95%以上。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DF5A1">
            <w:pPr>
              <w:jc w:val="both"/>
            </w:pPr>
            <w:r>
              <w:rPr>
                <w:rFonts w:ascii="宋体" w:hAnsi="宋体" w:eastAsia="宋体"/>
                <w:sz w:val="16"/>
              </w:rPr>
              <w:t>截至2024年12月31日该项目已全部完成，已聘用第三方造价咨询公司3家，审计任务完成率达100%，该项目的完成进一步规范工程管理，有效解决工程结算资料不实、管理不规范等问题，做到问题早发现早解决，使企业满意度达100%。</w:t>
            </w:r>
          </w:p>
        </w:tc>
      </w:tr>
      <w:tr w14:paraId="44987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B59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22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20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55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3B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37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36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61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02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BE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3C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31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24BD4">
            <w:pPr>
              <w:jc w:val="center"/>
            </w:pPr>
            <w:r>
              <w:rPr>
                <w:rFonts w:ascii="宋体" w:hAnsi="宋体" w:eastAsia="宋体"/>
                <w:sz w:val="16"/>
              </w:rPr>
              <w:t>偏差原因分析及改进措施</w:t>
            </w:r>
          </w:p>
        </w:tc>
      </w:tr>
      <w:tr w14:paraId="1B9149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415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947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98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F49F">
            <w:pPr>
              <w:jc w:val="center"/>
            </w:pPr>
            <w:r>
              <w:rPr>
                <w:rFonts w:ascii="宋体" w:hAnsi="宋体" w:eastAsia="宋体"/>
                <w:sz w:val="16"/>
              </w:rPr>
              <w:t>聘用第三方造价咨询公司数量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AA67">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A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E5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AB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C9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E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E24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B6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02AAE">
            <w:pPr>
              <w:jc w:val="center"/>
            </w:pPr>
          </w:p>
        </w:tc>
      </w:tr>
      <w:tr w14:paraId="6A6CAA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2E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1A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F7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0388">
            <w:pPr>
              <w:jc w:val="center"/>
            </w:pPr>
            <w:r>
              <w:rPr>
                <w:rFonts w:ascii="宋体" w:hAnsi="宋体" w:eastAsia="宋体"/>
                <w:sz w:val="16"/>
              </w:rPr>
              <w:t>资金审计合规率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34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C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F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D7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3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70A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36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A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6A152">
            <w:pPr>
              <w:jc w:val="center"/>
            </w:pPr>
          </w:p>
        </w:tc>
      </w:tr>
      <w:tr w14:paraId="44490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19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5EB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4D3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6B7E">
            <w:pPr>
              <w:jc w:val="center"/>
            </w:pPr>
            <w:r>
              <w:rPr>
                <w:rFonts w:hint="eastAsia" w:ascii="宋体" w:hAnsi="宋体"/>
                <w:sz w:val="16"/>
                <w:lang w:eastAsia="zh-CN"/>
              </w:rPr>
              <w:t>项目</w:t>
            </w: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F5BF">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9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C5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7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EE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E8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97E4">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C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59D0">
            <w:pPr>
              <w:jc w:val="center"/>
            </w:pPr>
          </w:p>
        </w:tc>
      </w:tr>
      <w:tr w14:paraId="54CF6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18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D2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BE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CB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2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A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8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61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C83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2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A5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87D72">
            <w:pPr>
              <w:jc w:val="center"/>
            </w:pPr>
          </w:p>
        </w:tc>
      </w:tr>
      <w:tr w14:paraId="0F703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3D6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753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354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3357">
            <w:pPr>
              <w:jc w:val="center"/>
            </w:pPr>
            <w:r>
              <w:rPr>
                <w:rFonts w:ascii="宋体" w:hAnsi="宋体" w:eastAsia="宋体"/>
                <w:sz w:val="16"/>
              </w:rPr>
              <w:t>支付新疆融辰社会经济咨询有限公司审计中介费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190C">
            <w:pPr>
              <w:jc w:val="center"/>
            </w:pPr>
            <w:r>
              <w:rPr>
                <w:rFonts w:ascii="宋体" w:hAnsi="宋体" w:eastAsia="宋体"/>
                <w:sz w:val="16"/>
              </w:rPr>
              <w:t>&lt;=97万元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1D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6B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8A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78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A9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61B0">
            <w:pPr>
              <w:jc w:val="center"/>
            </w:pPr>
            <w:r>
              <w:rPr>
                <w:rFonts w:ascii="宋体" w:hAnsi="宋体" w:eastAsia="宋体"/>
                <w:sz w:val="16"/>
              </w:rPr>
              <w: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C8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1F77">
            <w:pPr>
              <w:jc w:val="center"/>
            </w:pPr>
          </w:p>
        </w:tc>
      </w:tr>
      <w:tr w14:paraId="5428D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3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CA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6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C885">
            <w:pPr>
              <w:jc w:val="center"/>
            </w:pPr>
            <w:r>
              <w:rPr>
                <w:rFonts w:ascii="宋体" w:hAnsi="宋体" w:eastAsia="宋体"/>
                <w:sz w:val="16"/>
              </w:rPr>
              <w:t>支付新疆西域融通社会经济咨询有限公司审计中介费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F5B7">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5E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F2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D3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A3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ED6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9787">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E0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F43C">
            <w:pPr>
              <w:jc w:val="center"/>
            </w:pPr>
          </w:p>
        </w:tc>
      </w:tr>
      <w:tr w14:paraId="41176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25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9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97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072D">
            <w:pPr>
              <w:jc w:val="center"/>
            </w:pPr>
            <w:r>
              <w:rPr>
                <w:rFonts w:ascii="宋体" w:hAnsi="宋体" w:eastAsia="宋体"/>
                <w:sz w:val="16"/>
              </w:rPr>
              <w:t>支付新疆方中圆工程项目管理有限公司审计中介费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F7F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C6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E6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46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3E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D86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75A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D9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3EC6">
            <w:pPr>
              <w:jc w:val="center"/>
            </w:pPr>
          </w:p>
        </w:tc>
      </w:tr>
      <w:tr w14:paraId="30EE2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D2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D24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145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5586">
            <w:pPr>
              <w:jc w:val="center"/>
            </w:pPr>
            <w:r>
              <w:rPr>
                <w:rFonts w:ascii="宋体" w:hAnsi="宋体" w:eastAsia="宋体"/>
                <w:sz w:val="16"/>
              </w:rPr>
              <w:t>保障工作情况需要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8FB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5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A7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3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DC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86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343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E6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416C">
            <w:pPr>
              <w:jc w:val="center"/>
            </w:pPr>
          </w:p>
        </w:tc>
      </w:tr>
      <w:tr w14:paraId="459F3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A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8E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44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ADA1">
            <w:pPr>
              <w:jc w:val="center"/>
            </w:pPr>
            <w:r>
              <w:rPr>
                <w:rFonts w:ascii="宋体" w:hAnsi="宋体" w:eastAsia="宋体"/>
                <w:sz w:val="16"/>
              </w:rPr>
              <w:t>问题整改落实率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36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BF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9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E7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19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A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C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7E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E43E">
            <w:pPr>
              <w:jc w:val="center"/>
            </w:pPr>
          </w:p>
        </w:tc>
      </w:tr>
      <w:tr w14:paraId="4AD56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E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39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9C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D2F2">
            <w:pPr>
              <w:jc w:val="center"/>
            </w:pPr>
            <w:r>
              <w:rPr>
                <w:rFonts w:ascii="宋体" w:hAnsi="宋体" w:eastAsia="宋体"/>
                <w:sz w:val="16"/>
              </w:rPr>
              <w:t>中介工作人员满意度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CD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5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D1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04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24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C4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F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08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8B380">
            <w:pPr>
              <w:jc w:val="center"/>
            </w:pPr>
            <w:r>
              <w:rPr>
                <w:rFonts w:ascii="宋体" w:hAnsi="宋体" w:eastAsia="宋体"/>
                <w:sz w:val="16"/>
              </w:rPr>
              <w:t>原因分析：该项目指标单位干部满意&gt;=95%，因项目实际问卷调查满意度为100%，故指标偏差为5%；改进措施：根据项目实施情况，合理设置预期指标值，使完成值和预期指标值相一致。</w:t>
            </w:r>
          </w:p>
        </w:tc>
      </w:tr>
      <w:tr w14:paraId="46420D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94B1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48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65F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132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F8946C"/>
        </w:tc>
      </w:tr>
    </w:tbl>
    <w:p w14:paraId="5D8A75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BFACC43">
        <w:tblPrEx>
          <w:tblCellMar>
            <w:top w:w="0" w:type="dxa"/>
            <w:left w:w="108" w:type="dxa"/>
            <w:bottom w:w="0" w:type="dxa"/>
            <w:right w:w="108" w:type="dxa"/>
          </w:tblCellMar>
        </w:tblPrEx>
        <w:tc>
          <w:tcPr>
            <w:tcW w:w="8848" w:type="dxa"/>
            <w:gridSpan w:val="14"/>
            <w:vAlign w:val="center"/>
          </w:tcPr>
          <w:p w14:paraId="00545689">
            <w:pPr>
              <w:jc w:val="center"/>
            </w:pPr>
            <w:r>
              <w:rPr>
                <w:rFonts w:ascii="宋体" w:hAnsi="宋体" w:eastAsia="宋体"/>
                <w:sz w:val="24"/>
              </w:rPr>
              <w:t>项目支出绩效自评表</w:t>
            </w:r>
          </w:p>
        </w:tc>
      </w:tr>
      <w:tr w14:paraId="2AE0B593">
        <w:tblPrEx>
          <w:tblCellMar>
            <w:top w:w="0" w:type="dxa"/>
            <w:left w:w="108" w:type="dxa"/>
            <w:bottom w:w="0" w:type="dxa"/>
            <w:right w:w="108" w:type="dxa"/>
          </w:tblCellMar>
        </w:tblPrEx>
        <w:tc>
          <w:tcPr>
            <w:tcW w:w="8848" w:type="dxa"/>
            <w:gridSpan w:val="14"/>
            <w:vAlign w:val="center"/>
          </w:tcPr>
          <w:p w14:paraId="17C7B72F">
            <w:pPr>
              <w:jc w:val="center"/>
            </w:pPr>
            <w:r>
              <w:rPr>
                <w:rFonts w:ascii="宋体" w:hAnsi="宋体" w:eastAsia="宋体"/>
                <w:sz w:val="24"/>
              </w:rPr>
              <w:t>(2024年度)</w:t>
            </w:r>
          </w:p>
        </w:tc>
      </w:tr>
      <w:tr w14:paraId="44DC93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C0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56E1AF">
            <w:pPr>
              <w:jc w:val="center"/>
            </w:pPr>
            <w:r>
              <w:rPr>
                <w:rFonts w:ascii="宋体" w:hAnsi="宋体" w:eastAsia="宋体"/>
                <w:sz w:val="16"/>
              </w:rPr>
              <w:t>2024年审计工作经费</w:t>
            </w:r>
          </w:p>
        </w:tc>
      </w:tr>
      <w:tr w14:paraId="7B86C7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BD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F3BD3">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D0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9D6132">
            <w:pPr>
              <w:jc w:val="center"/>
            </w:pPr>
            <w:r>
              <w:rPr>
                <w:rFonts w:ascii="宋体" w:hAnsi="宋体" w:eastAsia="宋体"/>
                <w:sz w:val="16"/>
              </w:rPr>
              <w:t>疏勒县审计局</w:t>
            </w:r>
          </w:p>
        </w:tc>
      </w:tr>
      <w:tr w14:paraId="11881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CAB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DD3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11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B43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F9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EDA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6D3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E921">
            <w:pPr>
              <w:jc w:val="center"/>
            </w:pPr>
            <w:r>
              <w:rPr>
                <w:rFonts w:ascii="宋体" w:hAnsi="宋体" w:eastAsia="宋体"/>
                <w:sz w:val="16"/>
              </w:rPr>
              <w:t>得分</w:t>
            </w:r>
          </w:p>
        </w:tc>
      </w:tr>
      <w:tr w14:paraId="2B1D5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4E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52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DC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397E">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75679">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49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EA7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5C1F">
            <w:pPr>
              <w:jc w:val="center"/>
            </w:pPr>
            <w:r>
              <w:rPr>
                <w:rFonts w:ascii="宋体" w:hAnsi="宋体" w:eastAsia="宋体"/>
                <w:sz w:val="16"/>
              </w:rPr>
              <w:t>10.00分</w:t>
            </w:r>
          </w:p>
        </w:tc>
      </w:tr>
      <w:tr w14:paraId="6336E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216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AFE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5A2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F441E">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03A4">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EF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724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8785">
            <w:pPr>
              <w:jc w:val="center"/>
            </w:pPr>
            <w:r>
              <w:rPr>
                <w:rFonts w:ascii="宋体" w:hAnsi="宋体" w:eastAsia="宋体"/>
                <w:sz w:val="16"/>
              </w:rPr>
              <w:t>—</w:t>
            </w:r>
          </w:p>
        </w:tc>
      </w:tr>
      <w:tr w14:paraId="21505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C2D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686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AE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4F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03C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EE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80A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94BA">
            <w:pPr>
              <w:jc w:val="center"/>
            </w:pPr>
            <w:r>
              <w:rPr>
                <w:rFonts w:ascii="宋体" w:hAnsi="宋体" w:eastAsia="宋体"/>
                <w:sz w:val="16"/>
              </w:rPr>
              <w:t>—</w:t>
            </w:r>
          </w:p>
        </w:tc>
      </w:tr>
      <w:tr w14:paraId="7DF468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764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90F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FADE55">
            <w:pPr>
              <w:jc w:val="center"/>
            </w:pPr>
            <w:r>
              <w:rPr>
                <w:rFonts w:ascii="宋体" w:hAnsi="宋体" w:eastAsia="宋体"/>
                <w:sz w:val="16"/>
              </w:rPr>
              <w:t>实际完成情况</w:t>
            </w:r>
          </w:p>
        </w:tc>
      </w:tr>
      <w:tr w14:paraId="23F53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C2A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BD230">
            <w:pPr>
              <w:jc w:val="both"/>
            </w:pPr>
            <w:r>
              <w:rPr>
                <w:rFonts w:ascii="宋体" w:hAnsi="宋体" w:eastAsia="宋体"/>
                <w:sz w:val="16"/>
              </w:rPr>
              <w:t>项目总投资共52040元，计划购买办公设备一批，该项目的实施有效保障审计局日常办公工作，提高单位员工工作效率，有效推进审计局审计工作进度，使企业满意度达95%以上。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9CF8EC">
            <w:pPr>
              <w:jc w:val="both"/>
            </w:pPr>
            <w:r>
              <w:rPr>
                <w:rFonts w:ascii="宋体" w:hAnsi="宋体" w:eastAsia="宋体"/>
                <w:sz w:val="16"/>
              </w:rPr>
              <w:t>该项目截至2024年12月31日，项目投资52040元，已经花费52040元购买一批办公设备，该项目的实施有效保障审计局日常办公工作，提高单位员工工作效率，有效推进审计局审计工作进度，企业满意度100%。</w:t>
            </w:r>
          </w:p>
        </w:tc>
      </w:tr>
      <w:tr w14:paraId="62E3D7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5B1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62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6B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DA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10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D2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A2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08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CB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03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20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8E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DC70">
            <w:pPr>
              <w:jc w:val="center"/>
            </w:pPr>
            <w:r>
              <w:rPr>
                <w:rFonts w:ascii="宋体" w:hAnsi="宋体" w:eastAsia="宋体"/>
                <w:sz w:val="16"/>
              </w:rPr>
              <w:t>偏差原因分析及改进措施</w:t>
            </w:r>
          </w:p>
        </w:tc>
      </w:tr>
      <w:tr w14:paraId="752773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65C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090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04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CCFB">
            <w:pPr>
              <w:jc w:val="center"/>
            </w:pPr>
            <w:r>
              <w:rPr>
                <w:rFonts w:ascii="宋体" w:hAnsi="宋体" w:eastAsia="宋体"/>
                <w:sz w:val="16"/>
              </w:rPr>
              <w:t>购买办公设备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0DA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7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32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FFD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9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D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32E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7DE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30B24">
            <w:pPr>
              <w:jc w:val="center"/>
            </w:pPr>
          </w:p>
        </w:tc>
      </w:tr>
      <w:tr w14:paraId="15FF6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BB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1B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DB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983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21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C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37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81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8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1BB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3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846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8918C">
            <w:pPr>
              <w:jc w:val="center"/>
            </w:pPr>
          </w:p>
        </w:tc>
      </w:tr>
      <w:tr w14:paraId="588C4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45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82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7A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E5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948F">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C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8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6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0E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7E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54ED">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9C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224A">
            <w:pPr>
              <w:jc w:val="center"/>
            </w:pPr>
          </w:p>
        </w:tc>
      </w:tr>
      <w:tr w14:paraId="34A30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88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78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A8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BDD3">
            <w:pPr>
              <w:jc w:val="center"/>
            </w:pPr>
            <w:r>
              <w:rPr>
                <w:rFonts w:ascii="宋体" w:hAnsi="宋体" w:eastAsia="宋体"/>
                <w:sz w:val="16"/>
              </w:rPr>
              <w:t>购买办公设备支出成本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689A">
            <w:pPr>
              <w:jc w:val="center"/>
            </w:pPr>
            <w:r>
              <w:rPr>
                <w:rFonts w:ascii="宋体" w:hAnsi="宋体" w:eastAsia="宋体"/>
                <w:sz w:val="16"/>
              </w:rPr>
              <w:t>&lt;=52040元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AC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9D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A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B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1FB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ADD3">
            <w:pPr>
              <w:jc w:val="center"/>
            </w:pPr>
            <w:r>
              <w:rPr>
                <w:rFonts w:ascii="宋体" w:hAnsi="宋体" w:eastAsia="宋体"/>
                <w:sz w:val="16"/>
              </w:rPr>
              <w:t>=52040元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7D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3203">
            <w:pPr>
              <w:jc w:val="center"/>
            </w:pPr>
          </w:p>
        </w:tc>
      </w:tr>
      <w:tr w14:paraId="7194F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C9E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D35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737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DA5E">
            <w:pPr>
              <w:jc w:val="center"/>
            </w:pPr>
            <w:r>
              <w:rPr>
                <w:rFonts w:ascii="宋体" w:hAnsi="宋体" w:eastAsia="宋体"/>
                <w:sz w:val="16"/>
              </w:rPr>
              <w:t>有效保障审计局日常办公工作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A98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D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D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B6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79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5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F20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50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E791">
            <w:pPr>
              <w:jc w:val="center"/>
            </w:pPr>
          </w:p>
        </w:tc>
      </w:tr>
      <w:tr w14:paraId="13A16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FF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F8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E5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C13C">
            <w:pPr>
              <w:jc w:val="center"/>
            </w:pPr>
            <w:r>
              <w:rPr>
                <w:rFonts w:ascii="宋体" w:hAnsi="宋体" w:eastAsia="宋体"/>
                <w:sz w:val="16"/>
              </w:rPr>
              <w:t>有效提高单位员工工作效率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84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0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1A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4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28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B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4C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48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B648E">
            <w:pPr>
              <w:jc w:val="center"/>
            </w:pPr>
          </w:p>
        </w:tc>
      </w:tr>
      <w:tr w14:paraId="3990C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3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D3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0B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11F2">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48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D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CD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8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D7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1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4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19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5BF0C">
            <w:pPr>
              <w:jc w:val="center"/>
            </w:pPr>
            <w:r>
              <w:rPr>
                <w:rFonts w:ascii="宋体" w:hAnsi="宋体" w:eastAsia="宋体"/>
                <w:sz w:val="16"/>
              </w:rPr>
              <w:t>原因分析：该项目指标单位干部满意&gt;=95%，因项目实际问卷调查满意度为100%，故指标偏差为5%；改进措施：根据项目实施情况，合理设置预期指标值，使完成值和预期指标值相一致。</w:t>
            </w:r>
          </w:p>
        </w:tc>
      </w:tr>
      <w:tr w14:paraId="44AB36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56B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A4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492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465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F0A605"/>
        </w:tc>
      </w:tr>
    </w:tbl>
    <w:p w14:paraId="504AAEC2">
      <w:r>
        <w:br w:type="page"/>
      </w:r>
    </w:p>
    <w:p w14:paraId="5CEA98EB">
      <w:pPr>
        <w:spacing w:line="640" w:lineRule="exact"/>
        <w:ind w:firstLine="640"/>
        <w:jc w:val="both"/>
        <w:outlineLvl w:val="2"/>
      </w:pPr>
      <w:r>
        <w:rPr>
          <w:rFonts w:ascii="黑体" w:hAnsi="黑体" w:eastAsia="黑体"/>
          <w:sz w:val="32"/>
        </w:rPr>
        <w:t>十二、其他需说明的事项</w:t>
      </w:r>
    </w:p>
    <w:p w14:paraId="1680AC72">
      <w:pPr>
        <w:spacing w:line="580" w:lineRule="exact"/>
        <w:ind w:firstLine="640"/>
        <w:jc w:val="both"/>
      </w:pPr>
      <w:r>
        <w:rPr>
          <w:rFonts w:ascii="仿宋_GB2312" w:hAnsi="仿宋_GB2312" w:eastAsia="仿宋_GB2312"/>
          <w:b w:val="0"/>
          <w:sz w:val="32"/>
        </w:rPr>
        <w:t>本单位无其他需说明的事项。</w:t>
      </w:r>
    </w:p>
    <w:p w14:paraId="39CBFFA1">
      <w:r>
        <w:br w:type="page"/>
      </w:r>
    </w:p>
    <w:p w14:paraId="1EE512B8">
      <w:pPr>
        <w:spacing w:line="240" w:lineRule="auto"/>
        <w:jc w:val="center"/>
        <w:outlineLvl w:val="1"/>
      </w:pPr>
      <w:r>
        <w:rPr>
          <w:rFonts w:ascii="黑体" w:hAnsi="黑体" w:eastAsia="黑体"/>
          <w:sz w:val="32"/>
        </w:rPr>
        <w:t>第三部分 专业名词解释</w:t>
      </w:r>
    </w:p>
    <w:p w14:paraId="7731382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4ADE6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68D1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46A8A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367BDD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DC371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A00A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74A6F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1329D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30D46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3E527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CB2E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2C71F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85C0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90A927">
      <w:r>
        <w:br w:type="page"/>
      </w:r>
    </w:p>
    <w:p w14:paraId="59311A01">
      <w:pPr>
        <w:spacing w:line="240" w:lineRule="auto"/>
        <w:jc w:val="center"/>
        <w:outlineLvl w:val="1"/>
      </w:pPr>
      <w:r>
        <w:rPr>
          <w:rFonts w:ascii="黑体" w:hAnsi="黑体" w:eastAsia="黑体"/>
          <w:sz w:val="32"/>
        </w:rPr>
        <w:t>第四部分 部门决算报表（见附表）</w:t>
      </w:r>
    </w:p>
    <w:p w14:paraId="62CBEBD4">
      <w:pPr>
        <w:spacing w:line="240" w:lineRule="auto"/>
        <w:ind w:firstLine="640"/>
        <w:jc w:val="both"/>
      </w:pPr>
      <w:r>
        <w:rPr>
          <w:rFonts w:ascii="仿宋_GB2312" w:hAnsi="仿宋_GB2312" w:eastAsia="仿宋_GB2312"/>
          <w:b w:val="0"/>
          <w:sz w:val="32"/>
        </w:rPr>
        <w:t>一、《收入支出决算总表》</w:t>
      </w:r>
    </w:p>
    <w:p w14:paraId="4B7739C2">
      <w:pPr>
        <w:spacing w:line="240" w:lineRule="auto"/>
        <w:ind w:firstLine="640"/>
        <w:jc w:val="both"/>
      </w:pPr>
      <w:r>
        <w:rPr>
          <w:rFonts w:ascii="仿宋_GB2312" w:hAnsi="仿宋_GB2312" w:eastAsia="仿宋_GB2312"/>
          <w:b w:val="0"/>
          <w:sz w:val="32"/>
        </w:rPr>
        <w:t>二、《收入决算表》</w:t>
      </w:r>
    </w:p>
    <w:p w14:paraId="0ACB3304">
      <w:pPr>
        <w:spacing w:line="240" w:lineRule="auto"/>
        <w:ind w:firstLine="640"/>
        <w:jc w:val="both"/>
      </w:pPr>
      <w:r>
        <w:rPr>
          <w:rFonts w:ascii="仿宋_GB2312" w:hAnsi="仿宋_GB2312" w:eastAsia="仿宋_GB2312"/>
          <w:b w:val="0"/>
          <w:sz w:val="32"/>
        </w:rPr>
        <w:t>三、《支出决算表》</w:t>
      </w:r>
    </w:p>
    <w:p w14:paraId="1388432D">
      <w:pPr>
        <w:spacing w:line="240" w:lineRule="auto"/>
        <w:ind w:firstLine="640"/>
        <w:jc w:val="both"/>
      </w:pPr>
      <w:r>
        <w:rPr>
          <w:rFonts w:ascii="仿宋_GB2312" w:hAnsi="仿宋_GB2312" w:eastAsia="仿宋_GB2312"/>
          <w:b w:val="0"/>
          <w:sz w:val="32"/>
        </w:rPr>
        <w:t>四、《财政拨款收入支出决算总表》</w:t>
      </w:r>
    </w:p>
    <w:p w14:paraId="2B2DDAAA">
      <w:pPr>
        <w:spacing w:line="240" w:lineRule="auto"/>
        <w:ind w:firstLine="640"/>
        <w:jc w:val="both"/>
      </w:pPr>
      <w:r>
        <w:rPr>
          <w:rFonts w:ascii="仿宋_GB2312" w:hAnsi="仿宋_GB2312" w:eastAsia="仿宋_GB2312"/>
          <w:b w:val="0"/>
          <w:sz w:val="32"/>
        </w:rPr>
        <w:t>五、《一般公共预算财政拨款支出决算表》</w:t>
      </w:r>
    </w:p>
    <w:p w14:paraId="5A022B83">
      <w:pPr>
        <w:spacing w:line="240" w:lineRule="auto"/>
        <w:ind w:firstLine="640"/>
        <w:jc w:val="both"/>
      </w:pPr>
      <w:r>
        <w:rPr>
          <w:rFonts w:ascii="仿宋_GB2312" w:hAnsi="仿宋_GB2312" w:eastAsia="仿宋_GB2312"/>
          <w:b w:val="0"/>
          <w:sz w:val="32"/>
        </w:rPr>
        <w:t>六、《一般公共预算财政拨款基本支出决算表》</w:t>
      </w:r>
    </w:p>
    <w:p w14:paraId="6285040E">
      <w:pPr>
        <w:spacing w:line="240" w:lineRule="auto"/>
        <w:ind w:firstLine="640"/>
        <w:jc w:val="both"/>
      </w:pPr>
      <w:r>
        <w:rPr>
          <w:rFonts w:ascii="仿宋_GB2312" w:hAnsi="仿宋_GB2312" w:eastAsia="仿宋_GB2312"/>
          <w:b w:val="0"/>
          <w:sz w:val="32"/>
        </w:rPr>
        <w:t>七、《政府性基金预算财政拨款收入支出决算表》</w:t>
      </w:r>
    </w:p>
    <w:p w14:paraId="2A7CCC8D">
      <w:pPr>
        <w:spacing w:line="240" w:lineRule="auto"/>
        <w:ind w:firstLine="640"/>
        <w:jc w:val="both"/>
      </w:pPr>
      <w:r>
        <w:rPr>
          <w:rFonts w:ascii="仿宋_GB2312" w:hAnsi="仿宋_GB2312" w:eastAsia="仿宋_GB2312"/>
          <w:b w:val="0"/>
          <w:sz w:val="32"/>
        </w:rPr>
        <w:t>八、《国有资本经营预算财政拨款收入支出决算表》</w:t>
      </w:r>
    </w:p>
    <w:p w14:paraId="4EE1E50A">
      <w:pPr>
        <w:spacing w:line="240" w:lineRule="auto"/>
        <w:ind w:firstLine="640"/>
        <w:jc w:val="both"/>
      </w:pPr>
      <w:r>
        <w:rPr>
          <w:rFonts w:ascii="仿宋_GB2312" w:hAnsi="仿宋_GB2312" w:eastAsia="仿宋_GB2312"/>
          <w:b w:val="0"/>
          <w:sz w:val="32"/>
        </w:rPr>
        <w:t>九、《财政拨款“三公”经费支出决算表》</w:t>
      </w:r>
    </w:p>
    <w:p w14:paraId="56E41D98">
      <w:pPr>
        <w:spacing w:line="240" w:lineRule="auto"/>
        <w:ind w:firstLine="640"/>
        <w:jc w:val="both"/>
      </w:pPr>
    </w:p>
    <w:p w14:paraId="098932CA">
      <w:pPr>
        <w:spacing w:line="240" w:lineRule="auto"/>
        <w:ind w:firstLine="640"/>
        <w:jc w:val="both"/>
      </w:pPr>
    </w:p>
    <w:p w14:paraId="55068E3B">
      <w:pPr>
        <w:spacing w:line="240" w:lineRule="auto"/>
        <w:ind w:firstLine="640"/>
        <w:jc w:val="both"/>
      </w:pPr>
    </w:p>
    <w:p w14:paraId="0ED5781B">
      <w:pPr>
        <w:spacing w:line="240" w:lineRule="auto"/>
        <w:ind w:firstLine="640"/>
        <w:jc w:val="both"/>
      </w:pPr>
    </w:p>
    <w:p w14:paraId="26227E1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7478A6"/>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99497C"/>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7174</Words>
  <Characters>8010</Characters>
  <Lines>0</Lines>
  <Paragraphs>0</Paragraphs>
  <TotalTime>13</TotalTime>
  <ScaleCrop>false</ScaleCrop>
  <LinksUpToDate>false</LinksUpToDate>
  <CharactersWithSpaces>8021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