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疏勒县总工会2024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15BD6F">
      <w:r>
        <w:br w:type="page"/>
      </w:r>
    </w:p>
    <w:p w14:paraId="596E04F0">
      <w:pPr>
        <w:spacing w:line="640" w:lineRule="exact"/>
        <w:jc w:val="center"/>
        <w:outlineLvl w:val="1"/>
      </w:pPr>
      <w:r>
        <w:rPr>
          <w:rFonts w:ascii="黑体" w:hAnsi="黑体" w:eastAsia="黑体"/>
          <w:sz w:val="32"/>
        </w:rPr>
        <w:t>第一部分 单位概况</w:t>
      </w:r>
    </w:p>
    <w:p w14:paraId="76DEBE00">
      <w:pPr>
        <w:spacing w:line="640" w:lineRule="exact"/>
        <w:ind w:firstLine="640"/>
        <w:jc w:val="both"/>
        <w:outlineLvl w:val="2"/>
      </w:pPr>
      <w:r>
        <w:rPr>
          <w:rFonts w:ascii="黑体" w:hAnsi="黑体" w:eastAsia="黑体"/>
          <w:sz w:val="32"/>
        </w:rPr>
        <w:t>一、主要职能</w:t>
      </w:r>
    </w:p>
    <w:p w14:paraId="11D2BED5">
      <w:pPr>
        <w:spacing w:line="580" w:lineRule="exact"/>
        <w:ind w:firstLine="640"/>
        <w:jc w:val="both"/>
      </w:pPr>
      <w:r>
        <w:rPr>
          <w:rFonts w:ascii="仿宋_GB2312" w:hAnsi="仿宋_GB2312" w:eastAsia="仿宋_GB2312"/>
          <w:sz w:val="32"/>
        </w:rPr>
        <w:t>(1)根据党的基本理论、基本路线、基本纲领和工运方针，围绕县委的工作部署要求，研究制定工作计划，组织、指导、开展全县的工会工作。</w:t>
      </w:r>
    </w:p>
    <w:p w14:paraId="0D0D879A">
      <w:pPr>
        <w:spacing w:line="580" w:lineRule="exact"/>
        <w:ind w:firstLine="640"/>
        <w:jc w:val="both"/>
      </w:pPr>
      <w:r>
        <w:rPr>
          <w:rFonts w:ascii="仿宋_GB2312" w:hAnsi="仿宋_GB2312" w:eastAsia="仿宋_GB2312"/>
          <w:sz w:val="32"/>
        </w:rPr>
        <w:t>(2)依照法律和《中国工会章程》，组织和指导各级工会坚定不移地贯彻落实党的全心全意依靠工人阶级的根本指导方针，进一步突出和履行维护职能。</w:t>
      </w:r>
    </w:p>
    <w:p w14:paraId="77583D97">
      <w:pPr>
        <w:spacing w:line="580" w:lineRule="exact"/>
        <w:ind w:firstLine="640"/>
        <w:jc w:val="both"/>
      </w:pPr>
      <w:r>
        <w:rPr>
          <w:rFonts w:ascii="仿宋_GB2312" w:hAnsi="仿宋_GB2312" w:eastAsia="仿宋_GB2312"/>
          <w:sz w:val="32"/>
        </w:rPr>
        <w:t>(3)推动工会组织建设平等协商、集体合同制度和监督保证机制。</w:t>
      </w:r>
    </w:p>
    <w:p w14:paraId="13CB69E1">
      <w:pPr>
        <w:spacing w:line="580" w:lineRule="exact"/>
        <w:ind w:firstLine="640"/>
        <w:jc w:val="both"/>
      </w:pPr>
      <w:r>
        <w:rPr>
          <w:rFonts w:ascii="仿宋_GB2312" w:hAnsi="仿宋_GB2312" w:eastAsia="仿宋_GB2312"/>
          <w:sz w:val="32"/>
        </w:rPr>
        <w:t>(4)加强新建企业工会组织组建工作，进一步健全工会组织，使各乡镇私营企业都要成立工会并逐步推进。</w:t>
      </w:r>
    </w:p>
    <w:p w14:paraId="412592A4">
      <w:pPr>
        <w:spacing w:line="640" w:lineRule="exact"/>
        <w:ind w:firstLine="640"/>
        <w:jc w:val="both"/>
        <w:outlineLvl w:val="2"/>
      </w:pPr>
      <w:r>
        <w:rPr>
          <w:rFonts w:ascii="黑体" w:hAnsi="黑体" w:eastAsia="黑体"/>
          <w:sz w:val="32"/>
        </w:rPr>
        <w:t>二、机构设置及人员情况</w:t>
      </w:r>
    </w:p>
    <w:p w14:paraId="0170A2D8">
      <w:pPr>
        <w:spacing w:line="580" w:lineRule="exact"/>
        <w:ind w:firstLine="640"/>
        <w:jc w:val="both"/>
      </w:pPr>
      <w:r>
        <w:rPr>
          <w:rFonts w:ascii="仿宋_GB2312" w:hAnsi="仿宋_GB2312" w:eastAsia="仿宋_GB2312"/>
          <w:sz w:val="32"/>
        </w:rPr>
        <w:t>疏勒县总工会2024年度，实有人数10人，其中：在职人员5人，增加1人；离休人员0人，增加0人；退休人员5人,增加0人。</w:t>
      </w:r>
    </w:p>
    <w:p w14:paraId="075908B8">
      <w:pPr>
        <w:spacing w:line="580" w:lineRule="exact"/>
        <w:ind w:firstLine="640"/>
        <w:jc w:val="both"/>
      </w:pPr>
      <w:r>
        <w:rPr>
          <w:rFonts w:ascii="仿宋_GB2312" w:hAnsi="仿宋_GB2312" w:eastAsia="仿宋_GB2312"/>
          <w:sz w:val="32"/>
        </w:rPr>
        <w:t>疏勒县总工会无下属预算单位，下设1个科室，分别是：综合办公室。</w:t>
      </w:r>
    </w:p>
    <w:p w14:paraId="48500479">
      <w:r>
        <w:br w:type="page"/>
      </w:r>
    </w:p>
    <w:p w14:paraId="38FF9F73">
      <w:pPr>
        <w:spacing w:line="240" w:lineRule="auto"/>
        <w:jc w:val="center"/>
        <w:outlineLvl w:val="1"/>
      </w:pPr>
      <w:r>
        <w:rPr>
          <w:rFonts w:ascii="黑体" w:hAnsi="黑体" w:eastAsia="黑体"/>
          <w:sz w:val="32"/>
        </w:rPr>
        <w:t>第二部分 部门决算情况说明</w:t>
      </w:r>
    </w:p>
    <w:p w14:paraId="10489C51">
      <w:pPr>
        <w:spacing w:line="640" w:lineRule="exact"/>
        <w:ind w:firstLine="640"/>
        <w:jc w:val="both"/>
        <w:outlineLvl w:val="2"/>
      </w:pPr>
      <w:r>
        <w:rPr>
          <w:rFonts w:ascii="黑体" w:hAnsi="黑体" w:eastAsia="黑体"/>
          <w:sz w:val="32"/>
        </w:rPr>
        <w:t>一、收入支出决算总体情况说明</w:t>
      </w:r>
    </w:p>
    <w:p w14:paraId="46C66DC7">
      <w:pPr>
        <w:spacing w:line="580" w:lineRule="exact"/>
        <w:ind w:firstLine="640"/>
        <w:jc w:val="both"/>
      </w:pPr>
      <w:r>
        <w:rPr>
          <w:rFonts w:ascii="仿宋_GB2312" w:hAnsi="仿宋_GB2312" w:eastAsia="仿宋_GB2312"/>
          <w:b/>
          <w:sz w:val="32"/>
        </w:rPr>
        <w:t>2024年度收入总计97.24万元，</w:t>
      </w:r>
      <w:r>
        <w:rPr>
          <w:rFonts w:ascii="仿宋_GB2312" w:hAnsi="仿宋_GB2312" w:eastAsia="仿宋_GB2312"/>
          <w:b w:val="0"/>
          <w:sz w:val="32"/>
        </w:rPr>
        <w:t>其中：本年收入合计97.24万元，使用非财政拨款结余（含专用结余）0.00万元，年初结转和结余0.00万元。</w:t>
      </w:r>
    </w:p>
    <w:p w14:paraId="72EE8254">
      <w:pPr>
        <w:spacing w:line="580" w:lineRule="exact"/>
        <w:ind w:firstLine="640"/>
        <w:jc w:val="both"/>
      </w:pPr>
      <w:r>
        <w:rPr>
          <w:rFonts w:ascii="仿宋_GB2312" w:hAnsi="仿宋_GB2312" w:eastAsia="仿宋_GB2312"/>
          <w:b/>
          <w:sz w:val="32"/>
        </w:rPr>
        <w:t>2024年度支出总计97.24万元，</w:t>
      </w:r>
      <w:r>
        <w:rPr>
          <w:rFonts w:ascii="仿宋_GB2312" w:hAnsi="仿宋_GB2312" w:eastAsia="仿宋_GB2312"/>
          <w:b w:val="0"/>
          <w:sz w:val="32"/>
        </w:rPr>
        <w:t>其中：本年支出合计97.24万元，结余分配0.00万元，年末结转和结余0.00万元。</w:t>
      </w:r>
    </w:p>
    <w:p w14:paraId="75400E9A">
      <w:pPr>
        <w:spacing w:line="580" w:lineRule="exact"/>
        <w:ind w:firstLine="640"/>
        <w:jc w:val="both"/>
      </w:pPr>
      <w:r>
        <w:rPr>
          <w:rFonts w:ascii="仿宋_GB2312" w:hAnsi="仿宋_GB2312" w:eastAsia="仿宋_GB2312"/>
          <w:b w:val="0"/>
          <w:sz w:val="32"/>
        </w:rPr>
        <w:t>收入支出总体与上年相比，增加25.62万元，增长35.77%，主要原因是：本年在职人员工资调增，社保、公积金基数调增，人员经费增加。</w:t>
      </w:r>
    </w:p>
    <w:p w14:paraId="03DBCD60">
      <w:pPr>
        <w:spacing w:line="640" w:lineRule="exact"/>
        <w:ind w:firstLine="640"/>
        <w:jc w:val="both"/>
        <w:outlineLvl w:val="2"/>
      </w:pPr>
      <w:r>
        <w:rPr>
          <w:rFonts w:ascii="黑体" w:hAnsi="黑体" w:eastAsia="黑体"/>
          <w:sz w:val="32"/>
        </w:rPr>
        <w:t>二、收入决算情况说明</w:t>
      </w:r>
    </w:p>
    <w:p w14:paraId="1AF6133D">
      <w:pPr>
        <w:spacing w:line="580" w:lineRule="exact"/>
        <w:ind w:firstLine="640"/>
        <w:jc w:val="both"/>
      </w:pPr>
      <w:r>
        <w:rPr>
          <w:rFonts w:ascii="仿宋_GB2312" w:hAnsi="仿宋_GB2312" w:eastAsia="仿宋_GB2312"/>
          <w:b/>
          <w:sz w:val="32"/>
        </w:rPr>
        <w:t>本年收入97.24万元，</w:t>
      </w:r>
      <w:r>
        <w:rPr>
          <w:rFonts w:ascii="仿宋_GB2312" w:hAnsi="仿宋_GB2312" w:eastAsia="仿宋_GB2312"/>
          <w:b w:val="0"/>
          <w:sz w:val="32"/>
        </w:rPr>
        <w:t>其中：财政拨款收入97.24万元，占100.00%；上级补助收入0.00万元，占0.00%；事业收入0.00万元，占0.00%；经营收入0.00万元，占0.00%；附属单位上缴收入0.00万元，占0.00%；其他收入0.00万元，占0.00%。</w:t>
      </w:r>
    </w:p>
    <w:p w14:paraId="365594A3">
      <w:pPr>
        <w:spacing w:line="640" w:lineRule="exact"/>
        <w:ind w:firstLine="640"/>
        <w:jc w:val="both"/>
        <w:outlineLvl w:val="2"/>
      </w:pPr>
      <w:r>
        <w:rPr>
          <w:rFonts w:ascii="黑体" w:hAnsi="黑体" w:eastAsia="黑体"/>
          <w:sz w:val="32"/>
        </w:rPr>
        <w:t>三、支出决算情况说明</w:t>
      </w:r>
    </w:p>
    <w:p w14:paraId="7B0B8E99">
      <w:pPr>
        <w:spacing w:line="580" w:lineRule="exact"/>
        <w:ind w:firstLine="640"/>
        <w:jc w:val="both"/>
      </w:pPr>
      <w:r>
        <w:rPr>
          <w:rFonts w:ascii="仿宋_GB2312" w:hAnsi="仿宋_GB2312" w:eastAsia="仿宋_GB2312"/>
          <w:b/>
          <w:sz w:val="32"/>
        </w:rPr>
        <w:t>本年支出97.24万元，</w:t>
      </w:r>
      <w:r>
        <w:rPr>
          <w:rFonts w:ascii="仿宋_GB2312" w:hAnsi="仿宋_GB2312" w:eastAsia="仿宋_GB2312"/>
          <w:b w:val="0"/>
          <w:sz w:val="32"/>
        </w:rPr>
        <w:t>其中：基本支出97.24万元，占100.00%；项目支出0.00万元，占0.00%；上缴上级支出0.00万元，占0.00%；经营支出0.00万元，占0.00%；对附属单位补助支出0.00万元，占0.00%。</w:t>
      </w:r>
    </w:p>
    <w:p w14:paraId="20705B05">
      <w:pPr>
        <w:spacing w:line="640" w:lineRule="exact"/>
        <w:ind w:firstLine="640"/>
        <w:jc w:val="both"/>
        <w:outlineLvl w:val="2"/>
      </w:pPr>
      <w:r>
        <w:rPr>
          <w:rFonts w:ascii="黑体" w:hAnsi="黑体" w:eastAsia="黑体"/>
          <w:sz w:val="32"/>
        </w:rPr>
        <w:t>四、财政拨款收入支出决算总体情况说明</w:t>
      </w:r>
    </w:p>
    <w:p w14:paraId="3AD720FA">
      <w:pPr>
        <w:spacing w:line="580" w:lineRule="exact"/>
        <w:ind w:firstLine="640"/>
        <w:jc w:val="both"/>
      </w:pPr>
      <w:r>
        <w:rPr>
          <w:rFonts w:ascii="仿宋_GB2312" w:hAnsi="仿宋_GB2312" w:eastAsia="仿宋_GB2312"/>
          <w:b/>
          <w:sz w:val="32"/>
        </w:rPr>
        <w:t>2024年度财政拨款收入总计97.24万元，</w:t>
      </w:r>
      <w:r>
        <w:rPr>
          <w:rFonts w:ascii="仿宋_GB2312" w:hAnsi="仿宋_GB2312" w:eastAsia="仿宋_GB2312"/>
          <w:b w:val="0"/>
          <w:sz w:val="32"/>
        </w:rPr>
        <w:t>其中：年初财政拨款结转和结余0.00万元，本年财政拨款收入97.24万元。</w:t>
      </w:r>
      <w:r>
        <w:rPr>
          <w:rFonts w:ascii="仿宋_GB2312" w:hAnsi="仿宋_GB2312" w:eastAsia="仿宋_GB2312"/>
          <w:b/>
          <w:sz w:val="32"/>
        </w:rPr>
        <w:t>财政拨款支出总计97.24万元，</w:t>
      </w:r>
      <w:r>
        <w:rPr>
          <w:rFonts w:ascii="仿宋_GB2312" w:hAnsi="仿宋_GB2312" w:eastAsia="仿宋_GB2312"/>
          <w:b w:val="0"/>
          <w:sz w:val="32"/>
        </w:rPr>
        <w:t>其中：年末财政拨款结转和结余0.00万元，本年财政拨款支出97.24万元。</w:t>
      </w:r>
    </w:p>
    <w:p w14:paraId="715F88B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增加25.62万元，增长35.77%，主要原因是：本年在职人员工资调增，社保、公积金基数调增，人员经费增加。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年初预算数74.81万元，决算数97.24万元，预决算差异率29.98%，主要原因是：本年在职人员增加，年中追加人员经费及人员工资、社保、公积金基数调增部分资金，导致预决算存在差异。</w:t>
      </w:r>
    </w:p>
    <w:p w14:paraId="62928A22">
      <w:pPr>
        <w:spacing w:line="640" w:lineRule="exact"/>
        <w:ind w:firstLine="640"/>
        <w:jc w:val="both"/>
        <w:outlineLvl w:val="2"/>
      </w:pPr>
      <w:r>
        <w:rPr>
          <w:rFonts w:ascii="黑体" w:hAnsi="黑体" w:eastAsia="黑体"/>
          <w:sz w:val="32"/>
        </w:rPr>
        <w:t>五、一般公共预算财政拨款支出决算情况说明</w:t>
      </w:r>
    </w:p>
    <w:p w14:paraId="3A296000">
      <w:pPr>
        <w:spacing w:line="640" w:lineRule="exact"/>
        <w:ind w:firstLine="640"/>
        <w:jc w:val="both"/>
        <w:outlineLvl w:val="3"/>
      </w:pPr>
      <w:r>
        <w:rPr>
          <w:rFonts w:ascii="楷体_GB2312" w:hAnsi="楷体_GB2312" w:eastAsia="楷体_GB2312"/>
          <w:b/>
          <w:sz w:val="32"/>
        </w:rPr>
        <w:t>（一）一般公共预算财政拨款支出决算总体情况</w:t>
      </w:r>
    </w:p>
    <w:p w14:paraId="37C8BB92">
      <w:pPr>
        <w:spacing w:line="580" w:lineRule="exact"/>
        <w:ind w:firstLine="640"/>
        <w:jc w:val="both"/>
      </w:pPr>
      <w:r>
        <w:rPr>
          <w:rFonts w:ascii="仿宋_GB2312" w:hAnsi="仿宋_GB2312" w:eastAsia="仿宋_GB2312"/>
          <w:b/>
          <w:sz w:val="32"/>
        </w:rPr>
        <w:t>2024年度一般公共预算财政拨款支出97.24万元，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增加25.62万元，增长35.77%，主要原因是：</w:t>
      </w:r>
      <w:r>
        <w:rPr>
          <w:rFonts w:hint="eastAsia" w:ascii="仿宋_GB2312" w:hAnsi="仿宋_GB2312" w:eastAsia="仿宋_GB2312"/>
          <w:b w:val="0"/>
          <w:sz w:val="32"/>
          <w:lang w:eastAsia="zh-CN"/>
        </w:rPr>
        <w:t>本</w:t>
      </w:r>
      <w:r>
        <w:rPr>
          <w:rFonts w:ascii="仿宋_GB2312" w:hAnsi="仿宋_GB2312" w:eastAsia="仿宋_GB2312"/>
          <w:b w:val="0"/>
          <w:sz w:val="32"/>
        </w:rPr>
        <w:t>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年初预算数74.81万元，决算数97.24万元，预决算差异率29.98%，主要原因是：本年在职人员增加，年中追加人员经费及人员工资、社保、公积金基数调增部分资金，导致预决算存在差异。</w:t>
      </w:r>
    </w:p>
    <w:p w14:paraId="20F9A89C">
      <w:pPr>
        <w:spacing w:line="640" w:lineRule="exact"/>
        <w:ind w:firstLine="640"/>
        <w:jc w:val="both"/>
        <w:outlineLvl w:val="3"/>
      </w:pPr>
      <w:r>
        <w:rPr>
          <w:rFonts w:ascii="楷体_GB2312" w:hAnsi="楷体_GB2312" w:eastAsia="楷体_GB2312"/>
          <w:b/>
          <w:sz w:val="32"/>
        </w:rPr>
        <w:t>（二）一般公共预算财政拨款支出决算结构情况</w:t>
      </w:r>
    </w:p>
    <w:p w14:paraId="0A63B7D7">
      <w:pPr>
        <w:spacing w:line="580" w:lineRule="exact"/>
        <w:ind w:firstLine="640"/>
        <w:jc w:val="both"/>
      </w:pPr>
      <w:r>
        <w:rPr>
          <w:rFonts w:ascii="仿宋_GB2312" w:hAnsi="仿宋_GB2312" w:eastAsia="仿宋_GB2312"/>
          <w:b w:val="0"/>
          <w:sz w:val="32"/>
        </w:rPr>
        <w:t>1.一般公共服务支出(类)71.72万元,占73.76%。</w:t>
      </w:r>
    </w:p>
    <w:p w14:paraId="278CFDB7">
      <w:pPr>
        <w:spacing w:line="580" w:lineRule="exact"/>
        <w:ind w:firstLine="640"/>
        <w:jc w:val="both"/>
      </w:pPr>
      <w:r>
        <w:rPr>
          <w:rFonts w:ascii="仿宋_GB2312" w:hAnsi="仿宋_GB2312" w:eastAsia="仿宋_GB2312"/>
          <w:b w:val="0"/>
          <w:sz w:val="32"/>
        </w:rPr>
        <w:t>2.社会保障和就业支出(类)14.77万元,占15.19%。</w:t>
      </w:r>
    </w:p>
    <w:p w14:paraId="4C630694">
      <w:pPr>
        <w:spacing w:line="580" w:lineRule="exact"/>
        <w:ind w:firstLine="640"/>
        <w:jc w:val="both"/>
      </w:pPr>
      <w:r>
        <w:rPr>
          <w:rFonts w:ascii="仿宋_GB2312" w:hAnsi="仿宋_GB2312" w:eastAsia="仿宋_GB2312"/>
          <w:b w:val="0"/>
          <w:sz w:val="32"/>
        </w:rPr>
        <w:t>3.卫生健康支出(类)4.42万元,占4.55%。</w:t>
      </w:r>
    </w:p>
    <w:p w14:paraId="661401F5">
      <w:pPr>
        <w:spacing w:line="580" w:lineRule="exact"/>
        <w:ind w:firstLine="640"/>
        <w:jc w:val="both"/>
      </w:pPr>
      <w:r>
        <w:rPr>
          <w:rFonts w:ascii="仿宋_GB2312" w:hAnsi="仿宋_GB2312" w:eastAsia="仿宋_GB2312"/>
          <w:b w:val="0"/>
          <w:sz w:val="32"/>
        </w:rPr>
        <w:t>4.住房保障支出(类)6.32万元,占6.50%。</w:t>
      </w:r>
    </w:p>
    <w:p w14:paraId="7F97281D">
      <w:pPr>
        <w:spacing w:line="640" w:lineRule="exact"/>
        <w:ind w:firstLine="640"/>
        <w:jc w:val="both"/>
        <w:outlineLvl w:val="3"/>
      </w:pPr>
      <w:r>
        <w:rPr>
          <w:rFonts w:ascii="楷体_GB2312" w:hAnsi="楷体_GB2312" w:eastAsia="楷体_GB2312"/>
          <w:b/>
          <w:sz w:val="32"/>
        </w:rPr>
        <w:t>（三）一般公共预算财政拨款支出决算具体情况</w:t>
      </w:r>
    </w:p>
    <w:p w14:paraId="54B21FAB">
      <w:pPr>
        <w:spacing w:line="580" w:lineRule="exact"/>
        <w:ind w:firstLine="640"/>
        <w:jc w:val="both"/>
      </w:pPr>
      <w:r>
        <w:rPr>
          <w:rFonts w:ascii="仿宋_GB2312" w:hAnsi="仿宋_GB2312" w:eastAsia="仿宋_GB2312"/>
          <w:b w:val="0"/>
          <w:sz w:val="32"/>
        </w:rPr>
        <w:t>1.一般公共服务支出(类)群众团体事务(款)行政运行(项):支出决算数为71.72万元，比上年决算增加19.78万元，增长38.08%,主要原因是：本年在职人员工资调增，导致相关人员经费较上年有所增加。</w:t>
      </w:r>
    </w:p>
    <w:p w14:paraId="6E9D3E2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2.社会保障和就业支出(类)行政事业单位养老支出(款)行政单位离退休(项):支出决算数为6.68万元，比上年决算增加0.67万元，增长11.15%,主要原因是：本年增加退休人员基础绩效奖，退休费支出增加。</w:t>
      </w:r>
    </w:p>
    <w:p w14:paraId="07D0264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8.09万元，比上年决算增加3.14万元，增长63.43%,主要原因是：本年在职人员工资基数调增，养老缴费基数上涨，相应支出增加。</w:t>
      </w:r>
    </w:p>
    <w:p w14:paraId="661630E9">
      <w:pPr>
        <w:spacing w:line="580" w:lineRule="exact"/>
        <w:ind w:firstLine="640"/>
        <w:jc w:val="both"/>
      </w:pPr>
      <w:r>
        <w:rPr>
          <w:rFonts w:ascii="仿宋_GB2312" w:hAnsi="仿宋_GB2312" w:eastAsia="仿宋_GB2312"/>
          <w:b w:val="0"/>
          <w:sz w:val="32"/>
        </w:rPr>
        <w:t>4.卫生健康支出(类)行政事业单位医疗(款)行政单位医疗(项):支出决算数为3.42万元，比上年决算减少0.20万元，下降5.52%,主要原因是：本年在职人员调入调出，人员职级不同，缴费基数不同，导致行政单位医疗较上年减少。</w:t>
      </w:r>
    </w:p>
    <w:p w14:paraId="76AA8B2D">
      <w:pPr>
        <w:spacing w:line="580" w:lineRule="exact"/>
        <w:ind w:firstLine="640"/>
        <w:jc w:val="both"/>
      </w:pPr>
      <w:r>
        <w:rPr>
          <w:rFonts w:ascii="仿宋_GB2312" w:hAnsi="仿宋_GB2312" w:eastAsia="仿宋_GB2312"/>
          <w:b w:val="0"/>
          <w:sz w:val="32"/>
        </w:rPr>
        <w:t>5.卫生健康支出(类)行政事业单位医疗(款)公务员医疗补助(项):支出决算数为1.01万元，比上年决算减少0.17万元，下降14.41%,主要原因是：本年在职人员调入调出，人员职级不同，缴费基数不同，导致公务员医疗补助较上年减少。</w:t>
      </w:r>
    </w:p>
    <w:p w14:paraId="5F33AC8C">
      <w:pPr>
        <w:spacing w:line="580" w:lineRule="exact"/>
        <w:ind w:firstLine="640"/>
        <w:jc w:val="both"/>
      </w:pPr>
      <w:r>
        <w:rPr>
          <w:rFonts w:ascii="仿宋_GB2312" w:hAnsi="仿宋_GB2312" w:eastAsia="仿宋_GB2312"/>
          <w:b w:val="0"/>
          <w:sz w:val="32"/>
        </w:rPr>
        <w:t>6.住房保障支出(类)住房改革支出(款)住房公积金(项):支出决算数为6.32万元，比上年决算增加2.40万元，增长61.22%,主要原因是：</w:t>
      </w:r>
      <w:r>
        <w:rPr>
          <w:rFonts w:hint="eastAsia" w:ascii="仿宋_GB2312" w:hAnsi="仿宋_GB2312" w:eastAsia="仿宋_GB2312"/>
          <w:b w:val="0"/>
          <w:sz w:val="32"/>
          <w:lang w:eastAsia="zh-CN"/>
        </w:rPr>
        <w:t>本年</w:t>
      </w:r>
      <w:r>
        <w:rPr>
          <w:rFonts w:ascii="仿宋_GB2312" w:hAnsi="仿宋_GB2312" w:eastAsia="仿宋_GB2312"/>
          <w:b w:val="0"/>
          <w:sz w:val="32"/>
        </w:rPr>
        <w:t>在职人员工资基数调增，公积金缴费基数上涨，相应支出增加。</w:t>
      </w:r>
    </w:p>
    <w:p w14:paraId="07A01656">
      <w:pPr>
        <w:spacing w:line="640" w:lineRule="exact"/>
        <w:ind w:firstLine="640"/>
        <w:jc w:val="both"/>
        <w:outlineLvl w:val="2"/>
      </w:pPr>
      <w:r>
        <w:rPr>
          <w:rFonts w:ascii="黑体" w:hAnsi="黑体" w:eastAsia="黑体"/>
          <w:sz w:val="32"/>
        </w:rPr>
        <w:t>六、一般公共预算财政拨款基本支出决算情况说明</w:t>
      </w:r>
    </w:p>
    <w:p w14:paraId="1197565B">
      <w:pPr>
        <w:spacing w:line="580" w:lineRule="exact"/>
        <w:ind w:firstLine="640"/>
        <w:jc w:val="both"/>
      </w:pPr>
      <w:r>
        <w:rPr>
          <w:rFonts w:ascii="仿宋_GB2312" w:hAnsi="仿宋_GB2312" w:eastAsia="仿宋_GB2312"/>
          <w:b w:val="0"/>
          <w:sz w:val="32"/>
        </w:rPr>
        <w:t>2024年度一般公共预算财政拨款基本支出97.24万元，其中：</w:t>
      </w:r>
      <w:r>
        <w:rPr>
          <w:rFonts w:ascii="仿宋_GB2312" w:hAnsi="仿宋_GB2312" w:eastAsia="仿宋_GB2312"/>
          <w:b/>
          <w:sz w:val="32"/>
        </w:rPr>
        <w:t>人员经费95.53万元，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14:paraId="573DB357">
      <w:pPr>
        <w:spacing w:line="580" w:lineRule="exact"/>
        <w:ind w:firstLine="640"/>
        <w:jc w:val="both"/>
      </w:pPr>
      <w:r>
        <w:rPr>
          <w:rFonts w:ascii="仿宋_GB2312" w:hAnsi="仿宋_GB2312" w:eastAsia="仿宋_GB2312"/>
          <w:b/>
          <w:sz w:val="32"/>
        </w:rPr>
        <w:t>公用经费1.71万元，</w:t>
      </w:r>
      <w:r>
        <w:rPr>
          <w:rFonts w:ascii="仿宋_GB2312" w:hAnsi="仿宋_GB2312" w:eastAsia="仿宋_GB2312"/>
          <w:b w:val="0"/>
          <w:sz w:val="32"/>
        </w:rPr>
        <w:t>包括：办公费、邮电费、公务用车运行维护费。</w:t>
      </w:r>
    </w:p>
    <w:p w14:paraId="1B2DB4D0">
      <w:pPr>
        <w:spacing w:line="640" w:lineRule="exact"/>
        <w:ind w:firstLine="640"/>
        <w:jc w:val="both"/>
        <w:outlineLvl w:val="2"/>
      </w:pPr>
      <w:r>
        <w:rPr>
          <w:rFonts w:ascii="黑体" w:hAnsi="黑体" w:eastAsia="黑体"/>
          <w:sz w:val="32"/>
        </w:rPr>
        <w:t>七、政府性基金预算财政拨款收入支出决算情况说明</w:t>
      </w:r>
    </w:p>
    <w:p w14:paraId="658F783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0DA5D7E">
      <w:pPr>
        <w:spacing w:line="640" w:lineRule="exact"/>
        <w:ind w:firstLine="640"/>
        <w:jc w:val="both"/>
        <w:outlineLvl w:val="2"/>
      </w:pPr>
      <w:r>
        <w:rPr>
          <w:rFonts w:ascii="黑体" w:hAnsi="黑体" w:eastAsia="黑体"/>
          <w:sz w:val="32"/>
        </w:rPr>
        <w:t>八、国有资本经营预算财政拨款收入支出决算情况说明</w:t>
      </w:r>
    </w:p>
    <w:p w14:paraId="0CAFB24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1EA63B">
      <w:pPr>
        <w:spacing w:line="640" w:lineRule="exact"/>
        <w:ind w:firstLine="640"/>
        <w:jc w:val="both"/>
        <w:outlineLvl w:val="2"/>
      </w:pPr>
      <w:r>
        <w:rPr>
          <w:rFonts w:ascii="黑体" w:hAnsi="黑体" w:eastAsia="黑体"/>
          <w:sz w:val="32"/>
        </w:rPr>
        <w:t>九、财政拨款“三公”经费支出决算情况说明</w:t>
      </w:r>
    </w:p>
    <w:p w14:paraId="561CD399">
      <w:pPr>
        <w:spacing w:line="580" w:lineRule="exact"/>
        <w:ind w:firstLine="640"/>
        <w:jc w:val="both"/>
      </w:pPr>
      <w:r>
        <w:rPr>
          <w:rFonts w:ascii="仿宋_GB2312" w:hAnsi="仿宋_GB2312" w:eastAsia="仿宋_GB2312"/>
          <w:b/>
          <w:sz w:val="32"/>
        </w:rPr>
        <w:t>2024年度财政拨款“三公”经费支出0.78万元，</w:t>
      </w:r>
      <w:r>
        <w:rPr>
          <w:rFonts w:ascii="仿宋_GB2312" w:hAnsi="仿宋_GB2312" w:eastAsia="仿宋_GB2312"/>
          <w:b w:val="0"/>
          <w:sz w:val="32"/>
        </w:rPr>
        <w:t>比上年增加0.78万元，增长100.00%，主要原因是：2024年借用其他单位公务用车，维修维护成本增加，导致公务用车运行维护费较上年增加。其中：因公出国（境）费支出0.00万元，占0.00%，比上年增加0.00万元，增长0.00%，主要原因是：2023年与2024年均未安排因公出国（境）费支出。公务用车购置及运行维护费支出0.78万元，占100.00%，比上年增加0.78万元，增长100.00%，主要原因是：2024年借用其他单位公务用车，维修维护成本增加，导致公务用车运行维护费较上年增加。公务接待费支出0.00万元，占0.00%，比上年增加0.00万元，增长0.00%，主要原因是：2023年与2024年均未安排公务接待费支出。</w:t>
      </w:r>
    </w:p>
    <w:p w14:paraId="21BDAAF4">
      <w:pPr>
        <w:spacing w:line="580" w:lineRule="exact"/>
        <w:ind w:firstLine="640"/>
        <w:jc w:val="both"/>
      </w:pPr>
      <w:r>
        <w:rPr>
          <w:rFonts w:ascii="仿宋_GB2312" w:hAnsi="仿宋_GB2312" w:eastAsia="仿宋_GB2312"/>
          <w:b/>
          <w:sz w:val="32"/>
        </w:rPr>
        <w:t>具体情况如下：</w:t>
      </w:r>
    </w:p>
    <w:p w14:paraId="30570C1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64DF3C2">
      <w:pPr>
        <w:spacing w:line="580" w:lineRule="exact"/>
        <w:ind w:firstLine="640"/>
        <w:jc w:val="both"/>
      </w:pPr>
      <w:r>
        <w:rPr>
          <w:rFonts w:ascii="仿宋_GB2312" w:hAnsi="仿宋_GB2312" w:eastAsia="仿宋_GB2312"/>
          <w:b w:val="0"/>
          <w:sz w:val="32"/>
        </w:rPr>
        <w:t>公务用车购置及运行维护费0.78万元，其中：公务用车购置费0.00万元，公务用车运行维护费0.78万元。公务用车运行维护费开支内容包括车辆加油费、维修费、保险费、过路费等。公务用车购置数0辆，公务用车保有量1辆。国有资产占用情况中固定资产车辆0辆，与公务用车保有量差异原因是：借用其他单位车辆，车辆费用由本单位支付。</w:t>
      </w:r>
    </w:p>
    <w:p w14:paraId="4CAAD6D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0C986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0.78万元，决算数0.78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0.78万元，决算数0.78万元，预决算差异率0.00%，主要原因是：严格按照预算执行，预决算无差异。公务接待费全年预算数0.00万元，决算数0.00万元，预决算差异率0.00%，主要原因是：本单位无公务接待费。</w:t>
      </w:r>
    </w:p>
    <w:p w14:paraId="4D61ABF9">
      <w:pPr>
        <w:spacing w:line="640" w:lineRule="exact"/>
        <w:ind w:firstLine="640"/>
        <w:jc w:val="both"/>
        <w:outlineLvl w:val="2"/>
      </w:pPr>
      <w:r>
        <w:rPr>
          <w:rFonts w:ascii="黑体" w:hAnsi="黑体" w:eastAsia="黑体"/>
          <w:sz w:val="32"/>
        </w:rPr>
        <w:t>十、其他重要事项的情况说明</w:t>
      </w:r>
    </w:p>
    <w:p w14:paraId="33935F3F">
      <w:pPr>
        <w:spacing w:line="640" w:lineRule="exact"/>
        <w:ind w:firstLine="640"/>
        <w:jc w:val="both"/>
        <w:outlineLvl w:val="3"/>
      </w:pPr>
      <w:r>
        <w:rPr>
          <w:rFonts w:ascii="楷体_GB2312" w:hAnsi="楷体_GB2312" w:eastAsia="楷体_GB2312"/>
          <w:b/>
          <w:sz w:val="32"/>
        </w:rPr>
        <w:t>（一）机关运行经费及公用经费支出情况</w:t>
      </w:r>
    </w:p>
    <w:p w14:paraId="41D465C7">
      <w:pPr>
        <w:spacing w:line="580" w:lineRule="exact"/>
        <w:ind w:firstLine="640"/>
        <w:jc w:val="both"/>
      </w:pPr>
      <w:r>
        <w:rPr>
          <w:rFonts w:ascii="仿宋_GB2312" w:hAnsi="仿宋_GB2312" w:eastAsia="仿宋_GB2312"/>
          <w:b w:val="0"/>
          <w:sz w:val="32"/>
        </w:rPr>
        <w:t>2024年度疏勒县总工会（行政单位和参照公务员法管理事业单位）机关运行经费支出1.71万元，比上年增加1.09万元，增长175.81%，主要原因是：本年更新、维护补充办公用品，导致机关运行经费较上年增加。</w:t>
      </w:r>
    </w:p>
    <w:p w14:paraId="598AB6DC">
      <w:pPr>
        <w:spacing w:line="640" w:lineRule="exact"/>
        <w:ind w:firstLine="640"/>
        <w:jc w:val="both"/>
        <w:outlineLvl w:val="3"/>
      </w:pPr>
      <w:r>
        <w:rPr>
          <w:rFonts w:ascii="楷体_GB2312" w:hAnsi="楷体_GB2312" w:eastAsia="楷体_GB2312"/>
          <w:b/>
          <w:sz w:val="32"/>
        </w:rPr>
        <w:t>（二）政府采购情况</w:t>
      </w:r>
    </w:p>
    <w:p w14:paraId="53EE490D">
      <w:pPr>
        <w:spacing w:line="580" w:lineRule="exact"/>
        <w:ind w:firstLine="640"/>
        <w:jc w:val="both"/>
      </w:pPr>
      <w:r>
        <w:rPr>
          <w:rFonts w:ascii="仿宋_GB2312" w:hAnsi="仿宋_GB2312" w:eastAsia="仿宋_GB2312"/>
          <w:b w:val="0"/>
          <w:sz w:val="32"/>
        </w:rPr>
        <w:t>2024年度政府采购支出总额78.57万元，其中：政府采购货物支出72.12万元、政府采购工程支出0.00万元、政府采购服务支出6.45万元。</w:t>
      </w:r>
    </w:p>
    <w:p w14:paraId="0FB9F03E">
      <w:pPr>
        <w:spacing w:line="580" w:lineRule="exact"/>
        <w:ind w:firstLine="640"/>
        <w:jc w:val="both"/>
      </w:pPr>
      <w:r>
        <w:rPr>
          <w:rFonts w:ascii="仿宋_GB2312" w:hAnsi="仿宋_GB2312" w:eastAsia="仿宋_GB2312"/>
          <w:b w:val="0"/>
          <w:sz w:val="32"/>
        </w:rPr>
        <w:t>授予中小企业合同金额78.57万元，占政府采购支出总额的100.00%，其中：授予小微企业合同金额78.57万元，占政府采购支出总额的100.00%。</w:t>
      </w:r>
    </w:p>
    <w:p w14:paraId="157F0105">
      <w:pPr>
        <w:spacing w:line="640" w:lineRule="exact"/>
        <w:ind w:firstLine="640"/>
        <w:jc w:val="both"/>
        <w:outlineLvl w:val="3"/>
      </w:pPr>
      <w:r>
        <w:rPr>
          <w:rFonts w:ascii="楷体_GB2312" w:hAnsi="楷体_GB2312" w:eastAsia="楷体_GB2312"/>
          <w:b/>
          <w:sz w:val="32"/>
        </w:rPr>
        <w:t>（三）国有资产占用情况说明</w:t>
      </w:r>
    </w:p>
    <w:p w14:paraId="50A62441">
      <w:pPr>
        <w:spacing w:line="580" w:lineRule="exact"/>
        <w:ind w:firstLine="640"/>
        <w:jc w:val="both"/>
      </w:pPr>
      <w:r>
        <w:rPr>
          <w:rFonts w:ascii="仿宋_GB2312" w:hAnsi="仿宋_GB2312" w:eastAsia="仿宋_GB2312"/>
          <w:b w:val="0"/>
          <w:sz w:val="32"/>
        </w:rPr>
        <w:t>截至2024年12月31日，房屋794.00平方米，价值152.72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54827D7">
      <w:pPr>
        <w:spacing w:line="640" w:lineRule="exact"/>
        <w:ind w:firstLine="640"/>
        <w:jc w:val="both"/>
        <w:outlineLvl w:val="2"/>
      </w:pPr>
      <w:r>
        <w:rPr>
          <w:rFonts w:ascii="黑体" w:hAnsi="黑体" w:eastAsia="黑体"/>
          <w:sz w:val="32"/>
        </w:rPr>
        <w:t>十一、预算绩效的情况说明</w:t>
      </w:r>
    </w:p>
    <w:p w14:paraId="5E29B75E">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97.24万元，实际执行总额97.24万元；预算绩效评价项目0个，全年预算数0.00万元，全年执行数0.00万元。预算绩效管理取得的成效：本单位2024年无项目绩效自评表。发现的问题及原因：本单位2024年无项目绩效自评表。下一步改进措施：本单位2024年无项目绩效自评表。</w:t>
      </w:r>
      <w:r>
        <w:rPr>
          <w:rFonts w:hint="eastAsia" w:ascii="仿宋_GB2312" w:hAnsi="仿宋_GB2312" w:eastAsia="仿宋_GB2312"/>
          <w:b w:val="0"/>
          <w:sz w:val="32"/>
          <w:lang w:eastAsia="zh-CN"/>
        </w:rPr>
        <w:t>具体附整体支出绩效自评表。</w:t>
      </w:r>
    </w:p>
    <w:p w14:paraId="332F0A1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65DDF70">
        <w:tc>
          <w:tcPr>
            <w:tcW w:w="8847" w:type="dxa"/>
            <w:gridSpan w:val="9"/>
            <w:vAlign w:val="center"/>
          </w:tcPr>
          <w:p w14:paraId="3C2D8EAC">
            <w:pPr>
              <w:jc w:val="center"/>
            </w:pPr>
            <w:r>
              <w:rPr>
                <w:rFonts w:ascii="宋体" w:hAnsi="宋体" w:eastAsia="宋体"/>
                <w:sz w:val="24"/>
              </w:rPr>
              <w:t>单位整体支出绩效自评表</w:t>
            </w:r>
          </w:p>
        </w:tc>
      </w:tr>
      <w:tr w14:paraId="6B72E2B5">
        <w:tblPrEx>
          <w:tblCellMar>
            <w:top w:w="0" w:type="dxa"/>
            <w:left w:w="108" w:type="dxa"/>
            <w:bottom w:w="0" w:type="dxa"/>
            <w:right w:w="108" w:type="dxa"/>
          </w:tblCellMar>
        </w:tblPrEx>
        <w:tc>
          <w:tcPr>
            <w:tcW w:w="8847" w:type="dxa"/>
            <w:gridSpan w:val="9"/>
            <w:vAlign w:val="center"/>
          </w:tcPr>
          <w:p w14:paraId="3E0507C1">
            <w:pPr>
              <w:jc w:val="center"/>
            </w:pPr>
            <w:r>
              <w:rPr>
                <w:rFonts w:ascii="宋体" w:hAnsi="宋体" w:eastAsia="宋体"/>
                <w:sz w:val="24"/>
              </w:rPr>
              <w:t>（2024年度）</w:t>
            </w:r>
          </w:p>
        </w:tc>
      </w:tr>
      <w:tr w14:paraId="52140D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8415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9A1921">
            <w:pPr>
              <w:jc w:val="center"/>
            </w:pPr>
            <w:r>
              <w:rPr>
                <w:rFonts w:ascii="宋体" w:hAnsi="宋体" w:eastAsia="宋体"/>
                <w:sz w:val="16"/>
              </w:rPr>
              <w:t>疏勒县总工会</w:t>
            </w:r>
          </w:p>
        </w:tc>
      </w:tr>
      <w:tr w14:paraId="3A06DE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BB20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2927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FF67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D4FB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EDF2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C6F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7F2A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D56CF">
            <w:pPr>
              <w:jc w:val="center"/>
            </w:pPr>
            <w:r>
              <w:rPr>
                <w:rFonts w:ascii="宋体" w:hAnsi="宋体" w:eastAsia="宋体"/>
                <w:sz w:val="16"/>
              </w:rPr>
              <w:t>得分</w:t>
            </w:r>
          </w:p>
        </w:tc>
      </w:tr>
      <w:tr w14:paraId="0EC53A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17D2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CC33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0B93C">
            <w:pPr>
              <w:jc w:val="center"/>
            </w:pPr>
            <w:r>
              <w:rPr>
                <w:rFonts w:ascii="宋体" w:hAnsi="宋体" w:eastAsia="宋体"/>
                <w:sz w:val="16"/>
              </w:rPr>
              <w:t>74.81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25127">
            <w:pPr>
              <w:jc w:val="center"/>
            </w:pPr>
            <w:r>
              <w:rPr>
                <w:rFonts w:ascii="宋体" w:hAnsi="宋体" w:eastAsia="宋体"/>
                <w:sz w:val="16"/>
              </w:rPr>
              <w:t>97.24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1D2EF">
            <w:pPr>
              <w:jc w:val="center"/>
            </w:pPr>
            <w:r>
              <w:rPr>
                <w:rFonts w:ascii="宋体" w:hAnsi="宋体" w:eastAsia="宋体"/>
                <w:sz w:val="16"/>
              </w:rPr>
              <w:t>97.24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8AA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CC3E3">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926CC">
            <w:pPr>
              <w:jc w:val="center"/>
            </w:pPr>
            <w:r>
              <w:rPr>
                <w:rFonts w:ascii="宋体" w:hAnsi="宋体" w:eastAsia="宋体"/>
                <w:sz w:val="16"/>
              </w:rPr>
              <w:t>10</w:t>
            </w:r>
          </w:p>
        </w:tc>
      </w:tr>
      <w:tr w14:paraId="2B71CF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94CB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400F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FEC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AA8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CD6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5E4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8D0A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9E30D">
            <w:pPr>
              <w:jc w:val="center"/>
            </w:pPr>
            <w:r>
              <w:rPr>
                <w:rFonts w:ascii="宋体" w:hAnsi="宋体" w:eastAsia="宋体"/>
                <w:sz w:val="16"/>
              </w:rPr>
              <w:t>—</w:t>
            </w:r>
          </w:p>
        </w:tc>
      </w:tr>
      <w:tr w14:paraId="38A0D4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739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E2A3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15B7C">
            <w:pPr>
              <w:jc w:val="center"/>
            </w:pPr>
            <w:r>
              <w:rPr>
                <w:rFonts w:ascii="宋体" w:hAnsi="宋体" w:eastAsia="宋体"/>
                <w:sz w:val="16"/>
              </w:rPr>
              <w:t>74.81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7C873">
            <w:pPr>
              <w:jc w:val="center"/>
            </w:pPr>
            <w:r>
              <w:rPr>
                <w:rFonts w:ascii="宋体" w:hAnsi="宋体" w:eastAsia="宋体"/>
                <w:sz w:val="16"/>
              </w:rPr>
              <w:t>97.24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1B6A9">
            <w:pPr>
              <w:jc w:val="center"/>
            </w:pPr>
            <w:r>
              <w:rPr>
                <w:rFonts w:ascii="宋体" w:hAnsi="宋体" w:eastAsia="宋体"/>
                <w:sz w:val="16"/>
              </w:rPr>
              <w:t>97.24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D25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DB3A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1D50F">
            <w:pPr>
              <w:jc w:val="center"/>
            </w:pPr>
            <w:r>
              <w:rPr>
                <w:rFonts w:ascii="宋体" w:hAnsi="宋体" w:eastAsia="宋体"/>
                <w:sz w:val="16"/>
              </w:rPr>
              <w:t>—</w:t>
            </w:r>
          </w:p>
        </w:tc>
      </w:tr>
      <w:tr w14:paraId="1F4463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A88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6F8F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1D0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998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91B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B8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3715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0980E">
            <w:pPr>
              <w:jc w:val="center"/>
            </w:pPr>
            <w:r>
              <w:rPr>
                <w:rFonts w:ascii="宋体" w:hAnsi="宋体" w:eastAsia="宋体"/>
                <w:sz w:val="16"/>
              </w:rPr>
              <w:t>—</w:t>
            </w:r>
          </w:p>
        </w:tc>
      </w:tr>
      <w:tr w14:paraId="28A832C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89D7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8A859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66663A">
            <w:pPr>
              <w:jc w:val="center"/>
            </w:pPr>
            <w:r>
              <w:rPr>
                <w:rFonts w:ascii="宋体" w:hAnsi="宋体" w:eastAsia="宋体"/>
                <w:sz w:val="16"/>
              </w:rPr>
              <w:t>实际完成情况</w:t>
            </w:r>
          </w:p>
        </w:tc>
      </w:tr>
      <w:tr w14:paraId="6DAB71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A775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23483F">
            <w:pPr>
              <w:jc w:val="both"/>
            </w:pPr>
            <w:r>
              <w:rPr>
                <w:rFonts w:ascii="宋体" w:hAnsi="宋体" w:eastAsia="宋体"/>
                <w:sz w:val="16"/>
              </w:rPr>
              <w:t>深入开展维护职工权益行动，健全常态化帮扶城市困难职工工作机制，完善梯度帮扶制度，常态化开展送温暖活动。以提升职工技能素质、推动企业技术创新为重点，深化“当好主人翁</w:t>
            </w:r>
            <w:r>
              <w:rPr>
                <w:rFonts w:hint="eastAsia" w:ascii="宋体" w:hAnsi="宋体"/>
                <w:sz w:val="16"/>
                <w:lang w:eastAsia="zh-CN"/>
              </w:rPr>
              <w:t>，</w:t>
            </w:r>
            <w:r>
              <w:rPr>
                <w:rFonts w:ascii="宋体" w:hAnsi="宋体" w:eastAsia="宋体"/>
                <w:sz w:val="16"/>
              </w:rPr>
              <w:t>建功新时代”主题劳动和技能竞赛，围绕全地区重点工程项目，开展劳动技能竞赛，提高竞赛质量和覆盖面。深入开展建设职工之家活动。表彰一批模范“职工之家”、模范“职工小家”。制定出创建计划，有计划、有步骤</w:t>
            </w:r>
            <w:r>
              <w:rPr>
                <w:rFonts w:hint="eastAsia" w:ascii="宋体" w:hAnsi="宋体"/>
                <w:sz w:val="16"/>
                <w:lang w:eastAsia="zh-CN"/>
              </w:rPr>
              <w:t>地</w:t>
            </w:r>
            <w:r>
              <w:rPr>
                <w:rFonts w:ascii="宋体" w:hAnsi="宋体" w:eastAsia="宋体"/>
                <w:sz w:val="16"/>
              </w:rPr>
              <w:t>开展“职工之家”创建活动，以建家活动为载体，适时开展各类培训，切实改进工会工作方式，加强工作作风建设，全面提升工会工作水平。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A1C12D">
            <w:pPr>
              <w:jc w:val="both"/>
            </w:pPr>
            <w:r>
              <w:rPr>
                <w:rFonts w:ascii="宋体" w:hAnsi="宋体" w:eastAsia="宋体"/>
                <w:sz w:val="16"/>
              </w:rPr>
              <w:t>通过12351平台推送的困难诉求入手，已办结困难诉求28条，深入开展维护职工权益行动；通过开展走访慰问、夏送清凉、冬送温暖活动，常态化帮扶城市困难职工3000余人，2024年困难职工退出3户，完善梯度帮扶制度。围绕全地区重点工程项目，开展“工会杯”职工劳动技能竞赛，以提升职工技能素质、推动企业技术创新；围，开展劳动技能竞赛；先后在2</w:t>
            </w:r>
            <w:r>
              <w:rPr>
                <w:rFonts w:hint="eastAsia" w:ascii="宋体" w:hAnsi="宋体"/>
                <w:sz w:val="16"/>
                <w:lang w:eastAsia="zh-CN"/>
              </w:rPr>
              <w:t>个</w:t>
            </w:r>
            <w:r>
              <w:rPr>
                <w:rFonts w:ascii="宋体" w:hAnsi="宋体" w:eastAsia="宋体"/>
                <w:sz w:val="16"/>
              </w:rPr>
              <w:t>乡镇建立职工之家，有效地改善了职工活动场所，为职工工作之余提供休闲解压。以建家活动为载体，开展了工作培训，切实改进了工作方式，加强了作风建设，提升了工作水平。</w:t>
            </w:r>
          </w:p>
        </w:tc>
      </w:tr>
      <w:tr w14:paraId="6F83F6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67B7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1EE2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56F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3C57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6819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AFC1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81C5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F200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FDB33">
            <w:pPr>
              <w:jc w:val="center"/>
            </w:pPr>
            <w:r>
              <w:rPr>
                <w:rFonts w:ascii="宋体" w:hAnsi="宋体" w:eastAsia="宋体"/>
                <w:sz w:val="16"/>
              </w:rPr>
              <w:t>得分</w:t>
            </w:r>
          </w:p>
        </w:tc>
      </w:tr>
      <w:tr w14:paraId="0C6684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BC58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5535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643D">
            <w:pPr>
              <w:jc w:val="center"/>
            </w:pPr>
            <w:r>
              <w:rPr>
                <w:rFonts w:ascii="宋体" w:hAnsi="宋体" w:eastAsia="宋体"/>
                <w:sz w:val="16"/>
              </w:rPr>
              <w:t>开展劳动技能竞赛次数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2FA0C">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9CC9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3C69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302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D67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92A0B">
            <w:pPr>
              <w:jc w:val="center"/>
            </w:pPr>
            <w:r>
              <w:rPr>
                <w:rFonts w:ascii="宋体" w:hAnsi="宋体" w:eastAsia="宋体"/>
                <w:sz w:val="16"/>
              </w:rPr>
              <w:t>10</w:t>
            </w:r>
          </w:p>
        </w:tc>
      </w:tr>
      <w:tr w14:paraId="671793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9F9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791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D46BD">
            <w:pPr>
              <w:jc w:val="center"/>
            </w:pPr>
            <w:r>
              <w:rPr>
                <w:rFonts w:ascii="宋体" w:hAnsi="宋体" w:eastAsia="宋体"/>
                <w:sz w:val="16"/>
              </w:rPr>
              <w:t>建设职工之家个数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8A1FE">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E4F6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1C1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F5E1D">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26D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6A6F6">
            <w:pPr>
              <w:jc w:val="center"/>
            </w:pPr>
            <w:r>
              <w:rPr>
                <w:rFonts w:ascii="宋体" w:hAnsi="宋体" w:eastAsia="宋体"/>
                <w:sz w:val="16"/>
              </w:rPr>
              <w:t>10</w:t>
            </w:r>
          </w:p>
        </w:tc>
      </w:tr>
      <w:tr w14:paraId="67CD78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12B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8F7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4A0A8">
            <w:pPr>
              <w:jc w:val="center"/>
            </w:pPr>
            <w:r>
              <w:rPr>
                <w:rFonts w:ascii="宋体" w:hAnsi="宋体" w:eastAsia="宋体"/>
                <w:sz w:val="16"/>
              </w:rPr>
              <w:t>常态化帮扶城市困难职工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FC1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B3F2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382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CC1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C61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0826B">
            <w:pPr>
              <w:jc w:val="center"/>
            </w:pPr>
            <w:r>
              <w:rPr>
                <w:rFonts w:ascii="宋体" w:hAnsi="宋体" w:eastAsia="宋体"/>
                <w:sz w:val="16"/>
              </w:rPr>
              <w:t>10</w:t>
            </w:r>
          </w:p>
        </w:tc>
      </w:tr>
      <w:tr w14:paraId="515E71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33F0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9AF2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CA711">
            <w:pPr>
              <w:jc w:val="center"/>
            </w:pPr>
            <w:r>
              <w:rPr>
                <w:rFonts w:ascii="宋体" w:hAnsi="宋体" w:eastAsia="宋体"/>
                <w:sz w:val="16"/>
              </w:rPr>
              <w:t>维护职工权益行动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367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99CB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FC18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AD1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E4A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B21CD">
            <w:pPr>
              <w:jc w:val="center"/>
            </w:pPr>
            <w:r>
              <w:rPr>
                <w:rFonts w:ascii="宋体" w:hAnsi="宋体" w:eastAsia="宋体"/>
                <w:sz w:val="16"/>
              </w:rPr>
              <w:t>20</w:t>
            </w:r>
          </w:p>
        </w:tc>
      </w:tr>
      <w:tr w14:paraId="26CBCA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D38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95F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E7CF2">
            <w:pPr>
              <w:jc w:val="center"/>
            </w:pPr>
            <w:r>
              <w:rPr>
                <w:rFonts w:ascii="宋体" w:hAnsi="宋体" w:eastAsia="宋体"/>
                <w:sz w:val="16"/>
              </w:rPr>
              <w:t>职工之家建设完成率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09D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B64E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F18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2D4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666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668F5">
            <w:pPr>
              <w:jc w:val="center"/>
            </w:pPr>
            <w:r>
              <w:rPr>
                <w:rFonts w:ascii="宋体" w:hAnsi="宋体" w:eastAsia="宋体"/>
                <w:sz w:val="16"/>
              </w:rPr>
              <w:t>10</w:t>
            </w:r>
          </w:p>
        </w:tc>
      </w:tr>
      <w:tr w14:paraId="5B8384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71E7A">
            <w:pPr>
              <w:jc w:val="center"/>
            </w:pPr>
            <w:r>
              <w:rPr>
                <w:rFonts w:ascii="宋体" w:hAnsi="宋体" w:eastAsia="宋体"/>
                <w:sz w:val="16"/>
              </w:rPr>
              <w:t>社会效应</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BEF2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A997D">
            <w:pPr>
              <w:jc w:val="center"/>
            </w:pPr>
            <w:r>
              <w:rPr>
                <w:rFonts w:ascii="宋体" w:hAnsi="宋体" w:eastAsia="宋体"/>
                <w:sz w:val="16"/>
              </w:rPr>
              <w:t>困难职工人数提升率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73D3B">
            <w:pPr>
              <w:jc w:val="center"/>
            </w:pPr>
            <w:r>
              <w:rPr>
                <w:rFonts w:ascii="宋体" w:hAnsi="宋体" w:eastAsia="宋体"/>
                <w:sz w:val="16"/>
              </w:rPr>
              <w:t>&lt;=0%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F024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3C45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6DF2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68A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52E55">
            <w:pPr>
              <w:jc w:val="center"/>
            </w:pPr>
            <w:r>
              <w:rPr>
                <w:rFonts w:ascii="宋体" w:hAnsi="宋体" w:eastAsia="宋体"/>
                <w:sz w:val="16"/>
              </w:rPr>
              <w:t>30</w:t>
            </w:r>
          </w:p>
        </w:tc>
      </w:tr>
    </w:tbl>
    <w:p w14:paraId="103A3B4E">
      <w:r>
        <w:br w:type="page"/>
      </w:r>
    </w:p>
    <w:p w14:paraId="1D9C70C7">
      <w:pPr>
        <w:spacing w:line="640" w:lineRule="exact"/>
        <w:ind w:firstLine="640"/>
        <w:jc w:val="both"/>
        <w:outlineLvl w:val="2"/>
      </w:pPr>
      <w:r>
        <w:rPr>
          <w:rFonts w:ascii="黑体" w:hAnsi="黑体" w:eastAsia="黑体"/>
          <w:sz w:val="32"/>
        </w:rPr>
        <w:t>十二、其他需说明的事项</w:t>
      </w:r>
    </w:p>
    <w:p w14:paraId="028A48A0">
      <w:pPr>
        <w:spacing w:line="580" w:lineRule="exact"/>
        <w:ind w:firstLine="640"/>
        <w:jc w:val="both"/>
      </w:pPr>
      <w:r>
        <w:rPr>
          <w:rFonts w:ascii="仿宋_GB2312" w:hAnsi="仿宋_GB2312" w:eastAsia="仿宋_GB2312"/>
          <w:b w:val="0"/>
          <w:sz w:val="32"/>
        </w:rPr>
        <w:t>本单位无其他需说明的事项。</w:t>
      </w:r>
    </w:p>
    <w:p w14:paraId="7E83E808">
      <w:r>
        <w:br w:type="page"/>
      </w:r>
    </w:p>
    <w:p w14:paraId="1BE9202E">
      <w:pPr>
        <w:spacing w:line="240" w:lineRule="auto"/>
        <w:jc w:val="center"/>
        <w:outlineLvl w:val="1"/>
      </w:pPr>
      <w:r>
        <w:rPr>
          <w:rFonts w:ascii="黑体" w:hAnsi="黑体" w:eastAsia="黑体"/>
          <w:sz w:val="32"/>
        </w:rPr>
        <w:t>第三部分 专业名词解释</w:t>
      </w:r>
    </w:p>
    <w:p w14:paraId="3BAC5C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80EE5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E1552B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B7130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129A5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93B24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184D1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1FA0B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41D6D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698D2F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4C9F33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A5776D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13135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91FA7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5FA66C">
      <w:r>
        <w:br w:type="page"/>
      </w:r>
    </w:p>
    <w:p w14:paraId="1733BDE9">
      <w:pPr>
        <w:spacing w:line="240" w:lineRule="auto"/>
        <w:jc w:val="center"/>
        <w:outlineLvl w:val="1"/>
      </w:pPr>
      <w:r>
        <w:rPr>
          <w:rFonts w:ascii="黑体" w:hAnsi="黑体" w:eastAsia="黑体"/>
          <w:sz w:val="32"/>
        </w:rPr>
        <w:t>第四部分 部门决算报表（见附表）</w:t>
      </w:r>
    </w:p>
    <w:p w14:paraId="3F35A2B8">
      <w:pPr>
        <w:spacing w:line="240" w:lineRule="auto"/>
        <w:ind w:firstLine="640"/>
        <w:jc w:val="both"/>
      </w:pPr>
      <w:r>
        <w:rPr>
          <w:rFonts w:ascii="仿宋_GB2312" w:hAnsi="仿宋_GB2312" w:eastAsia="仿宋_GB2312"/>
          <w:b w:val="0"/>
          <w:sz w:val="32"/>
        </w:rPr>
        <w:t>一、《收入支出决算总表》</w:t>
      </w:r>
    </w:p>
    <w:p w14:paraId="0CEF52EA">
      <w:pPr>
        <w:spacing w:line="240" w:lineRule="auto"/>
        <w:ind w:firstLine="640"/>
        <w:jc w:val="both"/>
      </w:pPr>
      <w:r>
        <w:rPr>
          <w:rFonts w:ascii="仿宋_GB2312" w:hAnsi="仿宋_GB2312" w:eastAsia="仿宋_GB2312"/>
          <w:b w:val="0"/>
          <w:sz w:val="32"/>
        </w:rPr>
        <w:t>二、《收入决算表》</w:t>
      </w:r>
    </w:p>
    <w:p w14:paraId="0B4D1EAC">
      <w:pPr>
        <w:spacing w:line="240" w:lineRule="auto"/>
        <w:ind w:firstLine="640"/>
        <w:jc w:val="both"/>
      </w:pPr>
      <w:r>
        <w:rPr>
          <w:rFonts w:ascii="仿宋_GB2312" w:hAnsi="仿宋_GB2312" w:eastAsia="仿宋_GB2312"/>
          <w:b w:val="0"/>
          <w:sz w:val="32"/>
        </w:rPr>
        <w:t>三、《支出决算表》</w:t>
      </w:r>
    </w:p>
    <w:p w14:paraId="040A75DA">
      <w:pPr>
        <w:spacing w:line="240" w:lineRule="auto"/>
        <w:ind w:firstLine="640"/>
        <w:jc w:val="both"/>
      </w:pPr>
      <w:r>
        <w:rPr>
          <w:rFonts w:ascii="仿宋_GB2312" w:hAnsi="仿宋_GB2312" w:eastAsia="仿宋_GB2312"/>
          <w:b w:val="0"/>
          <w:sz w:val="32"/>
        </w:rPr>
        <w:t>四、《财政拨款收入支出决算总表》</w:t>
      </w:r>
    </w:p>
    <w:p w14:paraId="5DEF720D">
      <w:pPr>
        <w:spacing w:line="240" w:lineRule="auto"/>
        <w:ind w:firstLine="640"/>
        <w:jc w:val="both"/>
      </w:pPr>
      <w:r>
        <w:rPr>
          <w:rFonts w:ascii="仿宋_GB2312" w:hAnsi="仿宋_GB2312" w:eastAsia="仿宋_GB2312"/>
          <w:b w:val="0"/>
          <w:sz w:val="32"/>
        </w:rPr>
        <w:t>五、《一般公共预算财政拨款支出决算表》</w:t>
      </w:r>
    </w:p>
    <w:p w14:paraId="4A9BDD7E">
      <w:pPr>
        <w:spacing w:line="240" w:lineRule="auto"/>
        <w:ind w:firstLine="640"/>
        <w:jc w:val="both"/>
      </w:pPr>
      <w:r>
        <w:rPr>
          <w:rFonts w:ascii="仿宋_GB2312" w:hAnsi="仿宋_GB2312" w:eastAsia="仿宋_GB2312"/>
          <w:b w:val="0"/>
          <w:sz w:val="32"/>
        </w:rPr>
        <w:t>六、《一般公共预算财政拨款基本支出决算表》</w:t>
      </w:r>
    </w:p>
    <w:p w14:paraId="52E13BBB">
      <w:pPr>
        <w:spacing w:line="240" w:lineRule="auto"/>
        <w:ind w:firstLine="640"/>
        <w:jc w:val="both"/>
      </w:pPr>
      <w:r>
        <w:rPr>
          <w:rFonts w:ascii="仿宋_GB2312" w:hAnsi="仿宋_GB2312" w:eastAsia="仿宋_GB2312"/>
          <w:b w:val="0"/>
          <w:sz w:val="32"/>
        </w:rPr>
        <w:t>七、《政府性基金预算财政拨款收入支出决算表》</w:t>
      </w:r>
    </w:p>
    <w:p w14:paraId="210C4405">
      <w:pPr>
        <w:spacing w:line="240" w:lineRule="auto"/>
        <w:ind w:firstLine="640"/>
        <w:jc w:val="both"/>
      </w:pPr>
      <w:r>
        <w:rPr>
          <w:rFonts w:ascii="仿宋_GB2312" w:hAnsi="仿宋_GB2312" w:eastAsia="仿宋_GB2312"/>
          <w:b w:val="0"/>
          <w:sz w:val="32"/>
        </w:rPr>
        <w:t>八、《国有资本经营预算财政拨款收入支出决算表》</w:t>
      </w:r>
    </w:p>
    <w:p w14:paraId="0CE49776">
      <w:pPr>
        <w:spacing w:line="240" w:lineRule="auto"/>
        <w:ind w:firstLine="640"/>
        <w:jc w:val="both"/>
      </w:pPr>
      <w:r>
        <w:rPr>
          <w:rFonts w:ascii="仿宋_GB2312" w:hAnsi="仿宋_GB2312" w:eastAsia="仿宋_GB2312"/>
          <w:b w:val="0"/>
          <w:sz w:val="32"/>
        </w:rPr>
        <w:t>九、《财政拨款“三公”经费支出决算表》</w:t>
      </w:r>
    </w:p>
    <w:p w14:paraId="3DBD0171">
      <w:pPr>
        <w:spacing w:line="240" w:lineRule="auto"/>
        <w:ind w:firstLine="640"/>
        <w:jc w:val="both"/>
      </w:pPr>
    </w:p>
    <w:p w14:paraId="3E3EB8FE">
      <w:pPr>
        <w:spacing w:line="240" w:lineRule="auto"/>
        <w:ind w:firstLine="640"/>
        <w:jc w:val="both"/>
      </w:pPr>
    </w:p>
    <w:p w14:paraId="5A2EA731">
      <w:pPr>
        <w:spacing w:line="240" w:lineRule="auto"/>
        <w:ind w:firstLine="640"/>
        <w:jc w:val="both"/>
      </w:pPr>
    </w:p>
    <w:p w14:paraId="6611BCDA">
      <w:pPr>
        <w:spacing w:line="240" w:lineRule="auto"/>
        <w:ind w:firstLine="640"/>
        <w:jc w:val="both"/>
      </w:pPr>
    </w:p>
    <w:p w14:paraId="2A893A9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5A41E3"/>
    <w:rsid w:val="4514256A"/>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4088</Words>
  <Characters>4703</Characters>
  <Lines>0</Lines>
  <Paragraphs>0</Paragraphs>
  <TotalTime>0</TotalTime>
  <ScaleCrop>false</ScaleCrop>
  <LinksUpToDate>false</LinksUpToDate>
  <CharactersWithSpaces>4711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