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疏勒县消防救援大队2024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13CC78">
      <w:r>
        <w:br w:type="page"/>
      </w:r>
    </w:p>
    <w:p w14:paraId="519A3D26">
      <w:pPr>
        <w:spacing w:line="640" w:lineRule="exact"/>
        <w:jc w:val="center"/>
        <w:outlineLvl w:val="1"/>
      </w:pPr>
      <w:r>
        <w:rPr>
          <w:rFonts w:ascii="黑体" w:hAnsi="黑体" w:eastAsia="黑体"/>
          <w:sz w:val="32"/>
        </w:rPr>
        <w:t>第一部分 单位概况</w:t>
      </w:r>
    </w:p>
    <w:p w14:paraId="60C90AA4">
      <w:pPr>
        <w:spacing w:line="640" w:lineRule="exact"/>
        <w:ind w:firstLine="640"/>
        <w:jc w:val="both"/>
        <w:outlineLvl w:val="2"/>
      </w:pPr>
      <w:r>
        <w:rPr>
          <w:rFonts w:ascii="黑体" w:hAnsi="黑体" w:eastAsia="黑体"/>
          <w:sz w:val="32"/>
        </w:rPr>
        <w:t>一、主要职能</w:t>
      </w:r>
    </w:p>
    <w:p w14:paraId="541C031C">
      <w:pPr>
        <w:spacing w:line="580" w:lineRule="exact"/>
        <w:ind w:firstLine="640"/>
        <w:jc w:val="both"/>
      </w:pPr>
      <w:r>
        <w:rPr>
          <w:rFonts w:ascii="仿宋_GB2312" w:hAnsi="仿宋_GB2312" w:eastAsia="仿宋_GB2312"/>
          <w:sz w:val="32"/>
        </w:rPr>
        <w:t>（1）督促机关、团体、企业、事业等单位整改火灾隐患、消除消防违法行为，做好火灾预防工作。</w:t>
      </w:r>
    </w:p>
    <w:p w14:paraId="2E044874">
      <w:pPr>
        <w:spacing w:line="580" w:lineRule="exact"/>
        <w:ind w:firstLine="640"/>
        <w:jc w:val="both"/>
      </w:pPr>
      <w:r>
        <w:rPr>
          <w:rFonts w:ascii="仿宋_GB2312" w:hAnsi="仿宋_GB2312" w:eastAsia="仿宋_GB2312"/>
          <w:sz w:val="32"/>
        </w:rPr>
        <w:t>（2）减少火灾危害，抢救和保护人民生命和财产安全；加强应急救援工作，</w:t>
      </w:r>
      <w:r>
        <w:rPr>
          <w:rFonts w:hint="eastAsia" w:ascii="仿宋_GB2312" w:hAnsi="仿宋_GB2312" w:eastAsia="仿宋_GB2312"/>
          <w:sz w:val="32"/>
          <w:lang w:eastAsia="zh-CN"/>
        </w:rPr>
        <w:t>维护</w:t>
      </w:r>
      <w:r>
        <w:rPr>
          <w:rFonts w:ascii="仿宋_GB2312" w:hAnsi="仿宋_GB2312" w:eastAsia="仿宋_GB2312"/>
          <w:sz w:val="32"/>
        </w:rPr>
        <w:t>公共安全。</w:t>
      </w:r>
    </w:p>
    <w:p w14:paraId="3FFCA6C0">
      <w:pPr>
        <w:spacing w:line="580" w:lineRule="exact"/>
        <w:ind w:firstLine="640"/>
        <w:jc w:val="both"/>
      </w:pPr>
      <w:r>
        <w:rPr>
          <w:rFonts w:ascii="仿宋_GB2312" w:hAnsi="仿宋_GB2312" w:eastAsia="仿宋_GB2312"/>
          <w:sz w:val="32"/>
        </w:rPr>
        <w:t>（3）开展经常性的消防宣传教育，提高</w:t>
      </w:r>
      <w:r>
        <w:rPr>
          <w:rFonts w:hint="eastAsia" w:ascii="仿宋_GB2312" w:hAnsi="仿宋_GB2312" w:eastAsia="仿宋_GB2312"/>
          <w:sz w:val="32"/>
          <w:lang w:eastAsia="zh-CN"/>
        </w:rPr>
        <w:t>公民</w:t>
      </w:r>
      <w:r>
        <w:rPr>
          <w:rFonts w:ascii="仿宋_GB2312" w:hAnsi="仿宋_GB2312" w:eastAsia="仿宋_GB2312"/>
          <w:sz w:val="32"/>
        </w:rPr>
        <w:t>消防安全意识，并督促、指导、协助有关单位做好消防宣传教育工作。</w:t>
      </w:r>
    </w:p>
    <w:p w14:paraId="1C8BE672">
      <w:pPr>
        <w:spacing w:line="580" w:lineRule="exact"/>
        <w:ind w:firstLine="640"/>
        <w:jc w:val="both"/>
      </w:pPr>
      <w:r>
        <w:rPr>
          <w:rFonts w:ascii="仿宋_GB2312" w:hAnsi="仿宋_GB2312" w:eastAsia="仿宋_GB2312"/>
          <w:sz w:val="32"/>
        </w:rPr>
        <w:t>（4）督促发生火灾的单位和相关人员保护现场，进行封闭火灾现场，调查火灾原因，统计火灾损失。</w:t>
      </w:r>
    </w:p>
    <w:p w14:paraId="2F320A57">
      <w:pPr>
        <w:spacing w:line="580" w:lineRule="exact"/>
        <w:ind w:firstLine="640"/>
        <w:jc w:val="both"/>
      </w:pPr>
      <w:r>
        <w:rPr>
          <w:rFonts w:ascii="仿宋_GB2312" w:hAnsi="仿宋_GB2312" w:eastAsia="仿宋_GB2312"/>
          <w:sz w:val="32"/>
        </w:rPr>
        <w:t>（5）实行日常监督检查和监督抽查相结合的方式，对使用领域的消防产品质量进行监督检查。</w:t>
      </w:r>
    </w:p>
    <w:p w14:paraId="2188BDC2">
      <w:pPr>
        <w:spacing w:line="580" w:lineRule="exact"/>
        <w:ind w:firstLine="640"/>
        <w:jc w:val="both"/>
      </w:pPr>
      <w:r>
        <w:rPr>
          <w:rFonts w:ascii="仿宋_GB2312" w:hAnsi="仿宋_GB2312" w:eastAsia="仿宋_GB2312"/>
          <w:sz w:val="32"/>
        </w:rPr>
        <w:t>（6）指导乡镇、街道、行业部门做好本单位、本行业、本部门内的消防安全管理和</w:t>
      </w:r>
      <w:r>
        <w:rPr>
          <w:rFonts w:hint="eastAsia" w:ascii="仿宋_GB2312" w:hAnsi="仿宋_GB2312" w:eastAsia="仿宋_GB2312"/>
          <w:sz w:val="32"/>
          <w:lang w:eastAsia="zh-CN"/>
        </w:rPr>
        <w:t>消防</w:t>
      </w:r>
      <w:r>
        <w:rPr>
          <w:rFonts w:ascii="仿宋_GB2312" w:hAnsi="仿宋_GB2312" w:eastAsia="仿宋_GB2312"/>
          <w:sz w:val="32"/>
        </w:rPr>
        <w:t>安全培训教育工作。</w:t>
      </w:r>
    </w:p>
    <w:p w14:paraId="22A840E5">
      <w:pPr>
        <w:spacing w:line="580" w:lineRule="exact"/>
        <w:ind w:firstLine="640"/>
        <w:jc w:val="both"/>
      </w:pPr>
      <w:r>
        <w:rPr>
          <w:rFonts w:ascii="仿宋_GB2312" w:hAnsi="仿宋_GB2312" w:eastAsia="仿宋_GB2312"/>
          <w:sz w:val="32"/>
        </w:rPr>
        <w:t>（7）对公共聚集场所营业或投入使用进行消防安全检查，重点对场所的消防设施和安全疏散条件进行现场检查其与当事人备案承诺时是否一致，是否符合消防安全的相关要求，是否具备投入使用或营业的消防安全条件。</w:t>
      </w:r>
    </w:p>
    <w:p w14:paraId="5FA4B5D0">
      <w:pPr>
        <w:spacing w:line="580" w:lineRule="exact"/>
        <w:ind w:firstLine="640"/>
        <w:jc w:val="both"/>
      </w:pPr>
      <w:r>
        <w:rPr>
          <w:rFonts w:ascii="仿宋_GB2312" w:hAnsi="仿宋_GB2312" w:eastAsia="仿宋_GB2312"/>
          <w:sz w:val="32"/>
        </w:rPr>
        <w:t>（8）指导派出所对其监督检查范围的单位及居民委员会、村民委员会消防安全现状和</w:t>
      </w:r>
      <w:r>
        <w:rPr>
          <w:rFonts w:hint="eastAsia" w:ascii="仿宋_GB2312" w:hAnsi="仿宋_GB2312" w:eastAsia="仿宋_GB2312"/>
          <w:sz w:val="32"/>
          <w:lang w:eastAsia="zh-CN"/>
        </w:rPr>
        <w:t>消防设施</w:t>
      </w:r>
      <w:r>
        <w:rPr>
          <w:rFonts w:ascii="仿宋_GB2312" w:hAnsi="仿宋_GB2312" w:eastAsia="仿宋_GB2312"/>
          <w:sz w:val="32"/>
        </w:rPr>
        <w:t>情况及消防安全管理工作进行日常消防监督检查，并定期对派出所消防监督业务开展培训。</w:t>
      </w:r>
    </w:p>
    <w:p w14:paraId="4BE1C9BF">
      <w:pPr>
        <w:spacing w:line="640" w:lineRule="exact"/>
        <w:ind w:firstLine="640"/>
        <w:jc w:val="both"/>
        <w:outlineLvl w:val="2"/>
      </w:pPr>
      <w:r>
        <w:rPr>
          <w:rFonts w:ascii="黑体" w:hAnsi="黑体" w:eastAsia="黑体"/>
          <w:sz w:val="32"/>
        </w:rPr>
        <w:t>二、机构设置及人员情况</w:t>
      </w:r>
    </w:p>
    <w:p w14:paraId="1EE9D1F9">
      <w:pPr>
        <w:spacing w:line="580" w:lineRule="exact"/>
        <w:ind w:firstLine="640"/>
        <w:jc w:val="both"/>
      </w:pPr>
      <w:r>
        <w:rPr>
          <w:rFonts w:ascii="仿宋_GB2312" w:hAnsi="仿宋_GB2312" w:eastAsia="仿宋_GB2312"/>
          <w:sz w:val="32"/>
        </w:rPr>
        <w:t>疏勒县消防救援大队2024年度，实有人数0人，其中：在职人员0人，增加0人；离休人员0人，增加0人；退休人员0人,增加0人。</w:t>
      </w:r>
    </w:p>
    <w:p w14:paraId="4CAA4446">
      <w:pPr>
        <w:spacing w:line="580" w:lineRule="exact"/>
        <w:ind w:firstLine="640"/>
        <w:jc w:val="both"/>
      </w:pPr>
      <w:r>
        <w:rPr>
          <w:rFonts w:ascii="仿宋_GB2312" w:hAnsi="仿宋_GB2312" w:eastAsia="仿宋_GB2312"/>
          <w:sz w:val="32"/>
        </w:rPr>
        <w:t>疏勒县消防救援大队无下属预算单位，下设3个科室，分别是：办公室、防火监督室、财务室。</w:t>
      </w:r>
    </w:p>
    <w:p w14:paraId="024960CB">
      <w:r>
        <w:br w:type="page"/>
      </w:r>
    </w:p>
    <w:p w14:paraId="4B31B025">
      <w:pPr>
        <w:spacing w:line="240" w:lineRule="auto"/>
        <w:jc w:val="center"/>
        <w:outlineLvl w:val="1"/>
      </w:pPr>
      <w:r>
        <w:rPr>
          <w:rFonts w:ascii="黑体" w:hAnsi="黑体" w:eastAsia="黑体"/>
          <w:sz w:val="32"/>
        </w:rPr>
        <w:t>第二部分 部门决算情况说明</w:t>
      </w:r>
    </w:p>
    <w:p w14:paraId="53738DD1">
      <w:pPr>
        <w:spacing w:line="640" w:lineRule="exact"/>
        <w:ind w:firstLine="640"/>
        <w:jc w:val="both"/>
        <w:outlineLvl w:val="2"/>
      </w:pPr>
      <w:r>
        <w:rPr>
          <w:rFonts w:ascii="黑体" w:hAnsi="黑体" w:eastAsia="黑体"/>
          <w:sz w:val="32"/>
        </w:rPr>
        <w:t>一、收入支出决算总体情况说明</w:t>
      </w:r>
    </w:p>
    <w:p w14:paraId="64F4A0C3">
      <w:pPr>
        <w:spacing w:line="580" w:lineRule="exact"/>
        <w:ind w:firstLine="640"/>
        <w:jc w:val="both"/>
      </w:pPr>
      <w:r>
        <w:rPr>
          <w:rFonts w:ascii="仿宋_GB2312" w:hAnsi="仿宋_GB2312" w:eastAsia="仿宋_GB2312"/>
          <w:b/>
          <w:sz w:val="32"/>
        </w:rPr>
        <w:t>2024年度收入总计998.12万元，</w:t>
      </w:r>
      <w:r>
        <w:rPr>
          <w:rFonts w:ascii="仿宋_GB2312" w:hAnsi="仿宋_GB2312" w:eastAsia="仿宋_GB2312"/>
          <w:b w:val="0"/>
          <w:sz w:val="32"/>
        </w:rPr>
        <w:t>其中：本年收入合计998.12万元，使用非财政拨款结余（含专用结余）0.00万元，年初结转和结余0.00万元。</w:t>
      </w:r>
    </w:p>
    <w:p w14:paraId="79FC2C7C">
      <w:pPr>
        <w:spacing w:line="580" w:lineRule="exact"/>
        <w:ind w:firstLine="640"/>
        <w:jc w:val="both"/>
      </w:pPr>
      <w:r>
        <w:rPr>
          <w:rFonts w:ascii="仿宋_GB2312" w:hAnsi="仿宋_GB2312" w:eastAsia="仿宋_GB2312"/>
          <w:b/>
          <w:sz w:val="32"/>
        </w:rPr>
        <w:t>2024年度支出总计998.12万元，</w:t>
      </w:r>
      <w:r>
        <w:rPr>
          <w:rFonts w:ascii="仿宋_GB2312" w:hAnsi="仿宋_GB2312" w:eastAsia="仿宋_GB2312"/>
          <w:b w:val="0"/>
          <w:sz w:val="32"/>
        </w:rPr>
        <w:t>其中：本年支出合计998.12万元，结余分配0.00万元，年末结转和结余0.00万元。</w:t>
      </w:r>
    </w:p>
    <w:p w14:paraId="4F3DE1D0">
      <w:pPr>
        <w:spacing w:line="580" w:lineRule="exact"/>
        <w:ind w:firstLine="640"/>
        <w:jc w:val="both"/>
      </w:pPr>
      <w:r>
        <w:rPr>
          <w:rFonts w:ascii="仿宋_GB2312" w:hAnsi="仿宋_GB2312" w:eastAsia="仿宋_GB2312"/>
          <w:b w:val="0"/>
          <w:sz w:val="32"/>
        </w:rPr>
        <w:t>收入支出总体与上年相比，增加225.36万元，增长29.16%，主要原因是：本年山东援疆指挥部拨付援疆资金用于防灾减灾基地建设项目、队站基础设施提升改造项目资金较上年增加。</w:t>
      </w:r>
    </w:p>
    <w:p w14:paraId="399ED714">
      <w:pPr>
        <w:spacing w:line="640" w:lineRule="exact"/>
        <w:ind w:firstLine="640"/>
        <w:jc w:val="both"/>
        <w:outlineLvl w:val="2"/>
      </w:pPr>
      <w:r>
        <w:rPr>
          <w:rFonts w:ascii="黑体" w:hAnsi="黑体" w:eastAsia="黑体"/>
          <w:sz w:val="32"/>
        </w:rPr>
        <w:t>二、收入决算情况说明</w:t>
      </w:r>
    </w:p>
    <w:p w14:paraId="32E2FF5A">
      <w:pPr>
        <w:spacing w:line="580" w:lineRule="exact"/>
        <w:ind w:firstLine="640"/>
        <w:jc w:val="both"/>
      </w:pPr>
      <w:r>
        <w:rPr>
          <w:rFonts w:ascii="仿宋_GB2312" w:hAnsi="仿宋_GB2312" w:eastAsia="仿宋_GB2312"/>
          <w:b/>
          <w:sz w:val="32"/>
        </w:rPr>
        <w:t>本年收入998.12万元，</w:t>
      </w:r>
      <w:r>
        <w:rPr>
          <w:rFonts w:ascii="仿宋_GB2312" w:hAnsi="仿宋_GB2312" w:eastAsia="仿宋_GB2312"/>
          <w:b w:val="0"/>
          <w:sz w:val="32"/>
        </w:rPr>
        <w:t>其中：财政拨款收入673.06万元，占67.43%；上级补助收入0.00万元，占0.00%；事业收入0.00万元，占0.00%；经营收入0.00万元，占0.00%；附属单位上缴收入0.00万元，占0.00%；其他收入325.05万元，占32.57%。</w:t>
      </w:r>
    </w:p>
    <w:p w14:paraId="29D5222F">
      <w:pPr>
        <w:spacing w:line="640" w:lineRule="exact"/>
        <w:ind w:firstLine="640"/>
        <w:jc w:val="both"/>
        <w:outlineLvl w:val="2"/>
      </w:pPr>
      <w:r>
        <w:rPr>
          <w:rFonts w:ascii="黑体" w:hAnsi="黑体" w:eastAsia="黑体"/>
          <w:sz w:val="32"/>
        </w:rPr>
        <w:t>三、支出决算情况说明</w:t>
      </w:r>
    </w:p>
    <w:p w14:paraId="1DD4CA0F">
      <w:pPr>
        <w:spacing w:line="580" w:lineRule="exact"/>
        <w:ind w:firstLine="640"/>
        <w:jc w:val="both"/>
      </w:pPr>
      <w:r>
        <w:rPr>
          <w:rFonts w:ascii="仿宋_GB2312" w:hAnsi="仿宋_GB2312" w:eastAsia="仿宋_GB2312"/>
          <w:b/>
          <w:sz w:val="32"/>
        </w:rPr>
        <w:t>本年支出998.12万元，</w:t>
      </w:r>
      <w:r>
        <w:rPr>
          <w:rFonts w:ascii="仿宋_GB2312" w:hAnsi="仿宋_GB2312" w:eastAsia="仿宋_GB2312"/>
          <w:b w:val="0"/>
          <w:sz w:val="32"/>
        </w:rPr>
        <w:t>其中：基本支出267.03万元，占26.75%；项目支出731.09万元，占73.25%；上缴上级支出0.00万元，占0.00%；经营支出0.00万元，占0.00%；对附属单位补助支出0.00万元，占0.00%。</w:t>
      </w:r>
    </w:p>
    <w:p w14:paraId="79012A7F">
      <w:pPr>
        <w:spacing w:line="640" w:lineRule="exact"/>
        <w:ind w:firstLine="640"/>
        <w:jc w:val="both"/>
        <w:outlineLvl w:val="2"/>
      </w:pPr>
      <w:r>
        <w:rPr>
          <w:rFonts w:ascii="黑体" w:hAnsi="黑体" w:eastAsia="黑体"/>
          <w:sz w:val="32"/>
        </w:rPr>
        <w:t>四、财政拨款收入支出决算总体情况说明</w:t>
      </w:r>
    </w:p>
    <w:p w14:paraId="16AFD8DF">
      <w:pPr>
        <w:spacing w:line="580" w:lineRule="exact"/>
        <w:ind w:firstLine="640"/>
        <w:jc w:val="both"/>
      </w:pPr>
      <w:r>
        <w:rPr>
          <w:rFonts w:ascii="仿宋_GB2312" w:hAnsi="仿宋_GB2312" w:eastAsia="仿宋_GB2312"/>
          <w:b/>
          <w:sz w:val="32"/>
        </w:rPr>
        <w:t>2024年度财政拨款收入总计673.06万元，</w:t>
      </w:r>
      <w:r>
        <w:rPr>
          <w:rFonts w:ascii="仿宋_GB2312" w:hAnsi="仿宋_GB2312" w:eastAsia="仿宋_GB2312"/>
          <w:b w:val="0"/>
          <w:sz w:val="32"/>
        </w:rPr>
        <w:t>其中：年初财政拨款结转和结余0.00万元，本年财政拨款收入673.06万元。</w:t>
      </w:r>
      <w:r>
        <w:rPr>
          <w:rFonts w:ascii="仿宋_GB2312" w:hAnsi="仿宋_GB2312" w:eastAsia="仿宋_GB2312"/>
          <w:b/>
          <w:sz w:val="32"/>
        </w:rPr>
        <w:t>财政拨款支出总计673.06万元，</w:t>
      </w:r>
      <w:r>
        <w:rPr>
          <w:rFonts w:ascii="仿宋_GB2312" w:hAnsi="仿宋_GB2312" w:eastAsia="仿宋_GB2312"/>
          <w:b w:val="0"/>
          <w:sz w:val="32"/>
        </w:rPr>
        <w:t>其中：年末财政拨款结转和结余0.00万元，本年财政拨款支出673.06万元。</w:t>
      </w:r>
    </w:p>
    <w:p w14:paraId="4A0D351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减少50.80万元，下降7.02%，主要原因是：因2023年补发2022年人员基础绩效工资，2024年度正常发放2024年度人员基础绩效奖</w:t>
      </w:r>
      <w:r>
        <w:rPr>
          <w:rFonts w:hint="eastAsia" w:ascii="仿宋_GB2312" w:hAnsi="仿宋_GB2312" w:eastAsia="仿宋_GB2312"/>
          <w:b w:val="0"/>
          <w:sz w:val="32"/>
          <w:lang w:eastAsia="zh-CN"/>
        </w:rPr>
        <w:t>，</w:t>
      </w:r>
      <w:r>
        <w:rPr>
          <w:rFonts w:ascii="仿宋_GB2312" w:hAnsi="仿宋_GB2312" w:eastAsia="仿宋_GB2312"/>
          <w:b w:val="0"/>
          <w:sz w:val="32"/>
        </w:rPr>
        <w:t>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年初预算数814.28万元，决算数673.06万元，预决算差异率-17.34%，主要原因是：本年年中调减疏勒县消防救援大队伙食费项目、疏勒县消防救援大队消防员执勤补助项目等项目资金。</w:t>
      </w:r>
    </w:p>
    <w:p w14:paraId="078E3352">
      <w:pPr>
        <w:spacing w:line="640" w:lineRule="exact"/>
        <w:ind w:firstLine="640"/>
        <w:jc w:val="both"/>
        <w:outlineLvl w:val="2"/>
      </w:pPr>
      <w:r>
        <w:rPr>
          <w:rFonts w:ascii="黑体" w:hAnsi="黑体" w:eastAsia="黑体"/>
          <w:sz w:val="32"/>
        </w:rPr>
        <w:t>五、一般公共预算财政拨款支出决算情况说明</w:t>
      </w:r>
    </w:p>
    <w:p w14:paraId="5206FAF9">
      <w:pPr>
        <w:spacing w:line="640" w:lineRule="exact"/>
        <w:ind w:firstLine="640"/>
        <w:jc w:val="both"/>
        <w:outlineLvl w:val="3"/>
      </w:pPr>
      <w:r>
        <w:rPr>
          <w:rFonts w:ascii="楷体_GB2312" w:hAnsi="楷体_GB2312" w:eastAsia="楷体_GB2312"/>
          <w:b/>
          <w:sz w:val="32"/>
        </w:rPr>
        <w:t>（一）一般公共预算财政拨款支出决算总体情况</w:t>
      </w:r>
    </w:p>
    <w:p w14:paraId="7D4C7D99">
      <w:pPr>
        <w:spacing w:line="580" w:lineRule="exact"/>
        <w:ind w:firstLine="640"/>
        <w:jc w:val="both"/>
      </w:pPr>
      <w:r>
        <w:rPr>
          <w:rFonts w:ascii="仿宋_GB2312" w:hAnsi="仿宋_GB2312" w:eastAsia="仿宋_GB2312"/>
          <w:b/>
          <w:sz w:val="32"/>
        </w:rPr>
        <w:t>2024年度一般公共预算财政拨款支出673.06万元，</w:t>
      </w:r>
      <w:r>
        <w:rPr>
          <w:rFonts w:ascii="仿宋_GB2312" w:hAnsi="仿宋_GB2312" w:eastAsia="仿宋_GB2312"/>
          <w:b w:val="0"/>
          <w:sz w:val="32"/>
        </w:rPr>
        <w:t>占本年支出合计的67.43%。</w:t>
      </w:r>
      <w:r>
        <w:rPr>
          <w:rFonts w:ascii="仿宋_GB2312" w:hAnsi="仿宋_GB2312" w:eastAsia="仿宋_GB2312"/>
          <w:b/>
          <w:sz w:val="32"/>
        </w:rPr>
        <w:t>与上年相比，</w:t>
      </w:r>
      <w:r>
        <w:rPr>
          <w:rFonts w:ascii="仿宋_GB2312" w:hAnsi="仿宋_GB2312" w:eastAsia="仿宋_GB2312"/>
          <w:b w:val="0"/>
          <w:sz w:val="32"/>
        </w:rPr>
        <w:t>减少50.80万元，下降7.02%，主要原因是：因2023年补发2022年人员基础绩效工资，2024年度正常发放2024年度人员基础绩效奖</w:t>
      </w:r>
      <w:r>
        <w:rPr>
          <w:rFonts w:hint="eastAsia" w:ascii="仿宋_GB2312" w:hAnsi="仿宋_GB2312" w:eastAsia="仿宋_GB2312"/>
          <w:b w:val="0"/>
          <w:sz w:val="32"/>
          <w:lang w:eastAsia="zh-CN"/>
        </w:rPr>
        <w:t>，</w:t>
      </w:r>
      <w:r>
        <w:rPr>
          <w:rFonts w:ascii="仿宋_GB2312" w:hAnsi="仿宋_GB2312" w:eastAsia="仿宋_GB2312"/>
          <w:b w:val="0"/>
          <w:sz w:val="32"/>
        </w:rPr>
        <w:t>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年初预算数814.28万元，决算数673.06万元，预决算差异率-17.34%，主要原因是：本年年中调减疏勒县消防救援大队伙食费项目、疏勒县消防救援大队消防员执勤补助项目等项目资金。</w:t>
      </w:r>
    </w:p>
    <w:p w14:paraId="5BC311D4">
      <w:pPr>
        <w:spacing w:line="640" w:lineRule="exact"/>
        <w:ind w:firstLine="640"/>
        <w:jc w:val="both"/>
        <w:outlineLvl w:val="3"/>
      </w:pPr>
      <w:r>
        <w:rPr>
          <w:rFonts w:ascii="楷体_GB2312" w:hAnsi="楷体_GB2312" w:eastAsia="楷体_GB2312"/>
          <w:b/>
          <w:sz w:val="32"/>
        </w:rPr>
        <w:t>（二）一般公共预算财政拨款支出决算结构情况</w:t>
      </w:r>
    </w:p>
    <w:p w14:paraId="732C676B">
      <w:pPr>
        <w:spacing w:line="580" w:lineRule="exact"/>
        <w:ind w:firstLine="640"/>
        <w:jc w:val="both"/>
      </w:pPr>
      <w:r>
        <w:rPr>
          <w:rFonts w:ascii="仿宋_GB2312" w:hAnsi="仿宋_GB2312" w:eastAsia="仿宋_GB2312"/>
          <w:b w:val="0"/>
          <w:sz w:val="32"/>
        </w:rPr>
        <w:t>1.灾害防治及应急管理支出(类)673.06万元,占100.00%。</w:t>
      </w:r>
    </w:p>
    <w:p w14:paraId="23146F4B">
      <w:pPr>
        <w:spacing w:line="640" w:lineRule="exact"/>
        <w:ind w:firstLine="640"/>
        <w:jc w:val="both"/>
        <w:outlineLvl w:val="3"/>
      </w:pPr>
      <w:r>
        <w:rPr>
          <w:rFonts w:ascii="楷体_GB2312" w:hAnsi="楷体_GB2312" w:eastAsia="楷体_GB2312"/>
          <w:b/>
          <w:sz w:val="32"/>
        </w:rPr>
        <w:t>（三）一般公共预算财政拨款支出决算具体情况</w:t>
      </w:r>
    </w:p>
    <w:p w14:paraId="0F331E64">
      <w:pPr>
        <w:spacing w:line="580" w:lineRule="exact"/>
        <w:ind w:firstLine="640"/>
        <w:jc w:val="both"/>
      </w:pPr>
      <w:r>
        <w:rPr>
          <w:rFonts w:ascii="仿宋_GB2312" w:hAnsi="仿宋_GB2312" w:eastAsia="仿宋_GB2312"/>
          <w:b w:val="0"/>
          <w:sz w:val="32"/>
        </w:rPr>
        <w:t>1.灾害防治及应急管理支出(类)消防救援事务(款)消防应急救援(项):支出决算数为673.06万元，比上年决算减少50.80万元，下降7.02%,主要原因是：因2023年补发2022年人员基础绩效工资，2024年度正常发放2024年度人员基础绩效工资，导致相关人员经费较上年减少。</w:t>
      </w:r>
    </w:p>
    <w:p w14:paraId="1EBAEA5D">
      <w:pPr>
        <w:spacing w:line="640" w:lineRule="exact"/>
        <w:ind w:firstLine="640"/>
        <w:jc w:val="both"/>
        <w:outlineLvl w:val="2"/>
      </w:pPr>
      <w:r>
        <w:rPr>
          <w:rFonts w:ascii="黑体" w:hAnsi="黑体" w:eastAsia="黑体"/>
          <w:sz w:val="32"/>
        </w:rPr>
        <w:t>六、一般公共预算财政拨款基本支出决算情况说明</w:t>
      </w:r>
    </w:p>
    <w:p w14:paraId="4F88D329">
      <w:pPr>
        <w:spacing w:line="580" w:lineRule="exact"/>
        <w:ind w:firstLine="640"/>
        <w:jc w:val="both"/>
      </w:pPr>
      <w:r>
        <w:rPr>
          <w:rFonts w:ascii="仿宋_GB2312" w:hAnsi="仿宋_GB2312" w:eastAsia="仿宋_GB2312"/>
          <w:b w:val="0"/>
          <w:sz w:val="32"/>
        </w:rPr>
        <w:t>2024年度一般公共预算财政拨款基本支出267.03万元，其中：</w:t>
      </w:r>
      <w:r>
        <w:rPr>
          <w:rFonts w:ascii="仿宋_GB2312" w:hAnsi="仿宋_GB2312" w:eastAsia="仿宋_GB2312"/>
          <w:b/>
          <w:sz w:val="32"/>
        </w:rPr>
        <w:t>人员经费267.03万元，</w:t>
      </w:r>
      <w:r>
        <w:rPr>
          <w:rFonts w:ascii="仿宋_GB2312" w:hAnsi="仿宋_GB2312" w:eastAsia="仿宋_GB2312"/>
          <w:b w:val="0"/>
          <w:sz w:val="32"/>
        </w:rPr>
        <w:t>包括：绩效工资、其他工资福利支出。</w:t>
      </w:r>
    </w:p>
    <w:p w14:paraId="7238248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47AF952">
      <w:pPr>
        <w:spacing w:line="640" w:lineRule="exact"/>
        <w:ind w:firstLine="640"/>
        <w:jc w:val="both"/>
        <w:outlineLvl w:val="2"/>
      </w:pPr>
      <w:r>
        <w:rPr>
          <w:rFonts w:ascii="黑体" w:hAnsi="黑体" w:eastAsia="黑体"/>
          <w:sz w:val="32"/>
        </w:rPr>
        <w:t>七、政府性基金预算财政拨款收入支出决算情况说明</w:t>
      </w:r>
    </w:p>
    <w:p w14:paraId="441E6C7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4D6857F">
      <w:pPr>
        <w:spacing w:line="640" w:lineRule="exact"/>
        <w:ind w:firstLine="640"/>
        <w:jc w:val="both"/>
        <w:outlineLvl w:val="2"/>
      </w:pPr>
      <w:r>
        <w:rPr>
          <w:rFonts w:ascii="黑体" w:hAnsi="黑体" w:eastAsia="黑体"/>
          <w:sz w:val="32"/>
        </w:rPr>
        <w:t>八、国有资本经营预算财政拨款收入支出决算情况说明</w:t>
      </w:r>
    </w:p>
    <w:p w14:paraId="2BA3B7F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F60BEAA">
      <w:pPr>
        <w:spacing w:line="640" w:lineRule="exact"/>
        <w:ind w:firstLine="640"/>
        <w:jc w:val="both"/>
        <w:outlineLvl w:val="2"/>
      </w:pPr>
      <w:r>
        <w:rPr>
          <w:rFonts w:ascii="黑体" w:hAnsi="黑体" w:eastAsia="黑体"/>
          <w:sz w:val="32"/>
        </w:rPr>
        <w:t>九、财政拨款“三公”经费支出决算情况说明</w:t>
      </w:r>
    </w:p>
    <w:p w14:paraId="0F1648B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72CC492">
      <w:pPr>
        <w:spacing w:line="580" w:lineRule="exact"/>
        <w:ind w:firstLine="640"/>
        <w:jc w:val="both"/>
      </w:pPr>
      <w:r>
        <w:rPr>
          <w:rFonts w:ascii="仿宋_GB2312" w:hAnsi="仿宋_GB2312" w:eastAsia="仿宋_GB2312"/>
          <w:b/>
          <w:sz w:val="32"/>
        </w:rPr>
        <w:t>具体情况如下：</w:t>
      </w:r>
    </w:p>
    <w:p w14:paraId="37E2BF6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C6B596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F04E3D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028994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8D3BDF1">
      <w:pPr>
        <w:spacing w:line="640" w:lineRule="exact"/>
        <w:ind w:firstLine="640"/>
        <w:jc w:val="both"/>
        <w:outlineLvl w:val="2"/>
      </w:pPr>
      <w:r>
        <w:rPr>
          <w:rFonts w:ascii="黑体" w:hAnsi="黑体" w:eastAsia="黑体"/>
          <w:sz w:val="32"/>
        </w:rPr>
        <w:t>十、其他重要事项的情况说明</w:t>
      </w:r>
    </w:p>
    <w:p w14:paraId="0E07E0CD">
      <w:pPr>
        <w:spacing w:line="640" w:lineRule="exact"/>
        <w:ind w:firstLine="640"/>
        <w:jc w:val="both"/>
        <w:outlineLvl w:val="3"/>
      </w:pPr>
      <w:r>
        <w:rPr>
          <w:rFonts w:ascii="楷体_GB2312" w:hAnsi="楷体_GB2312" w:eastAsia="楷体_GB2312"/>
          <w:b/>
          <w:sz w:val="32"/>
        </w:rPr>
        <w:t>（一）机关运行经费及公用经费支出情况</w:t>
      </w:r>
    </w:p>
    <w:p w14:paraId="2CFABCED">
      <w:pPr>
        <w:spacing w:line="580" w:lineRule="exact"/>
        <w:ind w:firstLine="640"/>
        <w:jc w:val="both"/>
      </w:pPr>
      <w:r>
        <w:rPr>
          <w:rFonts w:ascii="仿宋_GB2312" w:hAnsi="仿宋_GB2312" w:eastAsia="仿宋_GB2312"/>
          <w:b w:val="0"/>
          <w:sz w:val="32"/>
        </w:rPr>
        <w:t>2024年度疏勒县消防救援大队（行政单位和参照公务员法管理事业单位）机关运行经费支出0.00万元，比上年增加0.00万元，增长0.00%，主要原因是：本单位2023年与2024年均未安排机关运行经费支出。</w:t>
      </w:r>
    </w:p>
    <w:p w14:paraId="3E1412F2">
      <w:pPr>
        <w:spacing w:line="640" w:lineRule="exact"/>
        <w:ind w:firstLine="640"/>
        <w:jc w:val="both"/>
        <w:outlineLvl w:val="3"/>
      </w:pPr>
      <w:r>
        <w:rPr>
          <w:rFonts w:ascii="楷体_GB2312" w:hAnsi="楷体_GB2312" w:eastAsia="楷体_GB2312"/>
          <w:b/>
          <w:sz w:val="32"/>
        </w:rPr>
        <w:t>（二）政府采购情况</w:t>
      </w:r>
    </w:p>
    <w:p w14:paraId="5944A3E6">
      <w:pPr>
        <w:spacing w:line="580" w:lineRule="exact"/>
        <w:ind w:firstLine="640"/>
        <w:jc w:val="both"/>
      </w:pPr>
      <w:r>
        <w:rPr>
          <w:rFonts w:ascii="仿宋_GB2312" w:hAnsi="仿宋_GB2312" w:eastAsia="仿宋_GB2312"/>
          <w:b w:val="0"/>
          <w:sz w:val="32"/>
        </w:rPr>
        <w:t>2024年度政府采购支出总额358.14万元，其中：政府采购货物支出167.46万元、政府采购工程支出91.50万元、政府采购服务支出99.18万元。</w:t>
      </w:r>
    </w:p>
    <w:p w14:paraId="43B27E06">
      <w:pPr>
        <w:spacing w:line="580" w:lineRule="exact"/>
        <w:ind w:firstLine="640"/>
        <w:jc w:val="both"/>
      </w:pPr>
      <w:r>
        <w:rPr>
          <w:rFonts w:ascii="仿宋_GB2312" w:hAnsi="仿宋_GB2312" w:eastAsia="仿宋_GB2312"/>
          <w:b w:val="0"/>
          <w:sz w:val="32"/>
        </w:rPr>
        <w:t>授予中小企业合同金额358.14万元，占政府采购支出总额的100.00%，其中：授予小微企业合同金额358.14万元，占政府采购支出总额的100.00%。</w:t>
      </w:r>
    </w:p>
    <w:p w14:paraId="7D6035FA">
      <w:pPr>
        <w:spacing w:line="640" w:lineRule="exact"/>
        <w:ind w:firstLine="640"/>
        <w:jc w:val="both"/>
        <w:outlineLvl w:val="3"/>
      </w:pPr>
      <w:r>
        <w:rPr>
          <w:rFonts w:ascii="楷体_GB2312" w:hAnsi="楷体_GB2312" w:eastAsia="楷体_GB2312"/>
          <w:b/>
          <w:sz w:val="32"/>
        </w:rPr>
        <w:t>（三）国有资产占用情况说明</w:t>
      </w:r>
    </w:p>
    <w:p w14:paraId="19CB9AF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479030E">
      <w:pPr>
        <w:spacing w:line="640" w:lineRule="exact"/>
        <w:ind w:firstLine="640"/>
        <w:jc w:val="both"/>
        <w:outlineLvl w:val="2"/>
      </w:pPr>
      <w:r>
        <w:rPr>
          <w:rFonts w:ascii="黑体" w:hAnsi="黑体" w:eastAsia="黑体"/>
          <w:sz w:val="32"/>
        </w:rPr>
        <w:t>十一、预算绩效的情况说明</w:t>
      </w:r>
    </w:p>
    <w:p w14:paraId="719BCAB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998.12万元，实际执行总额998.12万元；预算绩效评价项目2个，全年预算数478.81万元，全年执行数478.81万元。预算绩效管理取得的成效：一是管理机制规范化。明确单位主要负责人为绩效管理第一责任人，设立专职绩效管理岗位，推动绩效责任下沉。二是能够及时对项目纠偏提速。发现的问题及原因：一是绩效目标管理虚化。部分目标设定“模板化”，直接套用上级指标，未结合自身特点量化。二是大队绩效管理人员未系统接受过培训，指标设计无法突出项目本身特点。下一步改进措施：一是加强人员培训，提高人员业务水平。二是不定期自查经费使用情况，及时发现问题、整改问题。具体附整体支出绩效自评表，项目支出绩效自评表和评价报告。</w:t>
      </w:r>
    </w:p>
    <w:p w14:paraId="52C2F44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245"/>
        <w:gridCol w:w="813"/>
        <w:gridCol w:w="1227"/>
        <w:gridCol w:w="647"/>
        <w:gridCol w:w="983"/>
        <w:gridCol w:w="983"/>
        <w:gridCol w:w="983"/>
      </w:tblGrid>
      <w:tr w14:paraId="3B41AA54">
        <w:tblPrEx>
          <w:tblCellMar>
            <w:top w:w="0" w:type="dxa"/>
            <w:left w:w="108" w:type="dxa"/>
            <w:bottom w:w="0" w:type="dxa"/>
            <w:right w:w="108" w:type="dxa"/>
          </w:tblCellMar>
        </w:tblPrEx>
        <w:tc>
          <w:tcPr>
            <w:tcW w:w="8847" w:type="dxa"/>
            <w:gridSpan w:val="9"/>
            <w:vAlign w:val="center"/>
          </w:tcPr>
          <w:p w14:paraId="38D8CAD9">
            <w:pPr>
              <w:jc w:val="center"/>
            </w:pPr>
            <w:r>
              <w:rPr>
                <w:rFonts w:ascii="宋体" w:hAnsi="宋体" w:eastAsia="宋体"/>
                <w:sz w:val="24"/>
              </w:rPr>
              <w:t>单位整体支出绩效自评表</w:t>
            </w:r>
          </w:p>
        </w:tc>
      </w:tr>
      <w:tr w14:paraId="763C0C28">
        <w:tblPrEx>
          <w:tblCellMar>
            <w:top w:w="0" w:type="dxa"/>
            <w:left w:w="108" w:type="dxa"/>
            <w:bottom w:w="0" w:type="dxa"/>
            <w:right w:w="108" w:type="dxa"/>
          </w:tblCellMar>
        </w:tblPrEx>
        <w:tc>
          <w:tcPr>
            <w:tcW w:w="8847" w:type="dxa"/>
            <w:gridSpan w:val="9"/>
            <w:vAlign w:val="center"/>
          </w:tcPr>
          <w:p w14:paraId="4A451D74">
            <w:pPr>
              <w:jc w:val="center"/>
            </w:pPr>
            <w:r>
              <w:rPr>
                <w:rFonts w:ascii="宋体" w:hAnsi="宋体" w:eastAsia="宋体"/>
                <w:sz w:val="24"/>
              </w:rPr>
              <w:t>（2024年度）</w:t>
            </w:r>
          </w:p>
        </w:tc>
      </w:tr>
      <w:tr w14:paraId="40D621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2DB8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D0A2CA">
            <w:pPr>
              <w:jc w:val="center"/>
            </w:pPr>
            <w:r>
              <w:rPr>
                <w:rFonts w:ascii="宋体" w:hAnsi="宋体" w:eastAsia="宋体"/>
                <w:sz w:val="16"/>
              </w:rPr>
              <w:t>疏勒县消防救援大队</w:t>
            </w:r>
          </w:p>
        </w:tc>
      </w:tr>
      <w:tr w14:paraId="73CE30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0D47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BE5E3">
            <w:pPr>
              <w:jc w:val="center"/>
            </w:pPr>
            <w:r>
              <w:rPr>
                <w:rFonts w:ascii="宋体" w:hAnsi="宋体" w:eastAsia="宋体"/>
                <w:sz w:val="16"/>
              </w:rPr>
              <w:t>资金来源</w:t>
            </w:r>
          </w:p>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414C802A">
            <w:pPr>
              <w:jc w:val="center"/>
            </w:pPr>
            <w:r>
              <w:rPr>
                <w:rFonts w:ascii="宋体" w:hAnsi="宋体" w:eastAsia="宋体"/>
                <w:sz w:val="16"/>
              </w:rPr>
              <w:t>年初预算数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517BEE11">
            <w:pPr>
              <w:jc w:val="center"/>
            </w:pPr>
            <w:r>
              <w:rPr>
                <w:rFonts w:ascii="宋体" w:hAnsi="宋体" w:eastAsia="宋体"/>
                <w:sz w:val="16"/>
              </w:rPr>
              <w:t>预算数（调整后）</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474A38BA">
            <w:pPr>
              <w:jc w:val="center"/>
            </w:pPr>
            <w:r>
              <w:rPr>
                <w:rFonts w:ascii="宋体" w:hAnsi="宋体" w:eastAsia="宋体"/>
                <w:sz w:val="16"/>
              </w:rPr>
              <w:t>执行数</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489A3B1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4AB0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A2DFA">
            <w:pPr>
              <w:jc w:val="center"/>
            </w:pPr>
            <w:r>
              <w:rPr>
                <w:rFonts w:ascii="宋体" w:hAnsi="宋体" w:eastAsia="宋体"/>
                <w:sz w:val="16"/>
              </w:rPr>
              <w:t>得分</w:t>
            </w:r>
          </w:p>
        </w:tc>
      </w:tr>
      <w:tr w14:paraId="05FA5C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0F0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3F84C">
            <w:pPr>
              <w:jc w:val="center"/>
            </w:pPr>
            <w:r>
              <w:rPr>
                <w:rFonts w:ascii="宋体" w:hAnsi="宋体" w:eastAsia="宋体"/>
                <w:sz w:val="16"/>
              </w:rPr>
              <w:t>年度总资金：</w:t>
            </w:r>
          </w:p>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6C9043AC">
            <w:pPr>
              <w:jc w:val="center"/>
            </w:pPr>
            <w:r>
              <w:rPr>
                <w:rFonts w:ascii="宋体" w:hAnsi="宋体" w:eastAsia="宋体"/>
                <w:sz w:val="16"/>
              </w:rPr>
              <w:t>814.28</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66CFD0D5">
            <w:pPr>
              <w:jc w:val="center"/>
            </w:pPr>
            <w:r>
              <w:rPr>
                <w:rFonts w:ascii="宋体" w:hAnsi="宋体" w:eastAsia="宋体"/>
                <w:sz w:val="16"/>
              </w:rPr>
              <w:t>998.12</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6D38616A">
            <w:pPr>
              <w:jc w:val="center"/>
            </w:pPr>
            <w:r>
              <w:rPr>
                <w:rFonts w:ascii="宋体" w:hAnsi="宋体" w:eastAsia="宋体"/>
                <w:sz w:val="16"/>
              </w:rPr>
              <w:t>998.12</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42CB6A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489F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5662C">
            <w:pPr>
              <w:jc w:val="center"/>
            </w:pPr>
            <w:r>
              <w:rPr>
                <w:rFonts w:ascii="宋体" w:hAnsi="宋体" w:eastAsia="宋体"/>
                <w:sz w:val="16"/>
              </w:rPr>
              <w:t>10</w:t>
            </w:r>
          </w:p>
        </w:tc>
      </w:tr>
      <w:tr w14:paraId="654139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B4D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9968F">
            <w:pPr>
              <w:jc w:val="center"/>
            </w:pPr>
            <w:r>
              <w:rPr>
                <w:rFonts w:ascii="宋体" w:hAnsi="宋体" w:eastAsia="宋体"/>
                <w:sz w:val="16"/>
              </w:rPr>
              <w:t>上级资金：</w:t>
            </w:r>
          </w:p>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3106F186">
            <w:pPr>
              <w:jc w:val="center"/>
            </w:pPr>
            <w:r>
              <w:rPr>
                <w:rFonts w:ascii="宋体" w:hAnsi="宋体" w:eastAsia="宋体"/>
                <w:sz w:val="16"/>
              </w:rPr>
              <w:t>0.00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457FD470">
            <w:pPr>
              <w:jc w:val="center"/>
            </w:pPr>
            <w:r>
              <w:rPr>
                <w:rFonts w:ascii="宋体" w:hAnsi="宋体" w:eastAsia="宋体"/>
                <w:sz w:val="16"/>
              </w:rPr>
              <w:t>0.00</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194F891A">
            <w:pPr>
              <w:jc w:val="center"/>
            </w:pPr>
            <w:r>
              <w:rPr>
                <w:rFonts w:ascii="宋体" w:hAnsi="宋体" w:eastAsia="宋体"/>
                <w:sz w:val="16"/>
              </w:rPr>
              <w:t>0.00</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41B198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9302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B29EB">
            <w:pPr>
              <w:jc w:val="center"/>
            </w:pPr>
            <w:r>
              <w:rPr>
                <w:rFonts w:ascii="宋体" w:hAnsi="宋体" w:eastAsia="宋体"/>
                <w:sz w:val="16"/>
              </w:rPr>
              <w:t>—</w:t>
            </w:r>
          </w:p>
        </w:tc>
      </w:tr>
      <w:tr w14:paraId="11CAE7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8A41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A2634">
            <w:pPr>
              <w:jc w:val="center"/>
            </w:pPr>
            <w:r>
              <w:rPr>
                <w:rFonts w:ascii="宋体" w:hAnsi="宋体" w:eastAsia="宋体"/>
                <w:sz w:val="16"/>
              </w:rPr>
              <w:t>本级资金：</w:t>
            </w:r>
          </w:p>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5EB456B9">
            <w:pPr>
              <w:jc w:val="center"/>
            </w:pPr>
            <w:r>
              <w:rPr>
                <w:rFonts w:ascii="宋体" w:hAnsi="宋体" w:eastAsia="宋体"/>
                <w:sz w:val="16"/>
              </w:rPr>
              <w:t>814.28</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145DC94">
            <w:pPr>
              <w:jc w:val="center"/>
            </w:pPr>
            <w:r>
              <w:rPr>
                <w:rFonts w:ascii="宋体" w:hAnsi="宋体" w:eastAsia="宋体"/>
                <w:sz w:val="16"/>
              </w:rPr>
              <w:t>701.07</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1012EB53">
            <w:pPr>
              <w:jc w:val="center"/>
            </w:pPr>
            <w:r>
              <w:rPr>
                <w:rFonts w:ascii="宋体" w:hAnsi="宋体" w:eastAsia="宋体"/>
                <w:sz w:val="16"/>
              </w:rPr>
              <w:t>701.07</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18BA65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5081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444B0">
            <w:pPr>
              <w:jc w:val="center"/>
            </w:pPr>
            <w:r>
              <w:rPr>
                <w:rFonts w:ascii="宋体" w:hAnsi="宋体" w:eastAsia="宋体"/>
                <w:sz w:val="16"/>
              </w:rPr>
              <w:t>—</w:t>
            </w:r>
          </w:p>
        </w:tc>
      </w:tr>
      <w:tr w14:paraId="75E5A6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537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58CE3">
            <w:pPr>
              <w:jc w:val="center"/>
            </w:pPr>
            <w:r>
              <w:rPr>
                <w:rFonts w:ascii="宋体" w:hAnsi="宋体" w:eastAsia="宋体"/>
                <w:sz w:val="16"/>
              </w:rPr>
              <w:t>其他资金：</w:t>
            </w:r>
          </w:p>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29E51A9A">
            <w:pPr>
              <w:jc w:val="center"/>
            </w:pPr>
            <w:r>
              <w:rPr>
                <w:rFonts w:ascii="宋体" w:hAnsi="宋体" w:eastAsia="宋体"/>
                <w:sz w:val="16"/>
              </w:rPr>
              <w:t>0.00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2E7E8577">
            <w:pPr>
              <w:jc w:val="center"/>
            </w:pPr>
            <w:r>
              <w:rPr>
                <w:rFonts w:ascii="宋体" w:hAnsi="宋体" w:eastAsia="宋体"/>
                <w:sz w:val="16"/>
              </w:rPr>
              <w:t>297.05</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3CA44407">
            <w:pPr>
              <w:jc w:val="center"/>
            </w:pPr>
            <w:r>
              <w:rPr>
                <w:rFonts w:ascii="宋体" w:hAnsi="宋体" w:eastAsia="宋体"/>
                <w:sz w:val="16"/>
              </w:rPr>
              <w:t>297.05</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2E9AA6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F204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ED226">
            <w:pPr>
              <w:jc w:val="center"/>
            </w:pPr>
            <w:r>
              <w:rPr>
                <w:rFonts w:ascii="宋体" w:hAnsi="宋体" w:eastAsia="宋体"/>
                <w:sz w:val="16"/>
              </w:rPr>
              <w:t>—</w:t>
            </w:r>
          </w:p>
        </w:tc>
      </w:tr>
      <w:tr w14:paraId="660146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7CE70">
            <w:pPr>
              <w:jc w:val="center"/>
            </w:pPr>
            <w:r>
              <w:rPr>
                <w:rFonts w:ascii="宋体" w:hAnsi="宋体" w:eastAsia="宋体"/>
                <w:sz w:val="16"/>
              </w:rPr>
              <w:t>年度总体目标</w:t>
            </w:r>
          </w:p>
        </w:tc>
        <w:tc>
          <w:tcPr>
            <w:tcW w:w="30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24B0E5">
            <w:pPr>
              <w:jc w:val="center"/>
            </w:pPr>
            <w:r>
              <w:rPr>
                <w:rFonts w:ascii="宋体" w:hAnsi="宋体" w:eastAsia="宋体"/>
                <w:sz w:val="16"/>
              </w:rPr>
              <w:t>预期目标</w:t>
            </w:r>
          </w:p>
        </w:tc>
        <w:tc>
          <w:tcPr>
            <w:tcW w:w="48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1A8BB8">
            <w:pPr>
              <w:jc w:val="center"/>
            </w:pPr>
            <w:r>
              <w:rPr>
                <w:rFonts w:ascii="宋体" w:hAnsi="宋体" w:eastAsia="宋体"/>
                <w:sz w:val="16"/>
              </w:rPr>
              <w:t>实际完成情况</w:t>
            </w:r>
          </w:p>
        </w:tc>
      </w:tr>
      <w:tr w14:paraId="41CB9A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1759C"/>
        </w:tc>
        <w:tc>
          <w:tcPr>
            <w:tcW w:w="30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8769B5">
            <w:pPr>
              <w:jc w:val="both"/>
            </w:pPr>
            <w:r>
              <w:rPr>
                <w:rFonts w:ascii="宋体" w:hAnsi="宋体" w:eastAsia="宋体"/>
                <w:sz w:val="16"/>
              </w:rPr>
              <w:t>积极贯彻落实党和国家关于消防救援相关政策，疏勒县消防救援大队是受县委、县政府直接领导的一支救援队伍，承担着灭火救援，维稳处突等一系列急难险重任务。经费保障</w:t>
            </w:r>
            <w:r>
              <w:rPr>
                <w:rFonts w:hint="eastAsia" w:ascii="宋体" w:hAnsi="宋体"/>
                <w:sz w:val="16"/>
                <w:lang w:eastAsia="zh-CN"/>
              </w:rPr>
              <w:t>是</w:t>
            </w:r>
            <w:r>
              <w:rPr>
                <w:rFonts w:ascii="宋体" w:hAnsi="宋体" w:eastAsia="宋体"/>
                <w:sz w:val="16"/>
              </w:rPr>
              <w:t>维护队伍稳</w:t>
            </w:r>
            <w:r>
              <w:rPr>
                <w:rFonts w:hint="eastAsia" w:ascii="宋体" w:hAnsi="宋体"/>
                <w:sz w:val="16"/>
                <w:lang w:eastAsia="zh-CN"/>
              </w:rPr>
              <w:t>定的</w:t>
            </w:r>
            <w:r>
              <w:rPr>
                <w:rFonts w:ascii="宋体" w:hAnsi="宋体" w:eastAsia="宋体"/>
                <w:sz w:val="16"/>
              </w:rPr>
              <w:t>基础，是维护队伍日常工作运转的基本保证</w:t>
            </w:r>
            <w:r>
              <w:rPr>
                <w:rFonts w:hint="eastAsia" w:ascii="宋体" w:hAnsi="宋体"/>
                <w:sz w:val="16"/>
                <w:lang w:eastAsia="zh-CN"/>
              </w:rPr>
              <w:t>，以</w:t>
            </w:r>
            <w:r>
              <w:rPr>
                <w:rFonts w:ascii="宋体" w:hAnsi="宋体" w:eastAsia="宋体"/>
                <w:sz w:val="16"/>
              </w:rPr>
              <w:t>全面提升队伍灭火救援实战能力为着力点，聚焦风险防控，层层分解年度重点目标任务，深化消防执法改革，夯实基层基础设施建设，火灾隐患排查整治明显，有效维护了队伍管理和社会面火灾形势双稳定。</w:t>
            </w:r>
          </w:p>
        </w:tc>
        <w:tc>
          <w:tcPr>
            <w:tcW w:w="48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07DC49">
            <w:pPr>
              <w:jc w:val="both"/>
            </w:pPr>
            <w:r>
              <w:rPr>
                <w:rFonts w:hint="eastAsia" w:ascii="宋体" w:hAnsi="宋体"/>
                <w:sz w:val="16"/>
                <w:lang w:eastAsia="zh-CN"/>
              </w:rPr>
              <w:t>本单位</w:t>
            </w:r>
            <w:r>
              <w:rPr>
                <w:rFonts w:ascii="宋体" w:hAnsi="宋体" w:eastAsia="宋体"/>
                <w:sz w:val="16"/>
              </w:rPr>
              <w:t>按照地委、行署、自治区要求，维护队伍日常工作运转的基本保证，全面提升队伍灭火救援实战能力为着力点，开展业务、技能考核1月/次，聚焦风险防控，层层分解年度重点目标任务，组织辖区重点单位演练次数119次，制定辖区重点单位预案个数122次，深化消防执法改革，夯实基层基础设施建设，火灾隐患排查整治明显，同时开展消防宣传场次375次，开放消防科普教育基地次数50次，有效维护了队伍管理和社会面火灾形势双稳定，安全隐患整治率及出警率达100%。</w:t>
            </w:r>
          </w:p>
        </w:tc>
      </w:tr>
      <w:tr w14:paraId="0B20F1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14EF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52202">
            <w:pPr>
              <w:jc w:val="center"/>
            </w:pPr>
            <w:r>
              <w:rPr>
                <w:rFonts w:ascii="宋体" w:hAnsi="宋体" w:eastAsia="宋体"/>
                <w:sz w:val="16"/>
              </w:rPr>
              <w:t>二级指标</w:t>
            </w:r>
          </w:p>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13A4ECCA">
            <w:pPr>
              <w:jc w:val="center"/>
            </w:pPr>
            <w:r>
              <w:rPr>
                <w:rFonts w:ascii="宋体" w:hAnsi="宋体" w:eastAsia="宋体"/>
                <w:sz w:val="16"/>
              </w:rPr>
              <w:t>三级指标</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65D09924">
            <w:pPr>
              <w:jc w:val="center"/>
            </w:pPr>
            <w:r>
              <w:rPr>
                <w:rFonts w:ascii="宋体" w:hAnsi="宋体" w:eastAsia="宋体"/>
                <w:sz w:val="16"/>
              </w:rPr>
              <w:t>指标值</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324F746F">
            <w:pPr>
              <w:jc w:val="center"/>
            </w:pPr>
            <w:r>
              <w:rPr>
                <w:rFonts w:ascii="宋体" w:hAnsi="宋体" w:eastAsia="宋体"/>
                <w:sz w:val="16"/>
              </w:rPr>
              <w:t>指标值设定依据</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665ABBC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77A0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A48E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0E3C4">
            <w:pPr>
              <w:jc w:val="center"/>
            </w:pPr>
            <w:r>
              <w:rPr>
                <w:rFonts w:ascii="宋体" w:hAnsi="宋体" w:eastAsia="宋体"/>
                <w:sz w:val="16"/>
              </w:rPr>
              <w:t>得分</w:t>
            </w:r>
          </w:p>
        </w:tc>
      </w:tr>
      <w:tr w14:paraId="5A659EF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9DCC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71B85">
            <w:pPr>
              <w:jc w:val="center"/>
            </w:pPr>
            <w:r>
              <w:rPr>
                <w:rFonts w:ascii="宋体" w:hAnsi="宋体" w:eastAsia="宋体"/>
                <w:sz w:val="16"/>
              </w:rPr>
              <w:t>数量指标</w:t>
            </w:r>
          </w:p>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0E476DBD">
            <w:pPr>
              <w:jc w:val="center"/>
            </w:pPr>
            <w:r>
              <w:rPr>
                <w:rFonts w:ascii="宋体" w:hAnsi="宋体" w:eastAsia="宋体"/>
                <w:sz w:val="16"/>
              </w:rPr>
              <w:t>业务、技能考核次数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6E8AB8FE">
            <w:pPr>
              <w:jc w:val="center"/>
            </w:pPr>
            <w:r>
              <w:rPr>
                <w:rFonts w:ascii="宋体" w:hAnsi="宋体" w:eastAsia="宋体"/>
                <w:sz w:val="16"/>
              </w:rPr>
              <w:t>&gt;=1次\月</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514C9927">
            <w:pPr>
              <w:jc w:val="center"/>
            </w:pPr>
            <w:r>
              <w:rPr>
                <w:rFonts w:ascii="宋体" w:hAnsi="宋体" w:eastAsia="宋体"/>
                <w:sz w:val="16"/>
              </w:rPr>
              <w:t>2024年工作要点</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0AB3C28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96E62">
            <w:pPr>
              <w:jc w:val="center"/>
            </w:pPr>
            <w:r>
              <w:rPr>
                <w:rFonts w:ascii="宋体" w:hAnsi="宋体" w:eastAsia="宋体"/>
                <w:sz w:val="16"/>
              </w:rPr>
              <w:t>1次\月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932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44FE0">
            <w:pPr>
              <w:jc w:val="center"/>
            </w:pPr>
            <w:r>
              <w:rPr>
                <w:rFonts w:ascii="宋体" w:hAnsi="宋体" w:eastAsia="宋体"/>
                <w:sz w:val="16"/>
              </w:rPr>
              <w:t>5</w:t>
            </w:r>
          </w:p>
        </w:tc>
      </w:tr>
      <w:tr w14:paraId="75B56F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82A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DB3951"/>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6BDF2983">
            <w:pPr>
              <w:jc w:val="center"/>
            </w:pPr>
            <w:r>
              <w:rPr>
                <w:rFonts w:ascii="宋体" w:hAnsi="宋体" w:eastAsia="宋体"/>
                <w:sz w:val="16"/>
              </w:rPr>
              <w:t>组织辖区重点单位演练次数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349574F">
            <w:pPr>
              <w:jc w:val="center"/>
            </w:pPr>
            <w:r>
              <w:rPr>
                <w:rFonts w:ascii="宋体" w:hAnsi="宋体" w:eastAsia="宋体"/>
                <w:sz w:val="16"/>
              </w:rPr>
              <w:t>&gt;=119次</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7A4B66D2">
            <w:pPr>
              <w:jc w:val="center"/>
            </w:pPr>
            <w:r>
              <w:rPr>
                <w:rFonts w:ascii="宋体" w:hAnsi="宋体" w:eastAsia="宋体"/>
                <w:sz w:val="16"/>
              </w:rPr>
              <w:t>2024年工作要点</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502031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09431">
            <w:pPr>
              <w:jc w:val="center"/>
            </w:pPr>
            <w:r>
              <w:rPr>
                <w:rFonts w:ascii="宋体" w:hAnsi="宋体" w:eastAsia="宋体"/>
                <w:sz w:val="16"/>
              </w:rPr>
              <w:t>119次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0DE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7E2F3">
            <w:pPr>
              <w:jc w:val="center"/>
            </w:pPr>
            <w:r>
              <w:rPr>
                <w:rFonts w:ascii="宋体" w:hAnsi="宋体" w:eastAsia="宋体"/>
                <w:sz w:val="16"/>
              </w:rPr>
              <w:t>10</w:t>
            </w:r>
          </w:p>
        </w:tc>
      </w:tr>
      <w:tr w14:paraId="497F4C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0B7C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1C554"/>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2305A809">
            <w:pPr>
              <w:jc w:val="center"/>
            </w:pPr>
            <w:r>
              <w:rPr>
                <w:rFonts w:ascii="宋体" w:hAnsi="宋体" w:eastAsia="宋体"/>
                <w:sz w:val="16"/>
              </w:rPr>
              <w:t>制定辖区重点单位预案个数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80F442E">
            <w:pPr>
              <w:jc w:val="center"/>
            </w:pPr>
            <w:r>
              <w:rPr>
                <w:rFonts w:ascii="宋体" w:hAnsi="宋体" w:eastAsia="宋体"/>
                <w:sz w:val="16"/>
              </w:rPr>
              <w:t>&gt;=122次</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5A54BF98">
            <w:pPr>
              <w:jc w:val="center"/>
            </w:pPr>
            <w:r>
              <w:rPr>
                <w:rFonts w:ascii="宋体" w:hAnsi="宋体" w:eastAsia="宋体"/>
                <w:sz w:val="16"/>
              </w:rPr>
              <w:t>2024年工作要点</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33A7FB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9451B">
            <w:pPr>
              <w:jc w:val="center"/>
            </w:pPr>
            <w:r>
              <w:rPr>
                <w:rFonts w:ascii="宋体" w:hAnsi="宋体" w:eastAsia="宋体"/>
                <w:sz w:val="16"/>
              </w:rPr>
              <w:t>122次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323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13247">
            <w:pPr>
              <w:jc w:val="center"/>
            </w:pPr>
            <w:r>
              <w:rPr>
                <w:rFonts w:ascii="宋体" w:hAnsi="宋体" w:eastAsia="宋体"/>
                <w:sz w:val="16"/>
              </w:rPr>
              <w:t>10</w:t>
            </w:r>
          </w:p>
        </w:tc>
      </w:tr>
      <w:tr w14:paraId="5F2C7F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5FF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5F20C8"/>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0D671889">
            <w:pPr>
              <w:jc w:val="center"/>
            </w:pPr>
            <w:r>
              <w:rPr>
                <w:rFonts w:ascii="宋体" w:hAnsi="宋体" w:eastAsia="宋体"/>
                <w:sz w:val="16"/>
              </w:rPr>
              <w:t>开展消防宣传场次</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026927D">
            <w:pPr>
              <w:jc w:val="center"/>
            </w:pPr>
            <w:r>
              <w:rPr>
                <w:rFonts w:ascii="宋体" w:hAnsi="宋体" w:eastAsia="宋体"/>
                <w:sz w:val="16"/>
              </w:rPr>
              <w:t>&gt;=375次</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18437142">
            <w:pPr>
              <w:jc w:val="center"/>
            </w:pPr>
            <w:r>
              <w:rPr>
                <w:rFonts w:ascii="宋体" w:hAnsi="宋体" w:eastAsia="宋体"/>
                <w:sz w:val="16"/>
              </w:rPr>
              <w:t>2024年工作要点</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2D4F622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6C52C">
            <w:pPr>
              <w:jc w:val="center"/>
            </w:pPr>
            <w:r>
              <w:rPr>
                <w:rFonts w:ascii="宋体" w:hAnsi="宋体" w:eastAsia="宋体"/>
                <w:sz w:val="16"/>
              </w:rPr>
              <w:t>375次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890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6CA83">
            <w:pPr>
              <w:jc w:val="center"/>
            </w:pPr>
            <w:r>
              <w:rPr>
                <w:rFonts w:ascii="宋体" w:hAnsi="宋体" w:eastAsia="宋体"/>
                <w:sz w:val="16"/>
              </w:rPr>
              <w:t>5</w:t>
            </w:r>
          </w:p>
        </w:tc>
      </w:tr>
      <w:tr w14:paraId="7806D8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F33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070B38"/>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37DB9BFD">
            <w:pPr>
              <w:jc w:val="center"/>
            </w:pPr>
            <w:r>
              <w:rPr>
                <w:rFonts w:ascii="宋体" w:hAnsi="宋体" w:eastAsia="宋体"/>
                <w:sz w:val="16"/>
              </w:rPr>
              <w:t>开放消防科普教育基地次数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79638DEF">
            <w:pPr>
              <w:jc w:val="center"/>
            </w:pPr>
            <w:r>
              <w:rPr>
                <w:rFonts w:ascii="宋体" w:hAnsi="宋体" w:eastAsia="宋体"/>
                <w:sz w:val="16"/>
              </w:rPr>
              <w:t>&gt;=50次</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46A35A3B">
            <w:pPr>
              <w:jc w:val="center"/>
            </w:pPr>
            <w:r>
              <w:rPr>
                <w:rFonts w:ascii="宋体" w:hAnsi="宋体" w:eastAsia="宋体"/>
                <w:sz w:val="16"/>
              </w:rPr>
              <w:t>2024年工作要点</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5EFB2A9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AE562">
            <w:pPr>
              <w:jc w:val="center"/>
            </w:pPr>
            <w:r>
              <w:rPr>
                <w:rFonts w:ascii="宋体" w:hAnsi="宋体" w:eastAsia="宋体"/>
                <w:sz w:val="16"/>
              </w:rPr>
              <w:t>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538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FBEAA">
            <w:pPr>
              <w:jc w:val="center"/>
            </w:pPr>
            <w:r>
              <w:rPr>
                <w:rFonts w:ascii="宋体" w:hAnsi="宋体" w:eastAsia="宋体"/>
                <w:sz w:val="16"/>
              </w:rPr>
              <w:t>5</w:t>
            </w:r>
          </w:p>
        </w:tc>
      </w:tr>
      <w:tr w14:paraId="06C98D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C022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4E858">
            <w:pPr>
              <w:jc w:val="center"/>
            </w:pPr>
            <w:r>
              <w:rPr>
                <w:rFonts w:ascii="宋体" w:hAnsi="宋体" w:eastAsia="宋体"/>
                <w:sz w:val="16"/>
              </w:rPr>
              <w:t>质量指标</w:t>
            </w:r>
          </w:p>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687019F1">
            <w:pPr>
              <w:jc w:val="center"/>
            </w:pPr>
            <w:r>
              <w:rPr>
                <w:rFonts w:ascii="宋体" w:hAnsi="宋体" w:eastAsia="宋体"/>
                <w:sz w:val="16"/>
              </w:rPr>
              <w:t>安全隐患整治率</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5442DEA">
            <w:pPr>
              <w:jc w:val="center"/>
            </w:pPr>
            <w:r>
              <w:rPr>
                <w:rFonts w:ascii="宋体" w:hAnsi="宋体" w:eastAsia="宋体"/>
                <w:sz w:val="16"/>
              </w:rPr>
              <w:t>=100%</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5DEF5099">
            <w:pPr>
              <w:jc w:val="center"/>
            </w:pPr>
            <w:r>
              <w:rPr>
                <w:rFonts w:ascii="宋体" w:hAnsi="宋体" w:eastAsia="宋体"/>
                <w:sz w:val="16"/>
              </w:rPr>
              <w:t>2024年工作要点</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10C2DF5C">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BC4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E01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6C91A">
            <w:pPr>
              <w:jc w:val="center"/>
            </w:pPr>
            <w:r>
              <w:rPr>
                <w:rFonts w:ascii="宋体" w:hAnsi="宋体" w:eastAsia="宋体"/>
                <w:sz w:val="16"/>
              </w:rPr>
              <w:t>25</w:t>
            </w:r>
          </w:p>
        </w:tc>
      </w:tr>
      <w:tr w14:paraId="5FBB37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5C4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83E102"/>
        </w:tc>
        <w:tc>
          <w:tcPr>
            <w:tcW w:w="1245" w:type="dxa"/>
            <w:tcBorders>
              <w:top w:val="single" w:color="auto" w:sz="10" w:space="0"/>
              <w:left w:val="single" w:color="auto" w:sz="10" w:space="0"/>
              <w:bottom w:val="single" w:color="auto" w:sz="10" w:space="0"/>
              <w:right w:val="single" w:color="auto" w:sz="10" w:space="0"/>
              <w:insideV w:val="single" w:sz="10" w:space="0"/>
            </w:tcBorders>
            <w:vAlign w:val="center"/>
          </w:tcPr>
          <w:p w14:paraId="4CDEF51C">
            <w:pPr>
              <w:jc w:val="center"/>
            </w:pPr>
            <w:r>
              <w:rPr>
                <w:rFonts w:ascii="宋体" w:hAnsi="宋体" w:eastAsia="宋体"/>
                <w:sz w:val="16"/>
              </w:rPr>
              <w:t>出警率</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751BA515">
            <w:pPr>
              <w:jc w:val="center"/>
            </w:pPr>
            <w:r>
              <w:rPr>
                <w:rFonts w:ascii="宋体" w:hAnsi="宋体" w:eastAsia="宋体"/>
                <w:sz w:val="16"/>
              </w:rPr>
              <w:t>=100%</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4F3A67E5">
            <w:pPr>
              <w:jc w:val="center"/>
            </w:pPr>
            <w:r>
              <w:rPr>
                <w:rFonts w:ascii="宋体" w:hAnsi="宋体" w:eastAsia="宋体"/>
                <w:sz w:val="16"/>
              </w:rPr>
              <w:t>2024年工作要点</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38D0A88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48B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E63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884BE">
            <w:pPr>
              <w:jc w:val="center"/>
            </w:pPr>
            <w:r>
              <w:rPr>
                <w:rFonts w:ascii="宋体" w:hAnsi="宋体" w:eastAsia="宋体"/>
                <w:sz w:val="16"/>
              </w:rPr>
              <w:t>30</w:t>
            </w:r>
          </w:p>
        </w:tc>
      </w:tr>
    </w:tbl>
    <w:p w14:paraId="1EC980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F3CEDC3">
        <w:tblPrEx>
          <w:tblCellMar>
            <w:top w:w="0" w:type="dxa"/>
            <w:left w:w="108" w:type="dxa"/>
            <w:bottom w:w="0" w:type="dxa"/>
            <w:right w:w="108" w:type="dxa"/>
          </w:tblCellMar>
        </w:tblPrEx>
        <w:tc>
          <w:tcPr>
            <w:tcW w:w="8848" w:type="dxa"/>
            <w:gridSpan w:val="14"/>
            <w:vAlign w:val="center"/>
          </w:tcPr>
          <w:p w14:paraId="02E4BD9E">
            <w:pPr>
              <w:jc w:val="center"/>
            </w:pPr>
            <w:r>
              <w:rPr>
                <w:rFonts w:ascii="宋体" w:hAnsi="宋体" w:eastAsia="宋体"/>
                <w:sz w:val="24"/>
              </w:rPr>
              <w:t>项目支出绩效自评表</w:t>
            </w:r>
          </w:p>
        </w:tc>
      </w:tr>
      <w:tr w14:paraId="4D79090F">
        <w:tblPrEx>
          <w:tblCellMar>
            <w:top w:w="0" w:type="dxa"/>
            <w:left w:w="108" w:type="dxa"/>
            <w:bottom w:w="0" w:type="dxa"/>
            <w:right w:w="108" w:type="dxa"/>
          </w:tblCellMar>
        </w:tblPrEx>
        <w:tc>
          <w:tcPr>
            <w:tcW w:w="8848" w:type="dxa"/>
            <w:gridSpan w:val="14"/>
            <w:vAlign w:val="center"/>
          </w:tcPr>
          <w:p w14:paraId="7E7C182A">
            <w:pPr>
              <w:jc w:val="center"/>
            </w:pPr>
            <w:r>
              <w:rPr>
                <w:rFonts w:ascii="宋体" w:hAnsi="宋体" w:eastAsia="宋体"/>
                <w:sz w:val="24"/>
              </w:rPr>
              <w:t>(2024年度)</w:t>
            </w:r>
          </w:p>
        </w:tc>
      </w:tr>
      <w:tr w14:paraId="3640BE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B0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792D53">
            <w:pPr>
              <w:jc w:val="center"/>
            </w:pPr>
            <w:r>
              <w:rPr>
                <w:rFonts w:ascii="宋体" w:hAnsi="宋体" w:eastAsia="宋体"/>
                <w:sz w:val="16"/>
              </w:rPr>
              <w:t>2024年</w:t>
            </w:r>
            <w:bookmarkStart w:id="0" w:name="_GoBack"/>
            <w:r>
              <w:rPr>
                <w:rFonts w:ascii="宋体" w:hAnsi="宋体" w:eastAsia="宋体"/>
                <w:sz w:val="16"/>
              </w:rPr>
              <w:t>化债</w:t>
            </w:r>
            <w:bookmarkEnd w:id="0"/>
            <w:r>
              <w:rPr>
                <w:rFonts w:ascii="宋体" w:hAnsi="宋体" w:eastAsia="宋体"/>
                <w:sz w:val="16"/>
              </w:rPr>
              <w:t>类项目</w:t>
            </w:r>
          </w:p>
        </w:tc>
      </w:tr>
      <w:tr w14:paraId="2308A9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02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2B284">
            <w:pPr>
              <w:jc w:val="center"/>
            </w:pPr>
            <w:r>
              <w:rPr>
                <w:rFonts w:ascii="宋体" w:hAnsi="宋体" w:eastAsia="宋体"/>
                <w:sz w:val="16"/>
              </w:rPr>
              <w:t>疏勒县消防救援大队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AE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700F3F">
            <w:pPr>
              <w:jc w:val="center"/>
            </w:pPr>
            <w:r>
              <w:rPr>
                <w:rFonts w:ascii="宋体" w:hAnsi="宋体" w:eastAsia="宋体"/>
                <w:sz w:val="16"/>
              </w:rPr>
              <w:t>疏勒县消防救援大队</w:t>
            </w:r>
          </w:p>
        </w:tc>
      </w:tr>
      <w:tr w14:paraId="745456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AE0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49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5F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20C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34E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39C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C29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F15E">
            <w:pPr>
              <w:jc w:val="center"/>
            </w:pPr>
            <w:r>
              <w:rPr>
                <w:rFonts w:ascii="宋体" w:hAnsi="宋体" w:eastAsia="宋体"/>
                <w:sz w:val="16"/>
              </w:rPr>
              <w:t>得分</w:t>
            </w:r>
          </w:p>
        </w:tc>
      </w:tr>
      <w:tr w14:paraId="51EE7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FF1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98B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4EB2C">
            <w:pPr>
              <w:jc w:val="center"/>
            </w:pPr>
            <w:r>
              <w:rPr>
                <w:rFonts w:ascii="宋体" w:hAnsi="宋体" w:eastAsia="宋体"/>
                <w:sz w:val="16"/>
              </w:rPr>
              <w:t>75.77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7387C">
            <w:pPr>
              <w:jc w:val="center"/>
            </w:pPr>
            <w:r>
              <w:rPr>
                <w:rFonts w:ascii="宋体" w:hAnsi="宋体" w:eastAsia="宋体"/>
                <w:sz w:val="16"/>
              </w:rPr>
              <w:t>75.77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E0977">
            <w:pPr>
              <w:jc w:val="center"/>
            </w:pPr>
            <w:r>
              <w:rPr>
                <w:rFonts w:ascii="宋体" w:hAnsi="宋体" w:eastAsia="宋体"/>
                <w:sz w:val="16"/>
              </w:rPr>
              <w:t>75.77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CEE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8A59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335B">
            <w:pPr>
              <w:jc w:val="center"/>
            </w:pPr>
            <w:r>
              <w:rPr>
                <w:rFonts w:ascii="宋体" w:hAnsi="宋体" w:eastAsia="宋体"/>
                <w:sz w:val="16"/>
              </w:rPr>
              <w:t>10.00分</w:t>
            </w:r>
          </w:p>
        </w:tc>
      </w:tr>
      <w:tr w14:paraId="5B657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5E3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ACD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8CEFF">
            <w:pPr>
              <w:jc w:val="center"/>
            </w:pPr>
            <w:r>
              <w:rPr>
                <w:rFonts w:ascii="宋体" w:hAnsi="宋体" w:eastAsia="宋体"/>
                <w:sz w:val="16"/>
              </w:rPr>
              <w:t>75.77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B1CDE">
            <w:pPr>
              <w:jc w:val="center"/>
            </w:pPr>
            <w:r>
              <w:rPr>
                <w:rFonts w:ascii="宋体" w:hAnsi="宋体" w:eastAsia="宋体"/>
                <w:sz w:val="16"/>
              </w:rPr>
              <w:t>75.77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1F4DC">
            <w:pPr>
              <w:jc w:val="center"/>
            </w:pPr>
            <w:r>
              <w:rPr>
                <w:rFonts w:ascii="宋体" w:hAnsi="宋体" w:eastAsia="宋体"/>
                <w:sz w:val="16"/>
              </w:rPr>
              <w:t>75.77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CF6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AC3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2F3B">
            <w:pPr>
              <w:jc w:val="center"/>
            </w:pPr>
            <w:r>
              <w:rPr>
                <w:rFonts w:ascii="宋体" w:hAnsi="宋体" w:eastAsia="宋体"/>
                <w:sz w:val="16"/>
              </w:rPr>
              <w:t>—</w:t>
            </w:r>
          </w:p>
        </w:tc>
      </w:tr>
      <w:tr w14:paraId="104D9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085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316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54B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10E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D9F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2D8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ADE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0BA2">
            <w:pPr>
              <w:jc w:val="center"/>
            </w:pPr>
            <w:r>
              <w:rPr>
                <w:rFonts w:ascii="宋体" w:hAnsi="宋体" w:eastAsia="宋体"/>
                <w:sz w:val="16"/>
              </w:rPr>
              <w:t>—</w:t>
            </w:r>
          </w:p>
        </w:tc>
      </w:tr>
      <w:tr w14:paraId="198336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87F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DA89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84CDC3">
            <w:pPr>
              <w:jc w:val="center"/>
            </w:pPr>
            <w:r>
              <w:rPr>
                <w:rFonts w:ascii="宋体" w:hAnsi="宋体" w:eastAsia="宋体"/>
                <w:sz w:val="16"/>
              </w:rPr>
              <w:t>实际完成情况</w:t>
            </w:r>
          </w:p>
        </w:tc>
      </w:tr>
      <w:tr w14:paraId="0C15E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D6C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01204">
            <w:pPr>
              <w:jc w:val="both"/>
            </w:pPr>
            <w:r>
              <w:rPr>
                <w:rFonts w:ascii="宋体" w:hAnsi="宋体" w:eastAsia="宋体"/>
                <w:sz w:val="16"/>
              </w:rPr>
              <w:t>本项目资金75.77万元，计划用于化解</w:t>
            </w:r>
            <w:r>
              <w:rPr>
                <w:rFonts w:hint="eastAsia" w:ascii="宋体" w:hAnsi="宋体"/>
                <w:sz w:val="16"/>
                <w:lang w:eastAsia="zh-CN"/>
              </w:rPr>
              <w:t>本单位</w:t>
            </w:r>
            <w:r>
              <w:rPr>
                <w:rFonts w:ascii="宋体" w:hAnsi="宋体" w:eastAsia="宋体"/>
                <w:sz w:val="16"/>
              </w:rPr>
              <w:t>疏勒县消防战勤保障业务用房及综合训练室项目债务。通过实施本项目贯彻落实国家债务管理政策，有效缓解政府资金不足的现状，有效规范政府债务管理，严格控制政府债务风险，不断提升政府公信力。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49B684">
            <w:pPr>
              <w:jc w:val="both"/>
            </w:pPr>
            <w:r>
              <w:rPr>
                <w:rFonts w:hint="eastAsia" w:ascii="宋体" w:hAnsi="宋体"/>
                <w:sz w:val="16"/>
                <w:lang w:eastAsia="zh-CN"/>
              </w:rPr>
              <w:t>截至</w:t>
            </w:r>
            <w:r>
              <w:rPr>
                <w:rFonts w:ascii="宋体" w:hAnsi="宋体" w:eastAsia="宋体"/>
                <w:sz w:val="16"/>
              </w:rPr>
              <w:t>2024年12月31日，项目实际投资总额为75.77万元，全部用于化解</w:t>
            </w:r>
            <w:r>
              <w:rPr>
                <w:rFonts w:hint="eastAsia" w:ascii="宋体" w:hAnsi="宋体"/>
                <w:sz w:val="16"/>
                <w:lang w:eastAsia="zh-CN"/>
              </w:rPr>
              <w:t>本单位</w:t>
            </w:r>
            <w:r>
              <w:rPr>
                <w:rFonts w:ascii="宋体" w:hAnsi="宋体" w:eastAsia="宋体"/>
                <w:sz w:val="16"/>
              </w:rPr>
              <w:t>疏勒县消防战勤保障业务用房及综合训练室项目债务72.77万元，2023年前期费用项目债务3万元，项目实施后，有效缓解政府资金不足的现状，有效规范地方政府债务管理，严格控制政府债务风险，不断提升政府公信力，债权人满意度98%。</w:t>
            </w:r>
          </w:p>
        </w:tc>
      </w:tr>
      <w:tr w14:paraId="2D2337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0FA6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1D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BF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1B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08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CA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F02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A1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8A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E9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5A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50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964D9">
            <w:pPr>
              <w:jc w:val="center"/>
            </w:pPr>
            <w:r>
              <w:rPr>
                <w:rFonts w:ascii="宋体" w:hAnsi="宋体" w:eastAsia="宋体"/>
                <w:sz w:val="16"/>
              </w:rPr>
              <w:t>偏差原因分析及改进措施</w:t>
            </w:r>
          </w:p>
        </w:tc>
      </w:tr>
      <w:tr w14:paraId="0A856C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6E7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7672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A6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1396">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9E1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63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CC7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80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E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BC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EE0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31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FB7E">
            <w:pPr>
              <w:jc w:val="center"/>
            </w:pPr>
          </w:p>
        </w:tc>
      </w:tr>
      <w:tr w14:paraId="7E9C5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B34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465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02E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E64C">
            <w:pPr>
              <w:jc w:val="center"/>
            </w:pPr>
            <w:r>
              <w:rPr>
                <w:rFonts w:ascii="宋体" w:hAnsi="宋体" w:eastAsia="宋体"/>
                <w:sz w:val="16"/>
              </w:rPr>
              <w:t>保障资金到位率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4C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F0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B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1C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B4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82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1F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20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370DA">
            <w:pPr>
              <w:jc w:val="center"/>
            </w:pPr>
          </w:p>
        </w:tc>
      </w:tr>
      <w:tr w14:paraId="24A62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9F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8F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07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C06A">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DE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2C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A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E3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15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8E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4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98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33C5D">
            <w:pPr>
              <w:jc w:val="center"/>
            </w:pPr>
          </w:p>
        </w:tc>
      </w:tr>
      <w:tr w14:paraId="72D230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94C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19E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75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86B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0D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5E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67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0A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5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B46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F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CA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5CDC2">
            <w:pPr>
              <w:jc w:val="center"/>
            </w:pPr>
          </w:p>
        </w:tc>
      </w:tr>
      <w:tr w14:paraId="7EFB2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35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451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A94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39FB">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0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9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A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02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54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9FF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2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89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9E346">
            <w:pPr>
              <w:jc w:val="center"/>
            </w:pPr>
          </w:p>
        </w:tc>
      </w:tr>
      <w:tr w14:paraId="28FEB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62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BEF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48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424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19D4">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C0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AE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8B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27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F9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C748">
            <w:pPr>
              <w:jc w:val="center"/>
            </w:pPr>
            <w:r>
              <w:rPr>
                <w:rFonts w:ascii="宋体" w:hAnsi="宋体" w:eastAsia="宋体"/>
                <w:sz w:val="16"/>
              </w:rPr>
              <w:t>=2024年5月15日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30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22B0D">
            <w:pPr>
              <w:jc w:val="center"/>
            </w:pPr>
          </w:p>
        </w:tc>
      </w:tr>
      <w:tr w14:paraId="4614F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EEC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6C3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BFF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6D71">
            <w:pPr>
              <w:jc w:val="center"/>
            </w:pPr>
            <w:r>
              <w:rPr>
                <w:rFonts w:ascii="宋体" w:hAnsi="宋体" w:eastAsia="宋体"/>
                <w:sz w:val="16"/>
              </w:rPr>
              <w:t>疏勒县消防战勤保障业务用房及综合训练室项目债务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F0FD">
            <w:pPr>
              <w:jc w:val="center"/>
            </w:pPr>
            <w:r>
              <w:rPr>
                <w:rFonts w:ascii="宋体" w:hAnsi="宋体" w:eastAsia="宋体"/>
                <w:sz w:val="16"/>
              </w:rPr>
              <w:t>&lt;=72.77万元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60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1D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70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6C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D46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FB43">
            <w:pPr>
              <w:jc w:val="center"/>
            </w:pPr>
            <w:r>
              <w:rPr>
                <w:rFonts w:ascii="宋体" w:hAnsi="宋体" w:eastAsia="宋体"/>
                <w:sz w:val="16"/>
              </w:rPr>
              <w:t>=72.77万元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4C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9215B">
            <w:pPr>
              <w:jc w:val="center"/>
            </w:pPr>
          </w:p>
        </w:tc>
      </w:tr>
      <w:tr w14:paraId="798BA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09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8D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147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3104">
            <w:pPr>
              <w:jc w:val="center"/>
            </w:pPr>
            <w:r>
              <w:rPr>
                <w:rFonts w:ascii="宋体" w:hAnsi="宋体" w:eastAsia="宋体"/>
                <w:sz w:val="16"/>
              </w:rPr>
              <w:t>2023年前期费项目债务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5768">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77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30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01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9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92D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295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C8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B4A81">
            <w:pPr>
              <w:jc w:val="center"/>
            </w:pPr>
          </w:p>
        </w:tc>
      </w:tr>
      <w:tr w14:paraId="747B13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7CE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BB2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6B3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1F77">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B6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FE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2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6E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47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F0C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1D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D0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6D976">
            <w:pPr>
              <w:jc w:val="center"/>
            </w:pPr>
          </w:p>
        </w:tc>
      </w:tr>
      <w:tr w14:paraId="1CF18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7B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16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22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7EA1">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2B99">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5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0D49">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83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F1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9F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F5D9">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0F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1730E">
            <w:pPr>
              <w:jc w:val="center"/>
            </w:pPr>
          </w:p>
        </w:tc>
      </w:tr>
      <w:tr w14:paraId="3FFB1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8B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E2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23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C8EF">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88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B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8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C2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F9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25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210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96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2E32">
            <w:pPr>
              <w:jc w:val="center"/>
            </w:pPr>
            <w:r>
              <w:rPr>
                <w:rFonts w:ascii="宋体" w:hAnsi="宋体" w:eastAsia="宋体"/>
                <w:sz w:val="16"/>
              </w:rPr>
              <w:t>原因分析：该项目指标债权人满意度&gt;=95，因项目实际问卷调查满意度为100%，故偏差率为3.15%；改进措施：根据项目实际情况，合理设置预期指标值，使完成值与预期值相一致。</w:t>
            </w:r>
          </w:p>
        </w:tc>
      </w:tr>
      <w:tr w14:paraId="43831C4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B75E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33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D08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C34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F62A1F"/>
        </w:tc>
      </w:tr>
    </w:tbl>
    <w:p w14:paraId="21058207">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14:paraId="7A10E698">
        <w:tblPrEx>
          <w:tblCellMar>
            <w:top w:w="0" w:type="dxa"/>
            <w:left w:w="108" w:type="dxa"/>
            <w:bottom w:w="0" w:type="dxa"/>
            <w:right w:w="108" w:type="dxa"/>
          </w:tblCellMar>
        </w:tblPrEx>
        <w:tc>
          <w:tcPr>
            <w:tcW w:w="8848" w:type="dxa"/>
            <w:gridSpan w:val="14"/>
            <w:vAlign w:val="center"/>
          </w:tcPr>
          <w:p w14:paraId="3C7BC557">
            <w:pPr>
              <w:jc w:val="center"/>
            </w:pPr>
            <w:r>
              <w:rPr>
                <w:rFonts w:ascii="宋体" w:hAnsi="宋体" w:eastAsia="宋体"/>
                <w:sz w:val="24"/>
              </w:rPr>
              <w:t>项目支出绩效自评表</w:t>
            </w:r>
          </w:p>
        </w:tc>
      </w:tr>
      <w:tr w14:paraId="5E55DC12">
        <w:tblPrEx>
          <w:tblCellMar>
            <w:top w:w="0" w:type="dxa"/>
            <w:left w:w="108" w:type="dxa"/>
            <w:bottom w:w="0" w:type="dxa"/>
            <w:right w:w="108" w:type="dxa"/>
          </w:tblCellMar>
        </w:tblPrEx>
        <w:tc>
          <w:tcPr>
            <w:tcW w:w="8848" w:type="dxa"/>
            <w:gridSpan w:val="14"/>
            <w:vAlign w:val="center"/>
          </w:tcPr>
          <w:p w14:paraId="58068FFB">
            <w:pPr>
              <w:jc w:val="center"/>
            </w:pPr>
            <w:r>
              <w:rPr>
                <w:rFonts w:ascii="宋体" w:hAnsi="宋体" w:eastAsia="宋体"/>
                <w:sz w:val="24"/>
              </w:rPr>
              <w:t>(2024年度)</w:t>
            </w:r>
          </w:p>
        </w:tc>
      </w:tr>
      <w:tr w14:paraId="4F51B8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52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CA792D">
            <w:pPr>
              <w:jc w:val="center"/>
            </w:pPr>
            <w:r>
              <w:rPr>
                <w:rFonts w:ascii="宋体" w:hAnsi="宋体" w:eastAsia="宋体"/>
                <w:sz w:val="16"/>
              </w:rPr>
              <w:t>疏勒县消防救援大队业务经费项目</w:t>
            </w:r>
          </w:p>
        </w:tc>
      </w:tr>
      <w:tr w14:paraId="238CA9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82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B4A00">
            <w:pPr>
              <w:jc w:val="center"/>
            </w:pPr>
            <w:r>
              <w:rPr>
                <w:rFonts w:ascii="宋体" w:hAnsi="宋体" w:eastAsia="宋体"/>
                <w:sz w:val="16"/>
              </w:rPr>
              <w:t>疏勒县消防救援大队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F9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BB1D2F">
            <w:pPr>
              <w:jc w:val="center"/>
            </w:pPr>
            <w:r>
              <w:rPr>
                <w:rFonts w:ascii="宋体" w:hAnsi="宋体" w:eastAsia="宋体"/>
                <w:sz w:val="16"/>
              </w:rPr>
              <w:t>疏勒县消防救援大队</w:t>
            </w:r>
          </w:p>
        </w:tc>
      </w:tr>
      <w:tr w14:paraId="276A26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406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BD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78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244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5FA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085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8A9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6F67">
            <w:pPr>
              <w:jc w:val="center"/>
            </w:pPr>
            <w:r>
              <w:rPr>
                <w:rFonts w:ascii="宋体" w:hAnsi="宋体" w:eastAsia="宋体"/>
                <w:sz w:val="16"/>
              </w:rPr>
              <w:t>得分</w:t>
            </w:r>
          </w:p>
        </w:tc>
      </w:tr>
      <w:tr w14:paraId="0E7F3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CCC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FB8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C7BDD">
            <w:pPr>
              <w:jc w:val="center"/>
            </w:pPr>
            <w:r>
              <w:rPr>
                <w:rFonts w:ascii="宋体" w:hAnsi="宋体" w:eastAsia="宋体"/>
                <w:sz w:val="16"/>
              </w:rPr>
              <w:t>345.00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C73F3">
            <w:pPr>
              <w:jc w:val="center"/>
            </w:pPr>
            <w:r>
              <w:rPr>
                <w:rFonts w:ascii="宋体" w:hAnsi="宋体" w:eastAsia="宋体"/>
                <w:sz w:val="16"/>
              </w:rPr>
              <w:t>403.04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F438">
            <w:pPr>
              <w:jc w:val="center"/>
            </w:pPr>
            <w:r>
              <w:rPr>
                <w:rFonts w:ascii="宋体" w:hAnsi="宋体" w:eastAsia="宋体"/>
                <w:sz w:val="16"/>
              </w:rPr>
              <w:t>403.04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28F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790E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2C16">
            <w:pPr>
              <w:jc w:val="center"/>
            </w:pPr>
            <w:r>
              <w:rPr>
                <w:rFonts w:ascii="宋体" w:hAnsi="宋体" w:eastAsia="宋体"/>
                <w:sz w:val="16"/>
              </w:rPr>
              <w:t>10.00分</w:t>
            </w:r>
          </w:p>
        </w:tc>
      </w:tr>
      <w:tr w14:paraId="2326B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876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F85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0812F">
            <w:pPr>
              <w:jc w:val="center"/>
            </w:pPr>
            <w:r>
              <w:rPr>
                <w:rFonts w:ascii="宋体" w:hAnsi="宋体" w:eastAsia="宋体"/>
                <w:sz w:val="16"/>
              </w:rPr>
              <w:t>345.00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66019">
            <w:pPr>
              <w:jc w:val="center"/>
            </w:pPr>
            <w:r>
              <w:rPr>
                <w:rFonts w:ascii="宋体" w:hAnsi="宋体" w:eastAsia="宋体"/>
                <w:sz w:val="16"/>
              </w:rPr>
              <w:t>403.04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CA232">
            <w:pPr>
              <w:jc w:val="center"/>
            </w:pPr>
            <w:r>
              <w:rPr>
                <w:rFonts w:ascii="宋体" w:hAnsi="宋体" w:eastAsia="宋体"/>
                <w:sz w:val="16"/>
              </w:rPr>
              <w:t>403.04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595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892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6FFD">
            <w:pPr>
              <w:jc w:val="center"/>
            </w:pPr>
            <w:r>
              <w:rPr>
                <w:rFonts w:ascii="宋体" w:hAnsi="宋体" w:eastAsia="宋体"/>
                <w:sz w:val="16"/>
              </w:rPr>
              <w:t>—</w:t>
            </w:r>
          </w:p>
        </w:tc>
      </w:tr>
      <w:tr w14:paraId="23CE0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260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17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D47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02A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657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61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A9A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2809">
            <w:pPr>
              <w:jc w:val="center"/>
            </w:pPr>
            <w:r>
              <w:rPr>
                <w:rFonts w:ascii="宋体" w:hAnsi="宋体" w:eastAsia="宋体"/>
                <w:sz w:val="16"/>
              </w:rPr>
              <w:t>—</w:t>
            </w:r>
          </w:p>
        </w:tc>
      </w:tr>
      <w:tr w14:paraId="12A93A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6C0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13A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049601">
            <w:pPr>
              <w:jc w:val="center"/>
            </w:pPr>
            <w:r>
              <w:rPr>
                <w:rFonts w:ascii="宋体" w:hAnsi="宋体" w:eastAsia="宋体"/>
                <w:sz w:val="16"/>
              </w:rPr>
              <w:t>实际完成情况</w:t>
            </w:r>
          </w:p>
        </w:tc>
      </w:tr>
      <w:tr w14:paraId="161E3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3DE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5AC975">
            <w:pPr>
              <w:jc w:val="both"/>
            </w:pPr>
            <w:r>
              <w:rPr>
                <w:rFonts w:ascii="宋体" w:hAnsi="宋体" w:eastAsia="宋体"/>
                <w:sz w:val="16"/>
              </w:rPr>
              <w:t>项目计划投资403.04万元，主要实施内容为疏勒县消防救援大队消防业务经费项目124.98万元，项目包含全年维修（护）费、水电费、其他商品和服务支出、其他支出等；社会面消防大队50名辅助类消防员工资、公积金、社会保险费共144.07万元；疏勒县消防救援大队全体消防员50人发放消防队伍高危补助经费，每人每月按500元发放标准，全年高危补助款19.25万元；疏勒县消防救援大队50名消防员全年伙食费40.93万元；疏勒县消防救援大队42名地方政府专职消防员及2名事业编文员共44人，按照发放标准65元/天/人*30天/月*44人*12个月，计划发放73.81万元。预计项目实施后，有效提高执行救灾任务的效果，有效减少财产损失，保护群众利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2E9EE2">
            <w:pPr>
              <w:jc w:val="both"/>
            </w:pPr>
            <w:r>
              <w:rPr>
                <w:rFonts w:ascii="宋体" w:hAnsi="宋体" w:eastAsia="宋体"/>
                <w:sz w:val="16"/>
              </w:rPr>
              <w:t>截至2024年12月31日，项目总投资403.04万元，其中：消防业务经费项目已使用124.98万元，社会面消防大队43名辅助类消防员工资、公积金、社会保险费已发放144.07万元，高危补助经费19.25万元，伙食费已发放40.93万元，执勤补贴已发放73.81万元。并完成出警任务数150余次，已履行政府公共职责，执行救灾任务，通过项目的实施有效减少财产损失，保护群众利益。通过项目的实施有效减少财产损失，保护群众利益，</w:t>
            </w:r>
            <w:r>
              <w:rPr>
                <w:rFonts w:hint="eastAsia" w:ascii="宋体" w:hAnsi="宋体"/>
                <w:sz w:val="16"/>
                <w:lang w:eastAsia="zh-CN"/>
              </w:rPr>
              <w:t>以</w:t>
            </w:r>
            <w:r>
              <w:rPr>
                <w:rFonts w:ascii="宋体" w:hAnsi="宋体" w:eastAsia="宋体"/>
                <w:sz w:val="16"/>
              </w:rPr>
              <w:t>履行政府公共职责，执行救灾任务。</w:t>
            </w:r>
          </w:p>
        </w:tc>
      </w:tr>
      <w:tr w14:paraId="58323D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C0F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CA3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3C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C2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B2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CE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7B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7B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E1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DC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E4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1B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B544A">
            <w:pPr>
              <w:jc w:val="center"/>
            </w:pPr>
            <w:r>
              <w:rPr>
                <w:rFonts w:ascii="宋体" w:hAnsi="宋体" w:eastAsia="宋体"/>
                <w:sz w:val="16"/>
              </w:rPr>
              <w:t>偏差原因分析及改进措施</w:t>
            </w:r>
          </w:p>
        </w:tc>
      </w:tr>
      <w:tr w14:paraId="33286D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F35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A67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FC4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42DD">
            <w:pPr>
              <w:jc w:val="center"/>
            </w:pPr>
            <w:r>
              <w:rPr>
                <w:rFonts w:ascii="宋体" w:hAnsi="宋体" w:eastAsia="宋体"/>
                <w:sz w:val="16"/>
              </w:rPr>
              <w:t>保障人员数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0716">
            <w:pPr>
              <w:jc w:val="center"/>
            </w:pPr>
            <w:r>
              <w:rPr>
                <w:rFonts w:ascii="宋体" w:hAnsi="宋体" w:eastAsia="宋体"/>
                <w:sz w:val="16"/>
              </w:rPr>
              <w:t>&gt;=43人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B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C7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D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4E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4E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FD6E">
            <w:pPr>
              <w:jc w:val="center"/>
            </w:pPr>
            <w:r>
              <w:rPr>
                <w:rFonts w:ascii="宋体" w:hAnsi="宋体" w:eastAsia="宋体"/>
                <w:sz w:val="16"/>
              </w:rPr>
              <w:t>=43人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0A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12D81">
            <w:pPr>
              <w:jc w:val="center"/>
            </w:pPr>
          </w:p>
        </w:tc>
      </w:tr>
      <w:tr w14:paraId="118EB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08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D5F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A7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DB90">
            <w:pPr>
              <w:jc w:val="center"/>
            </w:pPr>
            <w:r>
              <w:rPr>
                <w:rFonts w:ascii="宋体" w:hAnsi="宋体" w:eastAsia="宋体"/>
                <w:sz w:val="16"/>
              </w:rPr>
              <w:t>出警任务数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7FDD">
            <w:pPr>
              <w:jc w:val="center"/>
            </w:pPr>
            <w:r>
              <w:rPr>
                <w:rFonts w:ascii="宋体" w:hAnsi="宋体" w:eastAsia="宋体"/>
                <w:sz w:val="16"/>
              </w:rPr>
              <w:t>&gt;=162次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68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8F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DC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34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5E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649B">
            <w:pPr>
              <w:jc w:val="center"/>
            </w:pPr>
            <w:r>
              <w:rPr>
                <w:rFonts w:ascii="宋体" w:hAnsi="宋体" w:eastAsia="宋体"/>
                <w:sz w:val="16"/>
              </w:rPr>
              <w:t>=162次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BC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194F5">
            <w:pPr>
              <w:jc w:val="center"/>
            </w:pPr>
          </w:p>
        </w:tc>
      </w:tr>
      <w:tr w14:paraId="1B5A5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89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610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406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1183">
            <w:pPr>
              <w:jc w:val="center"/>
            </w:pPr>
            <w:r>
              <w:rPr>
                <w:rFonts w:ascii="宋体" w:hAnsi="宋体" w:eastAsia="宋体"/>
                <w:sz w:val="16"/>
              </w:rPr>
              <w:t>高危补贴发放月数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B980">
            <w:pPr>
              <w:jc w:val="center"/>
            </w:pPr>
            <w:r>
              <w:rPr>
                <w:rFonts w:ascii="宋体" w:hAnsi="宋体" w:eastAsia="宋体"/>
                <w:sz w:val="16"/>
              </w:rPr>
              <w:t>=9个月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E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C0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3E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8D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D1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4CAC">
            <w:pPr>
              <w:jc w:val="center"/>
            </w:pPr>
            <w:r>
              <w:rPr>
                <w:rFonts w:ascii="宋体" w:hAnsi="宋体" w:eastAsia="宋体"/>
                <w:sz w:val="16"/>
              </w:rPr>
              <w:t>=9个月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D0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13266">
            <w:pPr>
              <w:jc w:val="center"/>
            </w:pPr>
          </w:p>
        </w:tc>
      </w:tr>
      <w:tr w14:paraId="1B587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E85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E2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36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F7AE">
            <w:pPr>
              <w:jc w:val="center"/>
            </w:pPr>
            <w:r>
              <w:rPr>
                <w:rFonts w:ascii="宋体" w:hAnsi="宋体" w:eastAsia="宋体"/>
                <w:sz w:val="16"/>
              </w:rPr>
              <w:t>培训考核合格率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14E4">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A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F3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E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75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FD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C7EF">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78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DEBD">
            <w:pPr>
              <w:jc w:val="center"/>
            </w:pPr>
          </w:p>
        </w:tc>
      </w:tr>
      <w:tr w14:paraId="6D613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03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D6E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9B0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E664">
            <w:pPr>
              <w:jc w:val="center"/>
            </w:pPr>
            <w:r>
              <w:rPr>
                <w:rFonts w:ascii="宋体" w:hAnsi="宋体" w:eastAsia="宋体"/>
                <w:sz w:val="16"/>
              </w:rPr>
              <w:t>出警及时率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2D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E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F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63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20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C0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0D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1D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573F1">
            <w:pPr>
              <w:jc w:val="center"/>
            </w:pPr>
          </w:p>
        </w:tc>
      </w:tr>
      <w:tr w14:paraId="55979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60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AA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70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901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346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F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DC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6F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0B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861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C9B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AC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EB35">
            <w:pPr>
              <w:jc w:val="center"/>
            </w:pPr>
          </w:p>
        </w:tc>
      </w:tr>
      <w:tr w14:paraId="4AD77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681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2989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6F5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D0E5">
            <w:pPr>
              <w:jc w:val="center"/>
            </w:pPr>
            <w:r>
              <w:rPr>
                <w:rFonts w:ascii="宋体" w:hAnsi="宋体" w:eastAsia="宋体"/>
                <w:sz w:val="16"/>
              </w:rPr>
              <w:t>业务经费支出成本控制数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2A6D">
            <w:pPr>
              <w:jc w:val="center"/>
            </w:pPr>
            <w:r>
              <w:rPr>
                <w:rFonts w:ascii="宋体" w:hAnsi="宋体" w:eastAsia="宋体"/>
                <w:sz w:val="16"/>
              </w:rPr>
              <w:t>&lt;=124.98万元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E3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FB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CF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49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DEA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CBA3">
            <w:pPr>
              <w:jc w:val="center"/>
            </w:pPr>
            <w:r>
              <w:rPr>
                <w:rFonts w:ascii="宋体" w:hAnsi="宋体" w:eastAsia="宋体"/>
                <w:sz w:val="16"/>
              </w:rPr>
              <w:t>=124.98万元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0C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93E7F">
            <w:pPr>
              <w:jc w:val="center"/>
            </w:pPr>
          </w:p>
        </w:tc>
      </w:tr>
      <w:tr w14:paraId="281F1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38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2D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7D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06C9">
            <w:pPr>
              <w:jc w:val="center"/>
            </w:pPr>
            <w:r>
              <w:rPr>
                <w:rFonts w:ascii="宋体" w:hAnsi="宋体" w:eastAsia="宋体"/>
                <w:sz w:val="16"/>
              </w:rPr>
              <w:t>人员工资及社保成本控制数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F6F6">
            <w:pPr>
              <w:jc w:val="center"/>
            </w:pPr>
            <w:r>
              <w:rPr>
                <w:rFonts w:ascii="宋体" w:hAnsi="宋体" w:eastAsia="宋体"/>
                <w:sz w:val="16"/>
              </w:rPr>
              <w:t>&lt;=144.07万元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5D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E0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4E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7B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911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47AD">
            <w:pPr>
              <w:jc w:val="center"/>
            </w:pPr>
            <w:r>
              <w:rPr>
                <w:rFonts w:ascii="宋体" w:hAnsi="宋体" w:eastAsia="宋体"/>
                <w:sz w:val="16"/>
              </w:rPr>
              <w:t>=144.07万元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294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CD477">
            <w:pPr>
              <w:jc w:val="center"/>
            </w:pPr>
          </w:p>
        </w:tc>
      </w:tr>
      <w:tr w14:paraId="6226F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CF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76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E8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1EC9">
            <w:pPr>
              <w:jc w:val="center"/>
            </w:pPr>
            <w:r>
              <w:rPr>
                <w:rFonts w:ascii="宋体" w:hAnsi="宋体" w:eastAsia="宋体"/>
                <w:sz w:val="16"/>
              </w:rPr>
              <w:t>高危补助经费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967F">
            <w:pPr>
              <w:jc w:val="center"/>
            </w:pPr>
            <w:r>
              <w:rPr>
                <w:rFonts w:ascii="宋体" w:hAnsi="宋体" w:eastAsia="宋体"/>
                <w:sz w:val="16"/>
              </w:rPr>
              <w:t>&lt;=19.25万元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D2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E0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656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9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E62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A9FB">
            <w:pPr>
              <w:jc w:val="center"/>
            </w:pPr>
            <w:r>
              <w:rPr>
                <w:rFonts w:ascii="宋体" w:hAnsi="宋体" w:eastAsia="宋体"/>
                <w:sz w:val="16"/>
              </w:rPr>
              <w:t>=19.25万元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3D1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D4561">
            <w:pPr>
              <w:jc w:val="center"/>
            </w:pPr>
          </w:p>
        </w:tc>
      </w:tr>
      <w:tr w14:paraId="4EEC1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68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E4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C0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533E">
            <w:pPr>
              <w:jc w:val="center"/>
            </w:pPr>
            <w:r>
              <w:rPr>
                <w:rFonts w:ascii="宋体" w:hAnsi="宋体" w:eastAsia="宋体"/>
                <w:sz w:val="16"/>
              </w:rPr>
              <w:t>伙食费支出成本控制数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F024">
            <w:pPr>
              <w:jc w:val="center"/>
            </w:pPr>
            <w:r>
              <w:rPr>
                <w:rFonts w:ascii="宋体" w:hAnsi="宋体" w:eastAsia="宋体"/>
                <w:sz w:val="16"/>
              </w:rPr>
              <w:t>&lt;=40.93万元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07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BB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DFC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E8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265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0EE2">
            <w:pPr>
              <w:jc w:val="center"/>
            </w:pPr>
            <w:r>
              <w:rPr>
                <w:rFonts w:ascii="宋体" w:hAnsi="宋体" w:eastAsia="宋体"/>
                <w:sz w:val="16"/>
              </w:rPr>
              <w:t>=40.93万元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830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284CC">
            <w:pPr>
              <w:jc w:val="center"/>
            </w:pPr>
          </w:p>
        </w:tc>
      </w:tr>
      <w:tr w14:paraId="77051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3F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FB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27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434B">
            <w:pPr>
              <w:jc w:val="center"/>
            </w:pPr>
            <w:r>
              <w:rPr>
                <w:rFonts w:ascii="宋体" w:hAnsi="宋体" w:eastAsia="宋体"/>
                <w:sz w:val="16"/>
              </w:rPr>
              <w:t>执勤补贴经费支出成本控制数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AEC0">
            <w:pPr>
              <w:jc w:val="center"/>
            </w:pPr>
            <w:r>
              <w:rPr>
                <w:rFonts w:ascii="宋体" w:hAnsi="宋体" w:eastAsia="宋体"/>
                <w:sz w:val="16"/>
              </w:rPr>
              <w:t>&lt;=73.81万元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32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F1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62B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AC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A88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D447">
            <w:pPr>
              <w:jc w:val="center"/>
            </w:pPr>
            <w:r>
              <w:rPr>
                <w:rFonts w:ascii="宋体" w:hAnsi="宋体" w:eastAsia="宋体"/>
                <w:sz w:val="16"/>
              </w:rPr>
              <w:t>=73.81万元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6FA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A8C08">
            <w:pPr>
              <w:jc w:val="center"/>
            </w:pPr>
          </w:p>
        </w:tc>
      </w:tr>
      <w:tr w14:paraId="1A9F6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BFD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3211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079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6A53">
            <w:pPr>
              <w:jc w:val="center"/>
            </w:pPr>
            <w:r>
              <w:rPr>
                <w:rFonts w:ascii="宋体" w:hAnsi="宋体" w:eastAsia="宋体"/>
                <w:sz w:val="16"/>
              </w:rPr>
              <w:t>履行政府公共职责，执行救灾任务的效果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9B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45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C2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0A0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90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A2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180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955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E1E07">
            <w:pPr>
              <w:jc w:val="center"/>
            </w:pPr>
          </w:p>
        </w:tc>
      </w:tr>
      <w:tr w14:paraId="5D715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1F4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38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B4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EF12">
            <w:pPr>
              <w:jc w:val="center"/>
            </w:pPr>
            <w:r>
              <w:rPr>
                <w:rFonts w:ascii="宋体" w:hAnsi="宋体" w:eastAsia="宋体"/>
                <w:sz w:val="16"/>
              </w:rPr>
              <w:t>减少财产损失，保护群众利益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C704">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2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7B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811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33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55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61F4">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C37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FA811">
            <w:pPr>
              <w:jc w:val="center"/>
            </w:pPr>
          </w:p>
        </w:tc>
      </w:tr>
      <w:tr w14:paraId="7DADFFF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9C3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93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0F7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CB8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35D87F"/>
        </w:tc>
      </w:tr>
    </w:tbl>
    <w:p w14:paraId="55EE6806">
      <w:r>
        <w:br w:type="page"/>
      </w:r>
    </w:p>
    <w:p w14:paraId="562B5BC7">
      <w:pPr>
        <w:spacing w:line="640" w:lineRule="exact"/>
        <w:ind w:firstLine="640"/>
        <w:jc w:val="both"/>
        <w:outlineLvl w:val="2"/>
      </w:pPr>
      <w:r>
        <w:rPr>
          <w:rFonts w:ascii="黑体" w:hAnsi="黑体" w:eastAsia="黑体"/>
          <w:sz w:val="32"/>
        </w:rPr>
        <w:t>十二、其他需说明的事项</w:t>
      </w:r>
    </w:p>
    <w:p w14:paraId="78CC91C9">
      <w:pPr>
        <w:spacing w:line="580" w:lineRule="exact"/>
        <w:ind w:firstLine="640"/>
        <w:jc w:val="both"/>
      </w:pPr>
      <w:r>
        <w:rPr>
          <w:rFonts w:ascii="仿宋_GB2312" w:hAnsi="仿宋_GB2312" w:eastAsia="仿宋_GB2312"/>
          <w:b w:val="0"/>
          <w:sz w:val="32"/>
        </w:rPr>
        <w:t>本单位无其他需说明的事项。</w:t>
      </w:r>
    </w:p>
    <w:p w14:paraId="28360247">
      <w:r>
        <w:br w:type="page"/>
      </w:r>
    </w:p>
    <w:p w14:paraId="675978E4">
      <w:pPr>
        <w:spacing w:line="240" w:lineRule="auto"/>
        <w:jc w:val="center"/>
        <w:outlineLvl w:val="1"/>
      </w:pPr>
      <w:r>
        <w:rPr>
          <w:rFonts w:ascii="黑体" w:hAnsi="黑体" w:eastAsia="黑体"/>
          <w:sz w:val="32"/>
        </w:rPr>
        <w:t>第三部分 专业名词解释</w:t>
      </w:r>
    </w:p>
    <w:p w14:paraId="127C627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D3B72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5E9B3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F1AE1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50ACF3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72AE2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3E807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9B3676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C9E3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7F0347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20219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C9497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08328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14F92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A95E47">
      <w:r>
        <w:br w:type="page"/>
      </w:r>
    </w:p>
    <w:p w14:paraId="1F17381E">
      <w:pPr>
        <w:spacing w:line="240" w:lineRule="auto"/>
        <w:jc w:val="center"/>
        <w:outlineLvl w:val="1"/>
      </w:pPr>
      <w:r>
        <w:rPr>
          <w:rFonts w:ascii="黑体" w:hAnsi="黑体" w:eastAsia="黑体"/>
          <w:sz w:val="32"/>
        </w:rPr>
        <w:t>第四部分 部门决算报表（见附表）</w:t>
      </w:r>
    </w:p>
    <w:p w14:paraId="4241173C">
      <w:pPr>
        <w:spacing w:line="240" w:lineRule="auto"/>
        <w:ind w:firstLine="640"/>
        <w:jc w:val="both"/>
      </w:pPr>
      <w:r>
        <w:rPr>
          <w:rFonts w:ascii="仿宋_GB2312" w:hAnsi="仿宋_GB2312" w:eastAsia="仿宋_GB2312"/>
          <w:b w:val="0"/>
          <w:sz w:val="32"/>
        </w:rPr>
        <w:t>一、《收入支出决算总表》</w:t>
      </w:r>
    </w:p>
    <w:p w14:paraId="33D9135F">
      <w:pPr>
        <w:spacing w:line="240" w:lineRule="auto"/>
        <w:ind w:firstLine="640"/>
        <w:jc w:val="both"/>
      </w:pPr>
      <w:r>
        <w:rPr>
          <w:rFonts w:ascii="仿宋_GB2312" w:hAnsi="仿宋_GB2312" w:eastAsia="仿宋_GB2312"/>
          <w:b w:val="0"/>
          <w:sz w:val="32"/>
        </w:rPr>
        <w:t>二、《收入决算表》</w:t>
      </w:r>
    </w:p>
    <w:p w14:paraId="14236C29">
      <w:pPr>
        <w:spacing w:line="240" w:lineRule="auto"/>
        <w:ind w:firstLine="640"/>
        <w:jc w:val="both"/>
      </w:pPr>
      <w:r>
        <w:rPr>
          <w:rFonts w:ascii="仿宋_GB2312" w:hAnsi="仿宋_GB2312" w:eastAsia="仿宋_GB2312"/>
          <w:b w:val="0"/>
          <w:sz w:val="32"/>
        </w:rPr>
        <w:t>三、《支出决算表》</w:t>
      </w:r>
    </w:p>
    <w:p w14:paraId="0813C6B1">
      <w:pPr>
        <w:spacing w:line="240" w:lineRule="auto"/>
        <w:ind w:firstLine="640"/>
        <w:jc w:val="both"/>
      </w:pPr>
      <w:r>
        <w:rPr>
          <w:rFonts w:ascii="仿宋_GB2312" w:hAnsi="仿宋_GB2312" w:eastAsia="仿宋_GB2312"/>
          <w:b w:val="0"/>
          <w:sz w:val="32"/>
        </w:rPr>
        <w:t>四、《财政拨款收入支出决算总表》</w:t>
      </w:r>
    </w:p>
    <w:p w14:paraId="781ED79C">
      <w:pPr>
        <w:spacing w:line="240" w:lineRule="auto"/>
        <w:ind w:firstLine="640"/>
        <w:jc w:val="both"/>
      </w:pPr>
      <w:r>
        <w:rPr>
          <w:rFonts w:ascii="仿宋_GB2312" w:hAnsi="仿宋_GB2312" w:eastAsia="仿宋_GB2312"/>
          <w:b w:val="0"/>
          <w:sz w:val="32"/>
        </w:rPr>
        <w:t>五、《一般公共预算财政拨款支出决算表》</w:t>
      </w:r>
    </w:p>
    <w:p w14:paraId="0DFFEB1D">
      <w:pPr>
        <w:spacing w:line="240" w:lineRule="auto"/>
        <w:ind w:firstLine="640"/>
        <w:jc w:val="both"/>
      </w:pPr>
      <w:r>
        <w:rPr>
          <w:rFonts w:ascii="仿宋_GB2312" w:hAnsi="仿宋_GB2312" w:eastAsia="仿宋_GB2312"/>
          <w:b w:val="0"/>
          <w:sz w:val="32"/>
        </w:rPr>
        <w:t>六、《一般公共预算财政拨款基本支出决算表》</w:t>
      </w:r>
    </w:p>
    <w:p w14:paraId="2AD7B24B">
      <w:pPr>
        <w:spacing w:line="240" w:lineRule="auto"/>
        <w:ind w:firstLine="640"/>
        <w:jc w:val="both"/>
      </w:pPr>
      <w:r>
        <w:rPr>
          <w:rFonts w:ascii="仿宋_GB2312" w:hAnsi="仿宋_GB2312" w:eastAsia="仿宋_GB2312"/>
          <w:b w:val="0"/>
          <w:sz w:val="32"/>
        </w:rPr>
        <w:t>七、《政府性基金预算财政拨款收入支出决算表》</w:t>
      </w:r>
    </w:p>
    <w:p w14:paraId="6786113E">
      <w:pPr>
        <w:spacing w:line="240" w:lineRule="auto"/>
        <w:ind w:firstLine="640"/>
        <w:jc w:val="both"/>
      </w:pPr>
      <w:r>
        <w:rPr>
          <w:rFonts w:ascii="仿宋_GB2312" w:hAnsi="仿宋_GB2312" w:eastAsia="仿宋_GB2312"/>
          <w:b w:val="0"/>
          <w:sz w:val="32"/>
        </w:rPr>
        <w:t>八、《国有资本经营预算财政拨款收入支出决算表》</w:t>
      </w:r>
    </w:p>
    <w:p w14:paraId="6CC819D2">
      <w:pPr>
        <w:spacing w:line="240" w:lineRule="auto"/>
        <w:ind w:firstLine="640"/>
        <w:jc w:val="both"/>
      </w:pPr>
      <w:r>
        <w:rPr>
          <w:rFonts w:ascii="仿宋_GB2312" w:hAnsi="仿宋_GB2312" w:eastAsia="仿宋_GB2312"/>
          <w:b w:val="0"/>
          <w:sz w:val="32"/>
        </w:rPr>
        <w:t>九、《财政拨款“三公”经费支出决算表》</w:t>
      </w:r>
    </w:p>
    <w:p w14:paraId="6FB083A7">
      <w:pPr>
        <w:spacing w:line="240" w:lineRule="auto"/>
        <w:ind w:firstLine="640"/>
        <w:jc w:val="both"/>
      </w:pPr>
    </w:p>
    <w:p w14:paraId="1AF06907">
      <w:pPr>
        <w:spacing w:line="240" w:lineRule="auto"/>
        <w:ind w:firstLine="640"/>
        <w:jc w:val="both"/>
      </w:pPr>
    </w:p>
    <w:p w14:paraId="63D20F83">
      <w:pPr>
        <w:spacing w:line="240" w:lineRule="auto"/>
        <w:ind w:firstLine="640"/>
        <w:jc w:val="both"/>
      </w:pPr>
    </w:p>
    <w:p w14:paraId="5244FDE0">
      <w:pPr>
        <w:spacing w:line="240" w:lineRule="auto"/>
        <w:ind w:firstLine="640"/>
        <w:jc w:val="both"/>
      </w:pPr>
    </w:p>
    <w:p w14:paraId="5462AE6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48B350-6E1C-488F-9B8B-E7D11539BE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CED6E301-C55D-463B-AE80-87EAF315B0D1}"/>
  </w:font>
  <w:font w:name="楷体_GB2312">
    <w:panose1 w:val="02010609030101010101"/>
    <w:charset w:val="86"/>
    <w:family w:val="auto"/>
    <w:pitch w:val="default"/>
    <w:sig w:usb0="00000001" w:usb1="080E0000" w:usb2="00000000" w:usb3="00000000" w:csb0="00040000" w:csb1="00000000"/>
    <w:embedRegular r:id="rId3" w:fontKey="{B5C57D14-AE1B-4C72-AFE6-70D968FE2321}"/>
  </w:font>
  <w:font w:name="方正小标宋_GBK">
    <w:panose1 w:val="02000000000000000000"/>
    <w:charset w:val="86"/>
    <w:family w:val="script"/>
    <w:pitch w:val="default"/>
    <w:sig w:usb0="A00002BF" w:usb1="38CF7CFA" w:usb2="00082016" w:usb3="00000000" w:csb0="00040001" w:csb1="00000000"/>
    <w:embedRegular r:id="rId4" w:fontKey="{D250B55E-3893-4DEA-AA1D-28FDB4CBEA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FC20EB"/>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A0146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4657</Words>
  <Characters>5384</Characters>
  <Lines>0</Lines>
  <Paragraphs>0</Paragraphs>
  <TotalTime>5</TotalTime>
  <ScaleCrop>false</ScaleCrop>
  <LinksUpToDate>false</LinksUpToDate>
  <CharactersWithSpaces>5392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