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疏勒县行政服务中心2024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CB989B3">
      <w:r>
        <w:br w:type="page"/>
      </w:r>
    </w:p>
    <w:p w14:paraId="416726E5">
      <w:pPr>
        <w:spacing w:line="640" w:lineRule="exact"/>
        <w:jc w:val="center"/>
        <w:outlineLvl w:val="1"/>
      </w:pPr>
      <w:r>
        <w:rPr>
          <w:rFonts w:ascii="黑体" w:hAnsi="黑体" w:eastAsia="黑体"/>
          <w:sz w:val="32"/>
        </w:rPr>
        <w:t>第一部分 单位概况</w:t>
      </w:r>
    </w:p>
    <w:p w14:paraId="2A8CAC24">
      <w:pPr>
        <w:spacing w:line="640" w:lineRule="exact"/>
        <w:ind w:firstLine="640"/>
        <w:jc w:val="both"/>
        <w:outlineLvl w:val="2"/>
      </w:pPr>
      <w:r>
        <w:rPr>
          <w:rFonts w:ascii="黑体" w:hAnsi="黑体" w:eastAsia="黑体"/>
          <w:sz w:val="32"/>
        </w:rPr>
        <w:t>一、主要职能</w:t>
      </w:r>
    </w:p>
    <w:p w14:paraId="097727A9">
      <w:pPr>
        <w:spacing w:line="580" w:lineRule="exact"/>
        <w:ind w:firstLine="640"/>
        <w:jc w:val="both"/>
      </w:pPr>
      <w:r>
        <w:rPr>
          <w:rFonts w:ascii="仿宋_GB2312" w:hAnsi="仿宋_GB2312" w:eastAsia="仿宋_GB2312"/>
          <w:sz w:val="32"/>
        </w:rPr>
        <w:t>（1）贯彻执行党和国家、自治区和地区政务服务方面的法律法规和方针政策。</w:t>
      </w:r>
    </w:p>
    <w:p w14:paraId="532084F0">
      <w:pPr>
        <w:spacing w:line="580" w:lineRule="exact"/>
        <w:ind w:firstLine="640"/>
        <w:jc w:val="both"/>
      </w:pPr>
      <w:r>
        <w:rPr>
          <w:rFonts w:ascii="仿宋_GB2312" w:hAnsi="仿宋_GB2312" w:eastAsia="仿宋_GB2312"/>
          <w:sz w:val="32"/>
        </w:rPr>
        <w:t>（2）负责制定行政服务中心的各项规章制度、管理办法，并组织实施，落实国家、自治区、地区“”改革、优化营商环境相关政策措施。</w:t>
      </w:r>
    </w:p>
    <w:p w14:paraId="513F2D47">
      <w:pPr>
        <w:spacing w:line="580" w:lineRule="exact"/>
        <w:ind w:firstLine="640"/>
        <w:jc w:val="both"/>
      </w:pPr>
      <w:r>
        <w:rPr>
          <w:rFonts w:ascii="仿宋_GB2312" w:hAnsi="仿宋_GB2312" w:eastAsia="仿宋_GB2312"/>
          <w:sz w:val="32"/>
        </w:rPr>
        <w:t>（3）负责对服务窗口工作人员的管理，提出考核评价建议。</w:t>
      </w:r>
    </w:p>
    <w:p w14:paraId="5E8B19EC">
      <w:pPr>
        <w:spacing w:line="580" w:lineRule="exact"/>
        <w:ind w:firstLine="640"/>
        <w:jc w:val="both"/>
      </w:pPr>
      <w:r>
        <w:rPr>
          <w:rFonts w:ascii="仿宋_GB2312" w:hAnsi="仿宋_GB2312" w:eastAsia="仿宋_GB2312"/>
          <w:sz w:val="32"/>
        </w:rPr>
        <w:t>（4）督促行政服务大厅进驻单位为企业和群众提供规范、透明、高效、优质服务：提供相关的政策咨询、办事指引，受理服务对象对窗口服务的投诉，接受有关建议。</w:t>
      </w:r>
    </w:p>
    <w:p w14:paraId="66609745">
      <w:pPr>
        <w:spacing w:line="580" w:lineRule="exact"/>
        <w:ind w:firstLine="640"/>
        <w:jc w:val="both"/>
      </w:pPr>
      <w:r>
        <w:rPr>
          <w:rFonts w:ascii="仿宋_GB2312" w:hAnsi="仿宋_GB2312" w:eastAsia="仿宋_GB2312"/>
          <w:sz w:val="32"/>
        </w:rPr>
        <w:t>（5）完成县委、县人民政府交办的其他事项。</w:t>
      </w:r>
    </w:p>
    <w:p w14:paraId="28AD51E2">
      <w:pPr>
        <w:spacing w:line="640" w:lineRule="exact"/>
        <w:ind w:firstLine="640"/>
        <w:jc w:val="both"/>
        <w:outlineLvl w:val="2"/>
      </w:pPr>
      <w:r>
        <w:rPr>
          <w:rFonts w:ascii="黑体" w:hAnsi="黑体" w:eastAsia="黑体"/>
          <w:sz w:val="32"/>
        </w:rPr>
        <w:t>二、机构设置及人员情况</w:t>
      </w:r>
    </w:p>
    <w:p w14:paraId="4F8B1FA2">
      <w:pPr>
        <w:spacing w:line="580" w:lineRule="exact"/>
        <w:ind w:firstLine="640"/>
        <w:jc w:val="both"/>
      </w:pPr>
      <w:r>
        <w:rPr>
          <w:rFonts w:ascii="仿宋_GB2312" w:hAnsi="仿宋_GB2312" w:eastAsia="仿宋_GB2312"/>
          <w:sz w:val="32"/>
        </w:rPr>
        <w:t>疏勒县行政服务中心2024年度，实有人数8人，其中：在职人员7人，减少2人；离休人员0人，增加0人；退休人员1人,增加0人。</w:t>
      </w:r>
    </w:p>
    <w:p w14:paraId="13C5A876">
      <w:pPr>
        <w:spacing w:line="580" w:lineRule="exact"/>
        <w:ind w:firstLine="640"/>
        <w:jc w:val="both"/>
      </w:pPr>
      <w:r>
        <w:rPr>
          <w:rFonts w:ascii="仿宋_GB2312" w:hAnsi="仿宋_GB2312" w:eastAsia="仿宋_GB2312"/>
          <w:sz w:val="32"/>
        </w:rPr>
        <w:t>疏勒县行政服务中心无下属预算单位，下设2个科室，分别是：综合办公室、12345热线办公室。</w:t>
      </w:r>
    </w:p>
    <w:p w14:paraId="65A8D5C3">
      <w:r>
        <w:br w:type="page"/>
      </w:r>
    </w:p>
    <w:p w14:paraId="0EB7528C">
      <w:pPr>
        <w:spacing w:line="240" w:lineRule="auto"/>
        <w:jc w:val="center"/>
        <w:outlineLvl w:val="1"/>
      </w:pPr>
      <w:r>
        <w:rPr>
          <w:rFonts w:ascii="黑体" w:hAnsi="黑体" w:eastAsia="黑体"/>
          <w:sz w:val="32"/>
        </w:rPr>
        <w:t>第二部分 部门决算情况说明</w:t>
      </w:r>
    </w:p>
    <w:p w14:paraId="1F9C3075">
      <w:pPr>
        <w:spacing w:line="640" w:lineRule="exact"/>
        <w:ind w:firstLine="640"/>
        <w:jc w:val="both"/>
        <w:outlineLvl w:val="2"/>
      </w:pPr>
      <w:r>
        <w:rPr>
          <w:rFonts w:ascii="黑体" w:hAnsi="黑体" w:eastAsia="黑体"/>
          <w:sz w:val="32"/>
        </w:rPr>
        <w:t>一、收入支出决算总体情况说明</w:t>
      </w:r>
    </w:p>
    <w:p w14:paraId="076984E5">
      <w:pPr>
        <w:spacing w:line="580" w:lineRule="exact"/>
        <w:ind w:firstLine="640"/>
        <w:jc w:val="both"/>
      </w:pPr>
      <w:r>
        <w:rPr>
          <w:rFonts w:ascii="仿宋_GB2312" w:hAnsi="仿宋_GB2312" w:eastAsia="仿宋_GB2312"/>
          <w:b/>
          <w:sz w:val="32"/>
        </w:rPr>
        <w:t>2024年度收入总计251.03万元，</w:t>
      </w:r>
      <w:r>
        <w:rPr>
          <w:rFonts w:ascii="仿宋_GB2312" w:hAnsi="仿宋_GB2312" w:eastAsia="仿宋_GB2312"/>
          <w:b w:val="0"/>
          <w:sz w:val="32"/>
        </w:rPr>
        <w:t>其中：本年收入合计251.03万元，使用非财政拨款结余（含专用结余）0.00万元，年初结转和结余0.00万元。</w:t>
      </w:r>
    </w:p>
    <w:p w14:paraId="6633B18A">
      <w:pPr>
        <w:spacing w:line="580" w:lineRule="exact"/>
        <w:ind w:firstLine="640"/>
        <w:jc w:val="both"/>
      </w:pPr>
      <w:r>
        <w:rPr>
          <w:rFonts w:ascii="仿宋_GB2312" w:hAnsi="仿宋_GB2312" w:eastAsia="仿宋_GB2312"/>
          <w:b/>
          <w:sz w:val="32"/>
        </w:rPr>
        <w:t>2024年度支出总计251.03万元，</w:t>
      </w:r>
      <w:r>
        <w:rPr>
          <w:rFonts w:ascii="仿宋_GB2312" w:hAnsi="仿宋_GB2312" w:eastAsia="仿宋_GB2312"/>
          <w:b w:val="0"/>
          <w:sz w:val="32"/>
        </w:rPr>
        <w:t>其中：本年支出合计251.03万元，结余分配0.00万元，年末结转和结余0.00万元。</w:t>
      </w:r>
    </w:p>
    <w:p w14:paraId="01093AAA">
      <w:pPr>
        <w:spacing w:line="580" w:lineRule="exact"/>
        <w:ind w:firstLine="640"/>
        <w:jc w:val="both"/>
      </w:pPr>
      <w:r>
        <w:rPr>
          <w:rFonts w:ascii="仿宋_GB2312" w:hAnsi="仿宋_GB2312" w:eastAsia="仿宋_GB2312"/>
          <w:b w:val="0"/>
          <w:sz w:val="32"/>
        </w:rPr>
        <w:t>收入支出总体与上年相比，减少346.74万元，下降58.01%，主要原因是：本年减少疏勒县行政服务中心供暖系统改造项目、疏勒县行政服务中心LED屏幕采购项目、疏勒县行政服务中心10KV配电线路等项目，导致经费较上年减少。</w:t>
      </w:r>
    </w:p>
    <w:p w14:paraId="68159C2D">
      <w:pPr>
        <w:spacing w:line="640" w:lineRule="exact"/>
        <w:ind w:firstLine="640"/>
        <w:jc w:val="both"/>
        <w:outlineLvl w:val="2"/>
      </w:pPr>
      <w:r>
        <w:rPr>
          <w:rFonts w:ascii="黑体" w:hAnsi="黑体" w:eastAsia="黑体"/>
          <w:sz w:val="32"/>
        </w:rPr>
        <w:t>二、收入决算情况说明</w:t>
      </w:r>
    </w:p>
    <w:p w14:paraId="3D800BC4">
      <w:pPr>
        <w:spacing w:line="580" w:lineRule="exact"/>
        <w:ind w:firstLine="640"/>
        <w:jc w:val="both"/>
      </w:pPr>
      <w:r>
        <w:rPr>
          <w:rFonts w:ascii="仿宋_GB2312" w:hAnsi="仿宋_GB2312" w:eastAsia="仿宋_GB2312"/>
          <w:b/>
          <w:sz w:val="32"/>
        </w:rPr>
        <w:t>本年收入251.03万元，</w:t>
      </w:r>
      <w:r>
        <w:rPr>
          <w:rFonts w:ascii="仿宋_GB2312" w:hAnsi="仿宋_GB2312" w:eastAsia="仿宋_GB2312"/>
          <w:b w:val="0"/>
          <w:sz w:val="32"/>
        </w:rPr>
        <w:t>其中：财政拨款收入233.46万元，占93.00%；上级补助收入0.00万元，占0.00%；事业收入0.00万元，占0.00%；经营收入0.00万元，占0.00%；附属单位上缴收入0.00万元，占0.00%；其他收入17.57万元，占7.00%。</w:t>
      </w:r>
    </w:p>
    <w:p w14:paraId="22E3EE99">
      <w:pPr>
        <w:spacing w:line="640" w:lineRule="exact"/>
        <w:ind w:firstLine="640"/>
        <w:jc w:val="both"/>
        <w:outlineLvl w:val="2"/>
      </w:pPr>
      <w:r>
        <w:rPr>
          <w:rFonts w:ascii="黑体" w:hAnsi="黑体" w:eastAsia="黑体"/>
          <w:sz w:val="32"/>
        </w:rPr>
        <w:t>三、支出决算情况说明</w:t>
      </w:r>
    </w:p>
    <w:p w14:paraId="73EDD947">
      <w:pPr>
        <w:spacing w:line="580" w:lineRule="exact"/>
        <w:ind w:firstLine="640"/>
        <w:jc w:val="both"/>
      </w:pPr>
      <w:r>
        <w:rPr>
          <w:rFonts w:ascii="仿宋_GB2312" w:hAnsi="仿宋_GB2312" w:eastAsia="仿宋_GB2312"/>
          <w:b/>
          <w:sz w:val="32"/>
        </w:rPr>
        <w:t>本年支出251.03万元，</w:t>
      </w:r>
      <w:r>
        <w:rPr>
          <w:rFonts w:ascii="仿宋_GB2312" w:hAnsi="仿宋_GB2312" w:eastAsia="仿宋_GB2312"/>
          <w:b w:val="0"/>
          <w:sz w:val="32"/>
        </w:rPr>
        <w:t>其中：基本支出171.03万元，占68.13%；项目支出80.00万元，占31.87%；上缴上级支出0.00万元，占0.00%；经营支出0.00万元，占0.00%；对附属单位补助支出0.00万元，占0.00%。</w:t>
      </w:r>
    </w:p>
    <w:p w14:paraId="47E529E5">
      <w:pPr>
        <w:spacing w:line="640" w:lineRule="exact"/>
        <w:ind w:firstLine="640"/>
        <w:jc w:val="both"/>
        <w:outlineLvl w:val="2"/>
      </w:pPr>
      <w:r>
        <w:rPr>
          <w:rFonts w:ascii="黑体" w:hAnsi="黑体" w:eastAsia="黑体"/>
          <w:sz w:val="32"/>
        </w:rPr>
        <w:t>四、财政拨款收入支出决算总体情况说明</w:t>
      </w:r>
    </w:p>
    <w:p w14:paraId="726AC2D9">
      <w:pPr>
        <w:spacing w:line="580" w:lineRule="exact"/>
        <w:ind w:firstLine="640"/>
        <w:jc w:val="both"/>
      </w:pPr>
      <w:r>
        <w:rPr>
          <w:rFonts w:ascii="仿宋_GB2312" w:hAnsi="仿宋_GB2312" w:eastAsia="仿宋_GB2312"/>
          <w:b/>
          <w:sz w:val="32"/>
        </w:rPr>
        <w:t>2024年度财政拨款收入总计233.46万元，</w:t>
      </w:r>
      <w:r>
        <w:rPr>
          <w:rFonts w:ascii="仿宋_GB2312" w:hAnsi="仿宋_GB2312" w:eastAsia="仿宋_GB2312"/>
          <w:b w:val="0"/>
          <w:sz w:val="32"/>
        </w:rPr>
        <w:t>其中：年初财政拨款结转和结余0.00万元，本年财政拨款收入233.46万元。</w:t>
      </w:r>
      <w:r>
        <w:rPr>
          <w:rFonts w:ascii="仿宋_GB2312" w:hAnsi="仿宋_GB2312" w:eastAsia="仿宋_GB2312"/>
          <w:b/>
          <w:sz w:val="32"/>
        </w:rPr>
        <w:t>财政拨款支出总计233.46万元，</w:t>
      </w:r>
      <w:r>
        <w:rPr>
          <w:rFonts w:ascii="仿宋_GB2312" w:hAnsi="仿宋_GB2312" w:eastAsia="仿宋_GB2312"/>
          <w:b w:val="0"/>
          <w:sz w:val="32"/>
        </w:rPr>
        <w:t>其中：年末财政拨款结转和结余0.00万元，本年财政拨款支出233.46万元。</w:t>
      </w:r>
    </w:p>
    <w:p w14:paraId="74F5C35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减少27.87万元，下降10.66%，主要原因是：本年在职人员减少，相关人员经费较上年减少。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年初预算数274.15万元，决算数233.46万元，预决算差异率-14.84%，主要原因是：本年在职人员减少，年中调减人员经费，导致预决算存在差异。</w:t>
      </w:r>
    </w:p>
    <w:p w14:paraId="5926D960">
      <w:pPr>
        <w:spacing w:line="640" w:lineRule="exact"/>
        <w:ind w:firstLine="640"/>
        <w:jc w:val="both"/>
        <w:outlineLvl w:val="2"/>
      </w:pPr>
      <w:r>
        <w:rPr>
          <w:rFonts w:ascii="黑体" w:hAnsi="黑体" w:eastAsia="黑体"/>
          <w:sz w:val="32"/>
        </w:rPr>
        <w:t>五、一般公共预算财政拨款支出决算情况说明</w:t>
      </w:r>
    </w:p>
    <w:p w14:paraId="0C03A713">
      <w:pPr>
        <w:spacing w:line="640" w:lineRule="exact"/>
        <w:ind w:firstLine="640"/>
        <w:jc w:val="both"/>
        <w:outlineLvl w:val="3"/>
      </w:pPr>
      <w:r>
        <w:rPr>
          <w:rFonts w:ascii="楷体_GB2312" w:hAnsi="楷体_GB2312" w:eastAsia="楷体_GB2312"/>
          <w:b/>
          <w:sz w:val="32"/>
        </w:rPr>
        <w:t>（一）一般公共预算财政拨款支出决算总体情况</w:t>
      </w:r>
    </w:p>
    <w:p w14:paraId="1D92084E">
      <w:pPr>
        <w:spacing w:line="580" w:lineRule="exact"/>
        <w:ind w:firstLine="640"/>
        <w:jc w:val="both"/>
      </w:pPr>
      <w:r>
        <w:rPr>
          <w:rFonts w:ascii="仿宋_GB2312" w:hAnsi="仿宋_GB2312" w:eastAsia="仿宋_GB2312"/>
          <w:b/>
          <w:sz w:val="32"/>
        </w:rPr>
        <w:t>2024年度一般公共预算财政拨款支出233.46万元，</w:t>
      </w:r>
      <w:r>
        <w:rPr>
          <w:rFonts w:ascii="仿宋_GB2312" w:hAnsi="仿宋_GB2312" w:eastAsia="仿宋_GB2312"/>
          <w:b w:val="0"/>
          <w:sz w:val="32"/>
        </w:rPr>
        <w:t>占本年支出合计的93.00%。</w:t>
      </w:r>
      <w:r>
        <w:rPr>
          <w:rFonts w:ascii="仿宋_GB2312" w:hAnsi="仿宋_GB2312" w:eastAsia="仿宋_GB2312"/>
          <w:b/>
          <w:sz w:val="32"/>
        </w:rPr>
        <w:t>与上年相比，</w:t>
      </w:r>
      <w:r>
        <w:rPr>
          <w:rFonts w:ascii="仿宋_GB2312" w:hAnsi="仿宋_GB2312" w:eastAsia="仿宋_GB2312"/>
          <w:b w:val="0"/>
          <w:sz w:val="32"/>
        </w:rPr>
        <w:t>减少27.87万元，下降10.66%，主要原因是：本年在职人员减少，相关人员经费较上年减少。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年初预算数274.15万元，决算数233.46万元，预决算差异率-14.84%，主要原因是：本年在职人员减少，年中调减人员经费，导致预决算存在差异。</w:t>
      </w:r>
    </w:p>
    <w:p w14:paraId="0FF8D485">
      <w:pPr>
        <w:spacing w:line="640" w:lineRule="exact"/>
        <w:ind w:firstLine="640"/>
        <w:jc w:val="both"/>
        <w:outlineLvl w:val="3"/>
      </w:pPr>
      <w:r>
        <w:rPr>
          <w:rFonts w:ascii="楷体_GB2312" w:hAnsi="楷体_GB2312" w:eastAsia="楷体_GB2312"/>
          <w:b/>
          <w:sz w:val="32"/>
        </w:rPr>
        <w:t>（二）一般公共预算财政拨款支出决算结构情况</w:t>
      </w:r>
    </w:p>
    <w:p w14:paraId="3327EF27">
      <w:pPr>
        <w:spacing w:line="580" w:lineRule="exact"/>
        <w:ind w:firstLine="640"/>
        <w:jc w:val="both"/>
      </w:pPr>
      <w:r>
        <w:rPr>
          <w:rFonts w:ascii="仿宋_GB2312" w:hAnsi="仿宋_GB2312" w:eastAsia="仿宋_GB2312"/>
          <w:b w:val="0"/>
          <w:sz w:val="32"/>
        </w:rPr>
        <w:t>1.一般公共服务支出(类)205.19万元,占87.89%。</w:t>
      </w:r>
    </w:p>
    <w:p w14:paraId="5F474383">
      <w:pPr>
        <w:spacing w:line="580" w:lineRule="exact"/>
        <w:ind w:firstLine="640"/>
        <w:jc w:val="both"/>
      </w:pPr>
      <w:r>
        <w:rPr>
          <w:rFonts w:ascii="仿宋_GB2312" w:hAnsi="仿宋_GB2312" w:eastAsia="仿宋_GB2312"/>
          <w:b w:val="0"/>
          <w:sz w:val="32"/>
        </w:rPr>
        <w:t>2.社会保障和就业支出(类)13.51万元,占5.79%。</w:t>
      </w:r>
    </w:p>
    <w:p w14:paraId="3573168B">
      <w:pPr>
        <w:spacing w:line="580" w:lineRule="exact"/>
        <w:ind w:firstLine="640"/>
        <w:jc w:val="both"/>
      </w:pPr>
      <w:r>
        <w:rPr>
          <w:rFonts w:ascii="仿宋_GB2312" w:hAnsi="仿宋_GB2312" w:eastAsia="仿宋_GB2312"/>
          <w:b w:val="0"/>
          <w:sz w:val="32"/>
        </w:rPr>
        <w:t>3.卫生健康支出(类)5.17万元,占2.21%。</w:t>
      </w:r>
    </w:p>
    <w:p w14:paraId="0E7FC16C">
      <w:pPr>
        <w:spacing w:line="580" w:lineRule="exact"/>
        <w:ind w:firstLine="640"/>
        <w:jc w:val="both"/>
      </w:pPr>
      <w:r>
        <w:rPr>
          <w:rFonts w:ascii="仿宋_GB2312" w:hAnsi="仿宋_GB2312" w:eastAsia="仿宋_GB2312"/>
          <w:b w:val="0"/>
          <w:sz w:val="32"/>
        </w:rPr>
        <w:t>4.住房保障支出(类)9.60万元,占4.11%。</w:t>
      </w:r>
    </w:p>
    <w:p w14:paraId="6924220D">
      <w:pPr>
        <w:spacing w:line="640" w:lineRule="exact"/>
        <w:ind w:firstLine="640"/>
        <w:jc w:val="both"/>
        <w:outlineLvl w:val="3"/>
      </w:pPr>
      <w:r>
        <w:rPr>
          <w:rFonts w:ascii="楷体_GB2312" w:hAnsi="楷体_GB2312" w:eastAsia="楷体_GB2312"/>
          <w:b/>
          <w:sz w:val="32"/>
        </w:rPr>
        <w:t>（三）一般公共预算财政拨款支出决算具体情况</w:t>
      </w:r>
    </w:p>
    <w:p w14:paraId="35B94EE6">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0.00万元，比上年决算减少163.65万元，下降100.00%,主要原因是：本年功能科目调整，人员经费、公用经费上年度在本科目列支，本年调整至事业运行科目列支，相应支出减少。</w:t>
      </w:r>
    </w:p>
    <w:p w14:paraId="2F4BFC90">
      <w:pPr>
        <w:spacing w:line="580" w:lineRule="exact"/>
        <w:ind w:firstLine="640"/>
        <w:jc w:val="both"/>
      </w:pPr>
      <w:r>
        <w:rPr>
          <w:rFonts w:ascii="仿宋_GB2312" w:hAnsi="仿宋_GB2312" w:eastAsia="仿宋_GB2312"/>
          <w:b w:val="0"/>
          <w:sz w:val="32"/>
        </w:rPr>
        <w:t>2.一般公共服务支出(类)政府办公厅（室）及相关机构事务(款)事业运行(项):支出决算数为137.85万元，比上年决算增加137.85万元，增长100.00%,主要原因是：本年功能科目调整，人员经费、公用经费上年度在行政运行科目列支，本年调整至本科目列支，相应支出增加。</w:t>
      </w:r>
    </w:p>
    <w:p w14:paraId="7D6D196B">
      <w:pPr>
        <w:spacing w:line="580" w:lineRule="exact"/>
        <w:ind w:firstLine="640"/>
        <w:jc w:val="both"/>
      </w:pPr>
      <w:r>
        <w:rPr>
          <w:rFonts w:ascii="仿宋_GB2312" w:hAnsi="仿宋_GB2312" w:eastAsia="仿宋_GB2312"/>
          <w:b w:val="0"/>
          <w:sz w:val="32"/>
        </w:rPr>
        <w:t>3.一般公共服务支出(类)政府办公厅（室）及相关机构事务(款)其他政府办公厅（室）及相关机构事务支出(项):支出决算数为67.34万元，比上年决算增加0.08万元，增长0.12%,主要原因是：本年疏勒县行政服务中心2024年大厅维护运行项目经费较上年增加。</w:t>
      </w:r>
    </w:p>
    <w:p w14:paraId="0EEFDEE3">
      <w:pPr>
        <w:spacing w:line="580" w:lineRule="exact"/>
        <w:ind w:firstLine="640"/>
        <w:jc w:val="both"/>
      </w:pPr>
      <w:r>
        <w:rPr>
          <w:rFonts w:ascii="仿宋_GB2312" w:hAnsi="仿宋_GB2312" w:eastAsia="仿宋_GB2312"/>
          <w:b w:val="0"/>
          <w:sz w:val="32"/>
        </w:rPr>
        <w:t>4.社会保障和就业支出(类)行政事业单位养老支出(款)事业单位离退休(项):支出决算数为1.36万元，比上年决算增加0.21万元，增长18.26%,主要原因是：本年增加退休人员基础绩效奖，退休费支出增加。</w:t>
      </w:r>
    </w:p>
    <w:p w14:paraId="4F0C4B50">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12.15万元，比上年决算减少1.02万元，下降7.74%,主要原因是：本年在职人员减少，单位基本养老保险缴费较上年减少。</w:t>
      </w:r>
    </w:p>
    <w:p w14:paraId="2D8BE65D">
      <w:pPr>
        <w:spacing w:line="580" w:lineRule="exact"/>
        <w:ind w:firstLine="640"/>
        <w:jc w:val="both"/>
      </w:pPr>
      <w:r>
        <w:rPr>
          <w:rFonts w:ascii="仿宋_GB2312" w:hAnsi="仿宋_GB2312" w:eastAsia="仿宋_GB2312"/>
          <w:b w:val="0"/>
          <w:sz w:val="32"/>
        </w:rPr>
        <w:t>6.卫生健康支出(类)行政事业单位医疗(款)事业单位医疗(项):支出决算数为5.17万元，比上年决算减少0.43万元，下降7.68%,主要原因是：本年在职人员减少，事业单位医疗支出较上年减少。</w:t>
      </w:r>
    </w:p>
    <w:p w14:paraId="005C95EF">
      <w:pPr>
        <w:spacing w:line="580" w:lineRule="exact"/>
        <w:ind w:firstLine="640"/>
        <w:jc w:val="both"/>
      </w:pPr>
      <w:r>
        <w:rPr>
          <w:rFonts w:ascii="仿宋_GB2312" w:hAnsi="仿宋_GB2312" w:eastAsia="仿宋_GB2312"/>
          <w:b w:val="0"/>
          <w:sz w:val="32"/>
        </w:rPr>
        <w:t>7.卫生健康支出(类)行政事业单位医疗(款)公务员医疗补助(项):支出决算数为0.00万元，比上年决算减少0.04万元，下降100.00%,主要原因是：本年在职公务员调出，单位无公务员性质人员，导致公务员医疗补助较上年减少。</w:t>
      </w:r>
    </w:p>
    <w:p w14:paraId="3EC47D8D">
      <w:pPr>
        <w:spacing w:line="580" w:lineRule="exact"/>
        <w:ind w:firstLine="640"/>
        <w:jc w:val="both"/>
      </w:pPr>
      <w:r>
        <w:rPr>
          <w:rFonts w:ascii="仿宋_GB2312" w:hAnsi="仿宋_GB2312" w:eastAsia="仿宋_GB2312"/>
          <w:b w:val="0"/>
          <w:sz w:val="32"/>
        </w:rPr>
        <w:t>8.住房保障支出(类)住房改革支出(款)住房公积金(项):支出决算数为9.60万元，比上年决算减少0.87万元，下降8.31%,主要原因是：本年在职人员减少，住房公积金缴费较上年减少。</w:t>
      </w:r>
    </w:p>
    <w:p w14:paraId="7B7D5FFF">
      <w:pPr>
        <w:spacing w:line="640" w:lineRule="exact"/>
        <w:ind w:firstLine="640"/>
        <w:jc w:val="both"/>
        <w:outlineLvl w:val="2"/>
      </w:pPr>
      <w:r>
        <w:rPr>
          <w:rFonts w:ascii="黑体" w:hAnsi="黑体" w:eastAsia="黑体"/>
          <w:sz w:val="32"/>
        </w:rPr>
        <w:t>六、一般公共预算财政拨款基本支出决算情况说明</w:t>
      </w:r>
    </w:p>
    <w:p w14:paraId="466B4769">
      <w:pPr>
        <w:spacing w:line="580" w:lineRule="exact"/>
        <w:ind w:firstLine="640"/>
        <w:jc w:val="both"/>
      </w:pPr>
      <w:r>
        <w:rPr>
          <w:rFonts w:ascii="仿宋_GB2312" w:hAnsi="仿宋_GB2312" w:eastAsia="仿宋_GB2312"/>
          <w:b w:val="0"/>
          <w:sz w:val="32"/>
        </w:rPr>
        <w:t>2024年度一般公共预算财政拨款基本支出166.12万元，其中：</w:t>
      </w:r>
      <w:r>
        <w:rPr>
          <w:rFonts w:ascii="仿宋_GB2312" w:hAnsi="仿宋_GB2312" w:eastAsia="仿宋_GB2312"/>
          <w:b/>
          <w:sz w:val="32"/>
        </w:rPr>
        <w:t>人员经费128.48万元，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包括：基本工资、津贴补贴、奖金、绩效工资、机关事业单位基本养老保险缴费、职工基本医疗保险缴费、其他社会保障缴费、住房公积金、其他工资福利支出、退休费。</w:t>
      </w:r>
    </w:p>
    <w:p w14:paraId="360748F8">
      <w:pPr>
        <w:spacing w:line="580" w:lineRule="exact"/>
        <w:ind w:firstLine="640"/>
        <w:jc w:val="both"/>
      </w:pPr>
      <w:r>
        <w:rPr>
          <w:rFonts w:ascii="仿宋_GB2312" w:hAnsi="仿宋_GB2312" w:eastAsia="仿宋_GB2312"/>
          <w:b/>
          <w:sz w:val="32"/>
        </w:rPr>
        <w:t>公用经费37.64万元，</w:t>
      </w:r>
      <w:r>
        <w:rPr>
          <w:rFonts w:ascii="仿宋_GB2312" w:hAnsi="仿宋_GB2312" w:eastAsia="仿宋_GB2312"/>
          <w:b w:val="0"/>
          <w:sz w:val="32"/>
        </w:rPr>
        <w:t>包括：办公费、取暖费、差旅费、委托业务费。</w:t>
      </w:r>
    </w:p>
    <w:p w14:paraId="58B1A96B">
      <w:pPr>
        <w:spacing w:line="640" w:lineRule="exact"/>
        <w:ind w:firstLine="640"/>
        <w:jc w:val="both"/>
        <w:outlineLvl w:val="2"/>
      </w:pPr>
      <w:r>
        <w:rPr>
          <w:rFonts w:ascii="黑体" w:hAnsi="黑体" w:eastAsia="黑体"/>
          <w:sz w:val="32"/>
        </w:rPr>
        <w:t>七、政府性基金预算财政拨款收入支出决算情况说明</w:t>
      </w:r>
    </w:p>
    <w:p w14:paraId="2D732B8D">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BBBEC07">
      <w:pPr>
        <w:spacing w:line="640" w:lineRule="exact"/>
        <w:ind w:firstLine="640"/>
        <w:jc w:val="both"/>
        <w:outlineLvl w:val="2"/>
      </w:pPr>
      <w:r>
        <w:rPr>
          <w:rFonts w:ascii="黑体" w:hAnsi="黑体" w:eastAsia="黑体"/>
          <w:sz w:val="32"/>
        </w:rPr>
        <w:t>八、国有资本经营预算财政拨款收入支出决算情况说明</w:t>
      </w:r>
    </w:p>
    <w:p w14:paraId="19F8EE9E">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024FDF0">
      <w:pPr>
        <w:spacing w:line="640" w:lineRule="exact"/>
        <w:ind w:firstLine="640"/>
        <w:jc w:val="both"/>
        <w:outlineLvl w:val="2"/>
      </w:pPr>
      <w:r>
        <w:rPr>
          <w:rFonts w:ascii="黑体" w:hAnsi="黑体" w:eastAsia="黑体"/>
          <w:sz w:val="32"/>
        </w:rPr>
        <w:t>九、财政拨款“三公”经费支出决算情况说明</w:t>
      </w:r>
    </w:p>
    <w:p w14:paraId="77BD0B68">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7E81AA35">
      <w:pPr>
        <w:spacing w:line="580" w:lineRule="exact"/>
        <w:ind w:firstLine="640"/>
        <w:jc w:val="both"/>
      </w:pPr>
      <w:r>
        <w:rPr>
          <w:rFonts w:ascii="仿宋_GB2312" w:hAnsi="仿宋_GB2312" w:eastAsia="仿宋_GB2312"/>
          <w:b/>
          <w:sz w:val="32"/>
        </w:rPr>
        <w:t>具体情况如下：</w:t>
      </w:r>
    </w:p>
    <w:p w14:paraId="648624A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75D4FF9">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146E7B5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7C85A3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99E4CD6">
      <w:pPr>
        <w:spacing w:line="640" w:lineRule="exact"/>
        <w:ind w:firstLine="640"/>
        <w:jc w:val="both"/>
        <w:outlineLvl w:val="2"/>
      </w:pPr>
      <w:r>
        <w:rPr>
          <w:rFonts w:ascii="黑体" w:hAnsi="黑体" w:eastAsia="黑体"/>
          <w:sz w:val="32"/>
        </w:rPr>
        <w:t>十、其他重要事项的情况说明</w:t>
      </w:r>
    </w:p>
    <w:p w14:paraId="1632AED0">
      <w:pPr>
        <w:spacing w:line="640" w:lineRule="exact"/>
        <w:ind w:firstLine="640"/>
        <w:jc w:val="both"/>
        <w:outlineLvl w:val="3"/>
      </w:pPr>
      <w:r>
        <w:rPr>
          <w:rFonts w:ascii="楷体_GB2312" w:hAnsi="楷体_GB2312" w:eastAsia="楷体_GB2312"/>
          <w:b/>
          <w:sz w:val="32"/>
        </w:rPr>
        <w:t>（一）机关运行经费及公用经费支出情况</w:t>
      </w:r>
    </w:p>
    <w:p w14:paraId="2656E7AF">
      <w:pPr>
        <w:spacing w:line="580" w:lineRule="exact"/>
        <w:ind w:firstLine="640"/>
        <w:jc w:val="both"/>
      </w:pPr>
      <w:r>
        <w:rPr>
          <w:rFonts w:ascii="仿宋_GB2312" w:hAnsi="仿宋_GB2312" w:eastAsia="仿宋_GB2312"/>
          <w:b w:val="0"/>
          <w:sz w:val="32"/>
        </w:rPr>
        <w:t>2024年度疏勒县行政服务中心（事业单位）公用经费支出37.64万元，比上年增加0.09万元，增长0.24%，主要原因是：本年业务量增加，公用经费增加。</w:t>
      </w:r>
    </w:p>
    <w:p w14:paraId="666C05F6">
      <w:pPr>
        <w:spacing w:line="640" w:lineRule="exact"/>
        <w:ind w:firstLine="640"/>
        <w:jc w:val="both"/>
        <w:outlineLvl w:val="3"/>
      </w:pPr>
      <w:r>
        <w:rPr>
          <w:rFonts w:ascii="楷体_GB2312" w:hAnsi="楷体_GB2312" w:eastAsia="楷体_GB2312"/>
          <w:b/>
          <w:sz w:val="32"/>
        </w:rPr>
        <w:t>（二）政府采购情况</w:t>
      </w:r>
    </w:p>
    <w:p w14:paraId="25A6851E">
      <w:pPr>
        <w:spacing w:line="580" w:lineRule="exact"/>
        <w:ind w:firstLine="640"/>
        <w:jc w:val="both"/>
      </w:pPr>
      <w:r>
        <w:rPr>
          <w:rFonts w:ascii="仿宋_GB2312" w:hAnsi="仿宋_GB2312" w:eastAsia="仿宋_GB2312"/>
          <w:b w:val="0"/>
          <w:sz w:val="32"/>
        </w:rPr>
        <w:t>2024年度政府采购支出总额28.39万元，其中：政府采购货物支出2.74万元、政府采购工程支出0.00万元、政府采购服务支出25.65万元。</w:t>
      </w:r>
    </w:p>
    <w:p w14:paraId="4C326E43">
      <w:pPr>
        <w:spacing w:line="580" w:lineRule="exact"/>
        <w:ind w:firstLine="640"/>
        <w:jc w:val="both"/>
      </w:pPr>
      <w:r>
        <w:rPr>
          <w:rFonts w:ascii="仿宋_GB2312" w:hAnsi="仿宋_GB2312" w:eastAsia="仿宋_GB2312"/>
          <w:b w:val="0"/>
          <w:sz w:val="32"/>
        </w:rPr>
        <w:t>授予中小企业合同金额27.83万元，占政府采购支出总额的98.03%，其中：授予小微企业合同金额27.83万元，占政府采购支出总额的98.03%。</w:t>
      </w:r>
    </w:p>
    <w:p w14:paraId="0EEAE136">
      <w:pPr>
        <w:spacing w:line="640" w:lineRule="exact"/>
        <w:ind w:firstLine="640"/>
        <w:jc w:val="both"/>
        <w:outlineLvl w:val="3"/>
      </w:pPr>
      <w:r>
        <w:rPr>
          <w:rFonts w:ascii="楷体_GB2312" w:hAnsi="楷体_GB2312" w:eastAsia="楷体_GB2312"/>
          <w:b/>
          <w:sz w:val="32"/>
        </w:rPr>
        <w:t>（三）国有资产占用情况说明</w:t>
      </w:r>
    </w:p>
    <w:p w14:paraId="3BF27DEF">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12633930">
      <w:pPr>
        <w:spacing w:line="640" w:lineRule="exact"/>
        <w:ind w:firstLine="640"/>
        <w:jc w:val="both"/>
        <w:outlineLvl w:val="2"/>
      </w:pPr>
      <w:r>
        <w:rPr>
          <w:rFonts w:ascii="黑体" w:hAnsi="黑体" w:eastAsia="黑体"/>
          <w:sz w:val="32"/>
        </w:rPr>
        <w:t>十一、预算绩效的情况说明</w:t>
      </w:r>
    </w:p>
    <w:p w14:paraId="279D655F">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251.03万元，实际执行总额251.03万元；预算绩效评价项目1个，全年预算数67.34万元，全年执行数67.34万元。预算绩效管理取得的成效：一是进一步落实预算部门、项目实施单位在预算绩效目标管理中的主体责任；二是预算部门是本部门预算绩效目标管理的责任主体，结合本单位主要工作和单位的项目绩效目标为重点，科学制定计划，做到横向到边、纵向到底，以点带面，全面推进；三是项目实施完毕后改善行政服务中心办事环境，为人民群众及各窗口单位提供</w:t>
      </w:r>
      <w:r>
        <w:rPr>
          <w:rFonts w:hint="eastAsia" w:ascii="仿宋_GB2312" w:hAnsi="仿宋_GB2312" w:eastAsia="仿宋_GB2312"/>
          <w:b w:val="0"/>
          <w:sz w:val="32"/>
          <w:lang w:eastAsia="zh-CN"/>
        </w:rPr>
        <w:t>一个</w:t>
      </w:r>
      <w:r>
        <w:rPr>
          <w:rFonts w:ascii="仿宋_GB2312" w:hAnsi="仿宋_GB2312" w:eastAsia="仿宋_GB2312"/>
          <w:b w:val="0"/>
          <w:sz w:val="32"/>
        </w:rPr>
        <w:t>舒适的办事、办公环境。发现的问题及原因：一是绩效管理评价需要的项目基本资料不全，主要反映在缺少可研和实施方案，或者说没有及时编制可研和实施方案，导致年底绩效评价依据不足，因此绩效目标和绩效自评报告质量无法提升。二是财务人员大多是兼职工作人员，即使是专职财务人员，推进绩效管理既缺乏工作经验也缺乏专业技能，难以做到程序规范、管理科学和绩效显著。三是人员力量不足，同时，既没有现成的经验可供借鉴，又缺乏专业性很强的技能储备，只能是边工作、边学习、边积累，短期内很多工作只能停留在表面，难以深入推进。下一步改进措施：一是组织</w:t>
      </w:r>
      <w:r>
        <w:rPr>
          <w:rFonts w:hint="eastAsia" w:ascii="仿宋_GB2312" w:hAnsi="仿宋_GB2312" w:eastAsia="仿宋_GB2312"/>
          <w:b w:val="0"/>
          <w:sz w:val="32"/>
          <w:lang w:eastAsia="zh-CN"/>
        </w:rPr>
        <w:t>本单位</w:t>
      </w:r>
      <w:r>
        <w:rPr>
          <w:rFonts w:ascii="仿宋_GB2312" w:hAnsi="仿宋_GB2312" w:eastAsia="仿宋_GB2312"/>
          <w:b w:val="0"/>
          <w:sz w:val="32"/>
        </w:rPr>
        <w:t>工作人员学习预算绩效管理的法律法规、规范要求，让绩效理念深入人心、让绩效管理人员熟知政策、知行合一；二是适时组织预算单位主要领导、分管负责人以及具体工作人员的培训教育，及时为单位开展绩效管理提供政策理论和专业操作技术指导，促进单位绩效管理整体上台阶。具体附整体支出绩效自评表，项目支出绩效自评表和评价报告。</w:t>
      </w:r>
    </w:p>
    <w:p w14:paraId="20CE3314">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A1920F0">
        <w:tblPrEx>
          <w:tblCellMar>
            <w:top w:w="0" w:type="dxa"/>
            <w:left w:w="108" w:type="dxa"/>
            <w:bottom w:w="0" w:type="dxa"/>
            <w:right w:w="108" w:type="dxa"/>
          </w:tblCellMar>
        </w:tblPrEx>
        <w:tc>
          <w:tcPr>
            <w:tcW w:w="8847" w:type="dxa"/>
            <w:gridSpan w:val="9"/>
            <w:vAlign w:val="center"/>
          </w:tcPr>
          <w:p w14:paraId="5249AA72">
            <w:pPr>
              <w:jc w:val="center"/>
            </w:pPr>
            <w:r>
              <w:rPr>
                <w:rFonts w:ascii="宋体" w:hAnsi="宋体" w:eastAsia="宋体"/>
                <w:sz w:val="24"/>
              </w:rPr>
              <w:t>单位整体支出绩效自评表</w:t>
            </w:r>
          </w:p>
        </w:tc>
      </w:tr>
      <w:tr w14:paraId="1FA5A18F">
        <w:tblPrEx>
          <w:tblCellMar>
            <w:top w:w="0" w:type="dxa"/>
            <w:left w:w="108" w:type="dxa"/>
            <w:bottom w:w="0" w:type="dxa"/>
            <w:right w:w="108" w:type="dxa"/>
          </w:tblCellMar>
        </w:tblPrEx>
        <w:tc>
          <w:tcPr>
            <w:tcW w:w="8847" w:type="dxa"/>
            <w:gridSpan w:val="9"/>
            <w:vAlign w:val="center"/>
          </w:tcPr>
          <w:p w14:paraId="0C080DAF">
            <w:pPr>
              <w:jc w:val="center"/>
            </w:pPr>
            <w:r>
              <w:rPr>
                <w:rFonts w:ascii="宋体" w:hAnsi="宋体" w:eastAsia="宋体"/>
                <w:sz w:val="24"/>
              </w:rPr>
              <w:t>（2024年度）</w:t>
            </w:r>
          </w:p>
        </w:tc>
      </w:tr>
      <w:tr w14:paraId="4E2D608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50CEC1">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32AEC75">
            <w:pPr>
              <w:jc w:val="center"/>
            </w:pPr>
            <w:r>
              <w:rPr>
                <w:rFonts w:ascii="宋体" w:hAnsi="宋体" w:eastAsia="宋体"/>
                <w:sz w:val="16"/>
              </w:rPr>
              <w:t>疏勒县行政服务中心</w:t>
            </w:r>
          </w:p>
        </w:tc>
      </w:tr>
      <w:tr w14:paraId="2B74D16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9E3725">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A59F4F">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209805">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C8D865">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851203">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022FA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40FCD4">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55B70">
            <w:pPr>
              <w:jc w:val="center"/>
            </w:pPr>
            <w:r>
              <w:rPr>
                <w:rFonts w:ascii="宋体" w:hAnsi="宋体" w:eastAsia="宋体"/>
                <w:sz w:val="16"/>
              </w:rPr>
              <w:t>得分</w:t>
            </w:r>
          </w:p>
        </w:tc>
      </w:tr>
      <w:tr w14:paraId="2A6D916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6BE46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0D9D07">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E29E1A">
            <w:pPr>
              <w:jc w:val="center"/>
            </w:pPr>
            <w:r>
              <w:rPr>
                <w:rFonts w:ascii="宋体" w:hAnsi="宋体" w:eastAsia="宋体"/>
                <w:sz w:val="16"/>
              </w:rPr>
              <w:t>274.15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4324F3">
            <w:pPr>
              <w:jc w:val="center"/>
            </w:pPr>
            <w:r>
              <w:rPr>
                <w:rFonts w:ascii="宋体" w:hAnsi="宋体" w:eastAsia="宋体"/>
                <w:sz w:val="16"/>
              </w:rPr>
              <w:t>251.03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F41BF5">
            <w:pPr>
              <w:jc w:val="center"/>
            </w:pPr>
            <w:r>
              <w:rPr>
                <w:rFonts w:ascii="宋体" w:hAnsi="宋体" w:eastAsia="宋体"/>
                <w:sz w:val="16"/>
              </w:rPr>
              <w:t>251.03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49D92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95E0C9">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133EB">
            <w:pPr>
              <w:jc w:val="center"/>
            </w:pPr>
            <w:r>
              <w:rPr>
                <w:rFonts w:ascii="宋体" w:hAnsi="宋体" w:eastAsia="宋体"/>
                <w:sz w:val="16"/>
              </w:rPr>
              <w:t>10</w:t>
            </w:r>
          </w:p>
        </w:tc>
      </w:tr>
      <w:tr w14:paraId="739AC44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DB961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9E349D">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571D3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A0CC2A">
            <w:pPr>
              <w:jc w:val="center"/>
            </w:pPr>
            <w:r>
              <w:rPr>
                <w:rFonts w:ascii="宋体" w:hAnsi="宋体" w:eastAsia="宋体"/>
                <w:sz w:val="16"/>
              </w:rPr>
              <w:t>0.99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49EE1D">
            <w:pPr>
              <w:jc w:val="center"/>
            </w:pPr>
            <w:r>
              <w:rPr>
                <w:rFonts w:ascii="宋体" w:hAnsi="宋体" w:eastAsia="宋体"/>
                <w:sz w:val="16"/>
              </w:rPr>
              <w:t>0.99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23006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468A7D">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3A45A">
            <w:pPr>
              <w:jc w:val="center"/>
            </w:pPr>
            <w:r>
              <w:rPr>
                <w:rFonts w:ascii="宋体" w:hAnsi="宋体" w:eastAsia="宋体"/>
                <w:sz w:val="16"/>
              </w:rPr>
              <w:t>—</w:t>
            </w:r>
          </w:p>
        </w:tc>
      </w:tr>
      <w:tr w14:paraId="09C606A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4DD0C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1B273B">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498858">
            <w:pPr>
              <w:jc w:val="center"/>
            </w:pPr>
            <w:r>
              <w:rPr>
                <w:rFonts w:ascii="宋体" w:hAnsi="宋体" w:eastAsia="宋体"/>
                <w:sz w:val="16"/>
              </w:rPr>
              <w:t>274.15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46FECF">
            <w:pPr>
              <w:jc w:val="center"/>
            </w:pPr>
            <w:r>
              <w:rPr>
                <w:rFonts w:ascii="宋体" w:hAnsi="宋体" w:eastAsia="宋体"/>
                <w:sz w:val="16"/>
              </w:rPr>
              <w:t>237.39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73FFC4">
            <w:pPr>
              <w:jc w:val="center"/>
            </w:pPr>
            <w:r>
              <w:rPr>
                <w:rFonts w:ascii="宋体" w:hAnsi="宋体" w:eastAsia="宋体"/>
                <w:sz w:val="16"/>
              </w:rPr>
              <w:t>237.39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DB3FD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4353B3">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909F8">
            <w:pPr>
              <w:jc w:val="center"/>
            </w:pPr>
            <w:r>
              <w:rPr>
                <w:rFonts w:ascii="宋体" w:hAnsi="宋体" w:eastAsia="宋体"/>
                <w:sz w:val="16"/>
              </w:rPr>
              <w:t>—</w:t>
            </w:r>
          </w:p>
        </w:tc>
      </w:tr>
      <w:tr w14:paraId="6CC8C66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1E927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794956">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E5015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360E6B">
            <w:pPr>
              <w:jc w:val="center"/>
            </w:pPr>
            <w:r>
              <w:rPr>
                <w:rFonts w:ascii="宋体" w:hAnsi="宋体" w:eastAsia="宋体"/>
                <w:sz w:val="16"/>
              </w:rPr>
              <w:t>12.65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C95575">
            <w:pPr>
              <w:jc w:val="center"/>
            </w:pPr>
            <w:r>
              <w:rPr>
                <w:rFonts w:ascii="宋体" w:hAnsi="宋体" w:eastAsia="宋体"/>
                <w:sz w:val="16"/>
              </w:rPr>
              <w:t>12.65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55732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6F0305">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77046">
            <w:pPr>
              <w:jc w:val="center"/>
            </w:pPr>
            <w:r>
              <w:rPr>
                <w:rFonts w:ascii="宋体" w:hAnsi="宋体" w:eastAsia="宋体"/>
                <w:sz w:val="16"/>
              </w:rPr>
              <w:t>—</w:t>
            </w:r>
          </w:p>
        </w:tc>
      </w:tr>
      <w:tr w14:paraId="38FE63B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D8DC2B">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2A57126">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F69F2C">
            <w:pPr>
              <w:jc w:val="center"/>
            </w:pPr>
            <w:r>
              <w:rPr>
                <w:rFonts w:ascii="宋体" w:hAnsi="宋体" w:eastAsia="宋体"/>
                <w:sz w:val="16"/>
              </w:rPr>
              <w:t>实际完成情况</w:t>
            </w:r>
          </w:p>
        </w:tc>
      </w:tr>
      <w:tr w14:paraId="2133B30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A9327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7A4C289">
            <w:pPr>
              <w:jc w:val="both"/>
            </w:pPr>
            <w:r>
              <w:rPr>
                <w:rFonts w:ascii="宋体" w:hAnsi="宋体" w:eastAsia="宋体"/>
                <w:sz w:val="16"/>
              </w:rPr>
              <w:t>一是深入学习贯彻党的二十大精神，深入学习贯彻《</w:t>
            </w:r>
            <w:r>
              <w:rPr>
                <w:rFonts w:hint="eastAsia" w:ascii="宋体" w:hAnsi="宋体"/>
                <w:sz w:val="16"/>
                <w:lang w:eastAsia="zh-CN"/>
              </w:rPr>
              <w:t>优化营商环境条例</w:t>
            </w:r>
            <w:r>
              <w:rPr>
                <w:rFonts w:ascii="宋体" w:hAnsi="宋体" w:eastAsia="宋体"/>
                <w:sz w:val="16"/>
              </w:rPr>
              <w:t>》，深入推进“一件事一次办”、“跨省通办”改革，让群众、企业办事更加便利化、快捷化。二是依托自治区政务服务一体化平台，继续深化“事项标准化”改革，坚持让数据多跑路、群众少跑腿的原则，全面推行政务服务“网上办”。三是不断加强实体政务服务大厅标准化建设，提升优化配套服务设施、提升办公环境和服务质量，效率再提质。</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4C5F6AE">
            <w:pPr>
              <w:jc w:val="both"/>
            </w:pPr>
            <w:r>
              <w:rPr>
                <w:rFonts w:ascii="宋体" w:hAnsi="宋体" w:eastAsia="宋体"/>
                <w:sz w:val="16"/>
              </w:rPr>
              <w:t>一是深入学习贯彻党的二十大精神，学习深入贯彻“优化营商环境工作条例”，深入推进“一件事一次办”，“跨省通办”改革，实现一体化平台办件处理率为99.68%，12345平台处理案件办结率为100%，让群众，企业办事更加便利化，快捷化。二是不断加强实体政务服务大厅标准化建设，提升优化配套服务设施，为特殊群众帮办代办920余人次，提升办公环境和服务质量，效率在提质。三是开展专题学习9场，召开相关业务培训会3次，提高窗口工作人员办事能力和水平，提高工作效率和办事群众满意度。四是不定期开展应急突发演练2次，加大日常隐患排查整改力度，及时消除安全隐患，全力推动中心安全形势持续稳定，为企业和群众营造安全温馨的办事环境。</w:t>
            </w:r>
          </w:p>
        </w:tc>
      </w:tr>
      <w:tr w14:paraId="209ED5A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E384D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A79E75">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0D4EA1">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228B76">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952005">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1A66F8">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8701A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3C886A">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802675">
            <w:pPr>
              <w:jc w:val="center"/>
            </w:pPr>
            <w:r>
              <w:rPr>
                <w:rFonts w:ascii="宋体" w:hAnsi="宋体" w:eastAsia="宋体"/>
                <w:sz w:val="16"/>
              </w:rPr>
              <w:t>得分</w:t>
            </w:r>
          </w:p>
        </w:tc>
      </w:tr>
      <w:tr w14:paraId="081C29A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56CBE8">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DE62C1">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E8D9C8">
            <w:pPr>
              <w:jc w:val="center"/>
            </w:pPr>
            <w:r>
              <w:rPr>
                <w:rFonts w:ascii="宋体" w:hAnsi="宋体" w:eastAsia="宋体"/>
                <w:sz w:val="16"/>
              </w:rPr>
              <w:t>开展应急突发演练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4BD39B">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2A4223">
            <w:pPr>
              <w:jc w:val="center"/>
            </w:pPr>
            <w:r>
              <w:rPr>
                <w:rFonts w:ascii="宋体" w:hAnsi="宋体" w:eastAsia="宋体"/>
                <w:sz w:val="16"/>
              </w:rPr>
              <w:t>2024年工作计划及2023年工作总结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F445B0">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2D13FA">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F38F6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F38A90">
            <w:pPr>
              <w:jc w:val="center"/>
            </w:pPr>
            <w:r>
              <w:rPr>
                <w:rFonts w:ascii="宋体" w:hAnsi="宋体" w:eastAsia="宋体"/>
                <w:sz w:val="16"/>
              </w:rPr>
              <w:t>15</w:t>
            </w:r>
          </w:p>
        </w:tc>
      </w:tr>
      <w:tr w14:paraId="3686237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5582D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83571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D5322C">
            <w:pPr>
              <w:jc w:val="center"/>
            </w:pPr>
            <w:r>
              <w:rPr>
                <w:rFonts w:ascii="宋体" w:hAnsi="宋体" w:eastAsia="宋体"/>
                <w:sz w:val="16"/>
              </w:rPr>
              <w:t>开展专题学习</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FCD2CB">
            <w:pPr>
              <w:jc w:val="center"/>
            </w:pPr>
            <w:r>
              <w:rPr>
                <w:rFonts w:ascii="宋体" w:hAnsi="宋体" w:eastAsia="宋体"/>
                <w:sz w:val="16"/>
              </w:rPr>
              <w:t>&gt;=9场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8BEB91">
            <w:pPr>
              <w:jc w:val="center"/>
            </w:pPr>
            <w:r>
              <w:rPr>
                <w:rFonts w:ascii="宋体" w:hAnsi="宋体" w:eastAsia="宋体"/>
                <w:sz w:val="16"/>
              </w:rPr>
              <w:t>2024年工作计划及2023年工作总结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795B89">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7E3B63">
            <w:pPr>
              <w:jc w:val="center"/>
            </w:pPr>
            <w:r>
              <w:rPr>
                <w:rFonts w:ascii="宋体" w:hAnsi="宋体" w:eastAsia="宋体"/>
                <w:sz w:val="16"/>
              </w:rPr>
              <w:t>9场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D6744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510A1F">
            <w:pPr>
              <w:jc w:val="center"/>
            </w:pPr>
            <w:r>
              <w:rPr>
                <w:rFonts w:ascii="宋体" w:hAnsi="宋体" w:eastAsia="宋体"/>
                <w:sz w:val="16"/>
              </w:rPr>
              <w:t>15</w:t>
            </w:r>
          </w:p>
        </w:tc>
      </w:tr>
      <w:tr w14:paraId="43001C5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250EE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45006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3F7E17">
            <w:pPr>
              <w:jc w:val="center"/>
            </w:pPr>
            <w:r>
              <w:rPr>
                <w:rFonts w:ascii="宋体" w:hAnsi="宋体" w:eastAsia="宋体"/>
                <w:sz w:val="16"/>
              </w:rPr>
              <w:t>一体化平台办件处理率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BE5C1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EC4E6C">
            <w:pPr>
              <w:jc w:val="center"/>
            </w:pPr>
            <w:r>
              <w:rPr>
                <w:rFonts w:ascii="宋体" w:hAnsi="宋体" w:eastAsia="宋体"/>
                <w:sz w:val="16"/>
              </w:rPr>
              <w:t>2024年工作计划及2023年工作总结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31EA2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C2566F">
            <w:pPr>
              <w:jc w:val="center"/>
            </w:pPr>
            <w:r>
              <w:rPr>
                <w:rFonts w:ascii="宋体" w:hAnsi="宋体" w:eastAsia="宋体"/>
                <w:sz w:val="16"/>
              </w:rPr>
              <w:t>99.68%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EB2FFF">
            <w:pPr>
              <w:jc w:val="center"/>
            </w:pPr>
            <w:r>
              <w:rPr>
                <w:rFonts w:ascii="宋体" w:hAnsi="宋体" w:eastAsia="宋体"/>
                <w:sz w:val="16"/>
              </w:rPr>
              <w:t>99.68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642B90">
            <w:pPr>
              <w:jc w:val="center"/>
            </w:pPr>
            <w:r>
              <w:rPr>
                <w:rFonts w:ascii="宋体" w:hAnsi="宋体" w:eastAsia="宋体"/>
                <w:sz w:val="16"/>
              </w:rPr>
              <w:t>19.94</w:t>
            </w:r>
          </w:p>
        </w:tc>
      </w:tr>
      <w:tr w14:paraId="59B353D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5FC34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2C849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E1EEA1">
            <w:pPr>
              <w:jc w:val="center"/>
            </w:pPr>
            <w:r>
              <w:rPr>
                <w:rFonts w:ascii="宋体" w:hAnsi="宋体" w:eastAsia="宋体"/>
                <w:sz w:val="16"/>
              </w:rPr>
              <w:t>为特殊群体帮办代办人次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14541E">
            <w:pPr>
              <w:jc w:val="center"/>
            </w:pPr>
            <w:r>
              <w:rPr>
                <w:rFonts w:ascii="宋体" w:hAnsi="宋体" w:eastAsia="宋体"/>
                <w:sz w:val="16"/>
              </w:rPr>
              <w:t>&gt;=900人次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BA30D1">
            <w:pPr>
              <w:jc w:val="center"/>
            </w:pPr>
            <w:r>
              <w:rPr>
                <w:rFonts w:ascii="宋体" w:hAnsi="宋体" w:eastAsia="宋体"/>
                <w:sz w:val="16"/>
              </w:rPr>
              <w:t>2024年工作计划及2023年工作总结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D2B3C2">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7AE05E">
            <w:pPr>
              <w:jc w:val="center"/>
            </w:pPr>
            <w:r>
              <w:rPr>
                <w:rFonts w:ascii="宋体" w:hAnsi="宋体" w:eastAsia="宋体"/>
                <w:sz w:val="16"/>
              </w:rPr>
              <w:t>920人次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9D1B90">
            <w:pPr>
              <w:jc w:val="center"/>
            </w:pPr>
            <w:r>
              <w:rPr>
                <w:rFonts w:ascii="宋体" w:hAnsi="宋体" w:eastAsia="宋体"/>
                <w:sz w:val="16"/>
              </w:rPr>
              <w:t>102.22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08E44E">
            <w:pPr>
              <w:jc w:val="center"/>
            </w:pPr>
            <w:r>
              <w:rPr>
                <w:rFonts w:ascii="宋体" w:hAnsi="宋体" w:eastAsia="宋体"/>
                <w:sz w:val="16"/>
              </w:rPr>
              <w:t>15</w:t>
            </w:r>
          </w:p>
        </w:tc>
      </w:tr>
      <w:tr w14:paraId="6F12503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82568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38D50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9C2C5E">
            <w:pPr>
              <w:jc w:val="center"/>
            </w:pPr>
            <w:r>
              <w:rPr>
                <w:rFonts w:ascii="宋体" w:hAnsi="宋体" w:eastAsia="宋体"/>
                <w:sz w:val="16"/>
              </w:rPr>
              <w:t>召开相关业务培训会议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0D4071">
            <w:pPr>
              <w:jc w:val="center"/>
            </w:pPr>
            <w:r>
              <w:rPr>
                <w:rFonts w:ascii="宋体" w:hAnsi="宋体" w:eastAsia="宋体"/>
                <w:sz w:val="16"/>
              </w:rPr>
              <w:t>&gt;=3次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F2CA44">
            <w:pPr>
              <w:jc w:val="center"/>
            </w:pPr>
            <w:r>
              <w:rPr>
                <w:rFonts w:ascii="宋体" w:hAnsi="宋体" w:eastAsia="宋体"/>
                <w:sz w:val="16"/>
              </w:rPr>
              <w:t>2024年工作计划及2023年工作总结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EC39D5">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138F8C">
            <w:pPr>
              <w:jc w:val="center"/>
            </w:pPr>
            <w:r>
              <w:rPr>
                <w:rFonts w:ascii="宋体" w:hAnsi="宋体" w:eastAsia="宋体"/>
                <w:sz w:val="16"/>
              </w:rPr>
              <w: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9C26F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974C7A">
            <w:pPr>
              <w:jc w:val="center"/>
            </w:pPr>
            <w:r>
              <w:rPr>
                <w:rFonts w:ascii="宋体" w:hAnsi="宋体" w:eastAsia="宋体"/>
                <w:sz w:val="16"/>
              </w:rPr>
              <w:t>15</w:t>
            </w:r>
          </w:p>
        </w:tc>
      </w:tr>
      <w:tr w14:paraId="55BC7EF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1EAE9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5C6E3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8267F2">
            <w:pPr>
              <w:jc w:val="center"/>
            </w:pPr>
            <w:r>
              <w:rPr>
                <w:rFonts w:ascii="宋体" w:hAnsi="宋体" w:eastAsia="宋体"/>
                <w:sz w:val="16"/>
              </w:rPr>
              <w:t>12345平台处理案件办结率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1D704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73C7ED">
            <w:pPr>
              <w:jc w:val="center"/>
            </w:pPr>
            <w:r>
              <w:rPr>
                <w:rFonts w:ascii="宋体" w:hAnsi="宋体" w:eastAsia="宋体"/>
                <w:sz w:val="16"/>
              </w:rPr>
              <w:t>2024年工作计划及2023年工作总结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AD00E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BB06A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1DA69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4EC36C">
            <w:pPr>
              <w:jc w:val="center"/>
            </w:pPr>
            <w:r>
              <w:rPr>
                <w:rFonts w:ascii="宋体" w:hAnsi="宋体" w:eastAsia="宋体"/>
                <w:sz w:val="16"/>
              </w:rPr>
              <w:t>10</w:t>
            </w:r>
          </w:p>
        </w:tc>
      </w:tr>
    </w:tbl>
    <w:p w14:paraId="6D90C493">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96"/>
        <w:gridCol w:w="776"/>
        <w:gridCol w:w="624"/>
        <w:gridCol w:w="631"/>
        <w:gridCol w:w="626"/>
        <w:gridCol w:w="624"/>
        <w:gridCol w:w="626"/>
        <w:gridCol w:w="696"/>
        <w:gridCol w:w="632"/>
        <w:gridCol w:w="621"/>
        <w:gridCol w:w="632"/>
      </w:tblGrid>
      <w:tr w14:paraId="44EFE086">
        <w:tblPrEx>
          <w:tblCellMar>
            <w:top w:w="0" w:type="dxa"/>
            <w:left w:w="108" w:type="dxa"/>
            <w:bottom w:w="0" w:type="dxa"/>
            <w:right w:w="108" w:type="dxa"/>
          </w:tblCellMar>
        </w:tblPrEx>
        <w:tc>
          <w:tcPr>
            <w:tcW w:w="8848" w:type="dxa"/>
            <w:gridSpan w:val="14"/>
            <w:vAlign w:val="center"/>
          </w:tcPr>
          <w:p w14:paraId="3331E3AD">
            <w:pPr>
              <w:jc w:val="center"/>
            </w:pPr>
            <w:r>
              <w:rPr>
                <w:rFonts w:ascii="宋体" w:hAnsi="宋体" w:eastAsia="宋体"/>
                <w:sz w:val="24"/>
              </w:rPr>
              <w:t>项目支出绩效自评表</w:t>
            </w:r>
          </w:p>
        </w:tc>
      </w:tr>
      <w:tr w14:paraId="67353FAD">
        <w:tblPrEx>
          <w:tblCellMar>
            <w:top w:w="0" w:type="dxa"/>
            <w:left w:w="108" w:type="dxa"/>
            <w:bottom w:w="0" w:type="dxa"/>
            <w:right w:w="108" w:type="dxa"/>
          </w:tblCellMar>
        </w:tblPrEx>
        <w:tc>
          <w:tcPr>
            <w:tcW w:w="8848" w:type="dxa"/>
            <w:gridSpan w:val="14"/>
            <w:vAlign w:val="center"/>
          </w:tcPr>
          <w:p w14:paraId="65FFB735">
            <w:pPr>
              <w:jc w:val="center"/>
            </w:pPr>
            <w:r>
              <w:rPr>
                <w:rFonts w:ascii="宋体" w:hAnsi="宋体" w:eastAsia="宋体"/>
                <w:sz w:val="24"/>
              </w:rPr>
              <w:t>(2024年度)</w:t>
            </w:r>
          </w:p>
        </w:tc>
      </w:tr>
      <w:tr w14:paraId="4BC472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B277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DCA0488">
            <w:pPr>
              <w:jc w:val="center"/>
            </w:pPr>
            <w:r>
              <w:rPr>
                <w:rFonts w:ascii="宋体" w:hAnsi="宋体" w:eastAsia="宋体"/>
                <w:sz w:val="16"/>
              </w:rPr>
              <w:t>疏勒县行政服务中心2024年大厅维护运行项目</w:t>
            </w:r>
          </w:p>
        </w:tc>
      </w:tr>
      <w:tr w14:paraId="4ACC3D1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9E91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482873">
            <w:pPr>
              <w:jc w:val="center"/>
            </w:pPr>
            <w:r>
              <w:rPr>
                <w:rFonts w:ascii="宋体" w:hAnsi="宋体" w:eastAsia="宋体"/>
                <w:sz w:val="16"/>
              </w:rPr>
              <w:t>疏勒县人民政府办公室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848A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EC820F5">
            <w:pPr>
              <w:jc w:val="center"/>
            </w:pPr>
            <w:r>
              <w:rPr>
                <w:rFonts w:ascii="宋体" w:hAnsi="宋体" w:eastAsia="宋体"/>
                <w:sz w:val="16"/>
              </w:rPr>
              <w:t>疏勒县行政服务中心</w:t>
            </w:r>
          </w:p>
        </w:tc>
      </w:tr>
      <w:tr w14:paraId="33D5359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12578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701B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C530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C966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CCC8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D16C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289D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253DB">
            <w:pPr>
              <w:jc w:val="center"/>
            </w:pPr>
            <w:r>
              <w:rPr>
                <w:rFonts w:ascii="宋体" w:hAnsi="宋体" w:eastAsia="宋体"/>
                <w:sz w:val="16"/>
              </w:rPr>
              <w:t>得分</w:t>
            </w:r>
          </w:p>
        </w:tc>
      </w:tr>
      <w:tr w14:paraId="5452C5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1CFD3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2FA2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84894">
            <w:pPr>
              <w:jc w:val="center"/>
            </w:pPr>
            <w:r>
              <w:rPr>
                <w:rFonts w:ascii="宋体" w:hAnsi="宋体" w:eastAsia="宋体"/>
                <w:sz w:val="16"/>
              </w:rPr>
              <w:t>61.92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80F87">
            <w:pPr>
              <w:jc w:val="center"/>
            </w:pPr>
            <w:r>
              <w:rPr>
                <w:rFonts w:ascii="宋体" w:hAnsi="宋体" w:eastAsia="宋体"/>
                <w:sz w:val="16"/>
              </w:rPr>
              <w:t>67.34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2898DB">
            <w:pPr>
              <w:jc w:val="center"/>
            </w:pPr>
            <w:r>
              <w:rPr>
                <w:rFonts w:ascii="宋体" w:hAnsi="宋体" w:eastAsia="宋体"/>
                <w:sz w:val="16"/>
              </w:rPr>
              <w:t>67.34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114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562C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3A6D5">
            <w:pPr>
              <w:jc w:val="center"/>
            </w:pPr>
            <w:r>
              <w:rPr>
                <w:rFonts w:ascii="宋体" w:hAnsi="宋体" w:eastAsia="宋体"/>
                <w:sz w:val="16"/>
              </w:rPr>
              <w:t>10.00分</w:t>
            </w:r>
          </w:p>
        </w:tc>
      </w:tr>
      <w:tr w14:paraId="304627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C9A1E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1AAF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998A3">
            <w:pPr>
              <w:jc w:val="center"/>
            </w:pPr>
            <w:r>
              <w:rPr>
                <w:rFonts w:ascii="宋体" w:hAnsi="宋体" w:eastAsia="宋体"/>
                <w:sz w:val="16"/>
              </w:rPr>
              <w:t>61.92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C1B4D">
            <w:pPr>
              <w:jc w:val="center"/>
            </w:pPr>
            <w:r>
              <w:rPr>
                <w:rFonts w:ascii="宋体" w:hAnsi="宋体" w:eastAsia="宋体"/>
                <w:sz w:val="16"/>
              </w:rPr>
              <w:t>67.34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5700F">
            <w:pPr>
              <w:jc w:val="center"/>
            </w:pPr>
            <w:r>
              <w:rPr>
                <w:rFonts w:ascii="宋体" w:hAnsi="宋体" w:eastAsia="宋体"/>
                <w:sz w:val="16"/>
              </w:rPr>
              <w:t>67.34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E02A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872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138CB">
            <w:pPr>
              <w:jc w:val="center"/>
            </w:pPr>
            <w:r>
              <w:rPr>
                <w:rFonts w:ascii="宋体" w:hAnsi="宋体" w:eastAsia="宋体"/>
                <w:sz w:val="16"/>
              </w:rPr>
              <w:t>—</w:t>
            </w:r>
          </w:p>
        </w:tc>
      </w:tr>
      <w:tr w14:paraId="58CEDC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55AD8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B578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EB41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EE5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9D5A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25A6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692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35F55">
            <w:pPr>
              <w:jc w:val="center"/>
            </w:pPr>
            <w:r>
              <w:rPr>
                <w:rFonts w:ascii="宋体" w:hAnsi="宋体" w:eastAsia="宋体"/>
                <w:sz w:val="16"/>
              </w:rPr>
              <w:t>—</w:t>
            </w:r>
          </w:p>
        </w:tc>
      </w:tr>
      <w:tr w14:paraId="7CEE5BB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EA222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64EC9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2440E7">
            <w:pPr>
              <w:jc w:val="center"/>
            </w:pPr>
            <w:r>
              <w:rPr>
                <w:rFonts w:ascii="宋体" w:hAnsi="宋体" w:eastAsia="宋体"/>
                <w:sz w:val="16"/>
              </w:rPr>
              <w:t>实际完成情况</w:t>
            </w:r>
          </w:p>
        </w:tc>
      </w:tr>
      <w:tr w14:paraId="5D02B5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5D446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4B9FA8">
            <w:pPr>
              <w:jc w:val="both"/>
            </w:pPr>
            <w:r>
              <w:rPr>
                <w:rFonts w:ascii="宋体" w:hAnsi="宋体" w:eastAsia="宋体"/>
                <w:sz w:val="16"/>
              </w:rPr>
              <w:t>该项目资金 67.34万元，保障90个办公窗口的正常运行，办公人员82人的日常办公经费的支出，该项目实施后可以保障大厅的日常办公需求，进一步改善办事群众和办公人员的办事办公需求，进一步提高疏勒县的营商环境，促进经济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2BA002">
            <w:pPr>
              <w:jc w:val="both"/>
            </w:pPr>
            <w:r>
              <w:rPr>
                <w:rFonts w:hint="eastAsia" w:ascii="宋体" w:hAnsi="宋体"/>
                <w:sz w:val="16"/>
                <w:lang w:eastAsia="zh-CN"/>
              </w:rPr>
              <w:t>截至2024</w:t>
            </w:r>
            <w:r>
              <w:rPr>
                <w:rFonts w:ascii="宋体" w:hAnsi="宋体" w:eastAsia="宋体"/>
                <w:sz w:val="16"/>
              </w:rPr>
              <w:t>年12月31日，项目实际投资总额为67.34万元，保障服务大厅办公窗口数量94个，窗口服务人员82个，该项目的实施,有力</w:t>
            </w:r>
            <w:r>
              <w:rPr>
                <w:rFonts w:hint="eastAsia" w:ascii="宋体" w:hAnsi="宋体"/>
                <w:sz w:val="16"/>
                <w:lang w:eastAsia="zh-CN"/>
              </w:rPr>
              <w:t>地</w:t>
            </w:r>
            <w:r>
              <w:rPr>
                <w:rFonts w:ascii="宋体" w:hAnsi="宋体" w:eastAsia="宋体"/>
                <w:sz w:val="16"/>
              </w:rPr>
              <w:t>保障了大厅窗口的正常运转，进一步改善办事群众和办公人员的办事办公环境，改善了疏勒县的营商环境，促进经济发展,办事群众满意度99%。</w:t>
            </w:r>
          </w:p>
        </w:tc>
      </w:tr>
      <w:tr w14:paraId="2BCD7B3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CB36E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3FAE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4068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1F55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39DF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E401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0E21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637C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D4AE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3B8C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BC78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E262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6B322">
            <w:pPr>
              <w:jc w:val="center"/>
            </w:pPr>
            <w:r>
              <w:rPr>
                <w:rFonts w:ascii="宋体" w:hAnsi="宋体" w:eastAsia="宋体"/>
                <w:sz w:val="16"/>
              </w:rPr>
              <w:t>偏差原因分析及改进措施</w:t>
            </w:r>
          </w:p>
        </w:tc>
      </w:tr>
      <w:tr w14:paraId="3B71C61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15993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46FC8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B61EE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B57C5">
            <w:pPr>
              <w:jc w:val="center"/>
            </w:pPr>
            <w:r>
              <w:rPr>
                <w:rFonts w:ascii="宋体" w:hAnsi="宋体" w:eastAsia="宋体"/>
                <w:sz w:val="16"/>
              </w:rPr>
              <w:t>保障办公窗口数量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BC8B2">
            <w:pPr>
              <w:jc w:val="center"/>
            </w:pPr>
            <w:r>
              <w:rPr>
                <w:rFonts w:ascii="宋体" w:hAnsi="宋体" w:eastAsia="宋体"/>
                <w:sz w:val="16"/>
              </w:rPr>
              <w:t>&gt;=90个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486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DE761">
            <w:pPr>
              <w:jc w:val="center"/>
            </w:pPr>
            <w:r>
              <w:rPr>
                <w:rFonts w:ascii="宋体" w:hAnsi="宋体" w:eastAsia="宋体"/>
                <w:sz w:val="16"/>
              </w:rPr>
              <w:t>90个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210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71A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361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AA7E1">
            <w:pPr>
              <w:jc w:val="center"/>
            </w:pPr>
            <w:r>
              <w:rPr>
                <w:rFonts w:ascii="宋体" w:hAnsi="宋体" w:eastAsia="宋体"/>
                <w:sz w:val="16"/>
              </w:rPr>
              <w:t>=94个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2B71D">
            <w:pPr>
              <w:jc w:val="center"/>
            </w:pPr>
            <w:r>
              <w:rPr>
                <w:rFonts w:ascii="宋体" w:hAnsi="宋体" w:eastAsia="宋体"/>
                <w:sz w:val="16"/>
              </w:rPr>
              <w:t>9.56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A703B">
            <w:pPr>
              <w:jc w:val="center"/>
            </w:pPr>
          </w:p>
        </w:tc>
      </w:tr>
      <w:tr w14:paraId="251EBB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D0D0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ED7E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8CFE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E1394">
            <w:pPr>
              <w:jc w:val="center"/>
            </w:pPr>
            <w:r>
              <w:rPr>
                <w:rFonts w:ascii="宋体" w:hAnsi="宋体" w:eastAsia="宋体"/>
                <w:sz w:val="16"/>
              </w:rPr>
              <w:t>保障办公人员数量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F2232">
            <w:pPr>
              <w:jc w:val="center"/>
            </w:pPr>
            <w:r>
              <w:rPr>
                <w:rFonts w:ascii="宋体" w:hAnsi="宋体" w:eastAsia="宋体"/>
                <w:sz w:val="16"/>
              </w:rPr>
              <w:t>&gt;=82人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A22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9CAAD">
            <w:pPr>
              <w:jc w:val="center"/>
            </w:pPr>
            <w:r>
              <w:rPr>
                <w:rFonts w:ascii="宋体" w:hAnsi="宋体" w:eastAsia="宋体"/>
                <w:sz w:val="16"/>
              </w:rPr>
              <w:t>82个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11C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6D0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A0D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A403A">
            <w:pPr>
              <w:jc w:val="center"/>
            </w:pPr>
            <w:r>
              <w:rPr>
                <w:rFonts w:ascii="宋体" w:hAnsi="宋体" w:eastAsia="宋体"/>
                <w:sz w:val="16"/>
              </w:rPr>
              <w:t>=82人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AE59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CDE7B">
            <w:pPr>
              <w:jc w:val="center"/>
            </w:pPr>
          </w:p>
        </w:tc>
      </w:tr>
      <w:tr w14:paraId="0B89E5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32BA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CB5E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E684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80E0C">
            <w:pPr>
              <w:jc w:val="center"/>
            </w:pPr>
            <w:r>
              <w:rPr>
                <w:rFonts w:ascii="宋体" w:hAnsi="宋体" w:eastAsia="宋体"/>
                <w:sz w:val="16"/>
              </w:rPr>
              <w:t>人员考核合格率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A89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C20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C7D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956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57B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290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634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BABC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9E4D1">
            <w:pPr>
              <w:jc w:val="center"/>
            </w:pPr>
          </w:p>
        </w:tc>
      </w:tr>
      <w:tr w14:paraId="10DC20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3A53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2AF2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060E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24C2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1FA01">
            <w:pPr>
              <w:jc w:val="center"/>
            </w:pPr>
            <w:r>
              <w:rPr>
                <w:rFonts w:ascii="宋体" w:hAnsi="宋体" w:eastAsia="宋体"/>
                <w:sz w:val="16"/>
              </w:rPr>
              <w:t>=2024年12月24日前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6B4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420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11C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53E9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DD9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71DCD">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7E7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CC661">
            <w:pPr>
              <w:jc w:val="center"/>
            </w:pPr>
          </w:p>
        </w:tc>
      </w:tr>
      <w:tr w14:paraId="4C4DF9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953DF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A116D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69416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55DB8">
            <w:pPr>
              <w:jc w:val="center"/>
            </w:pPr>
            <w:r>
              <w:rPr>
                <w:rFonts w:ascii="宋体" w:hAnsi="宋体" w:eastAsia="宋体"/>
                <w:sz w:val="16"/>
              </w:rPr>
              <w:t>水电网费控制成本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A6DB2">
            <w:pPr>
              <w:jc w:val="center"/>
            </w:pPr>
            <w:r>
              <w:rPr>
                <w:rFonts w:ascii="宋体" w:hAnsi="宋体" w:eastAsia="宋体"/>
                <w:sz w:val="16"/>
              </w:rPr>
              <w:t>&lt;=27.97万元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4F8E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7B26E">
            <w:pPr>
              <w:jc w:val="center"/>
            </w:pPr>
            <w:r>
              <w:rPr>
                <w:rFonts w:ascii="宋体" w:hAnsi="宋体" w:eastAsia="宋体"/>
                <w:sz w:val="16"/>
              </w:rPr>
              <w:t>26.13万元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797A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E30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2D8DE">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9DB8E">
            <w:pPr>
              <w:jc w:val="center"/>
            </w:pPr>
            <w:r>
              <w:rPr>
                <w:rFonts w:ascii="宋体" w:hAnsi="宋体" w:eastAsia="宋体"/>
                <w:sz w:val="16"/>
              </w:rPr>
              <w:t>=27.97万元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511E0">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626FF">
            <w:pPr>
              <w:jc w:val="center"/>
            </w:pPr>
          </w:p>
        </w:tc>
      </w:tr>
      <w:tr w14:paraId="2BB523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4ADF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675D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F221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3E0A6">
            <w:pPr>
              <w:jc w:val="center"/>
            </w:pPr>
            <w:r>
              <w:rPr>
                <w:rFonts w:ascii="宋体" w:hAnsi="宋体" w:eastAsia="宋体"/>
                <w:sz w:val="16"/>
              </w:rPr>
              <w:t>委托业务费控制成本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0E11B">
            <w:pPr>
              <w:jc w:val="center"/>
            </w:pPr>
            <w:r>
              <w:rPr>
                <w:rFonts w:ascii="宋体" w:hAnsi="宋体" w:eastAsia="宋体"/>
                <w:sz w:val="16"/>
              </w:rPr>
              <w:t>&lt;=18.75万元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1B73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664F9">
            <w:pPr>
              <w:jc w:val="center"/>
            </w:pPr>
            <w:r>
              <w:rPr>
                <w:rFonts w:ascii="宋体" w:hAnsi="宋体" w:eastAsia="宋体"/>
                <w:sz w:val="16"/>
              </w:rPr>
              <w:t>25.9万元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D02B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0C0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A7F9E">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31FD0">
            <w:pPr>
              <w:jc w:val="center"/>
            </w:pPr>
            <w:r>
              <w:rPr>
                <w:rFonts w:ascii="宋体" w:hAnsi="宋体" w:eastAsia="宋体"/>
                <w:sz w:val="16"/>
              </w:rPr>
              <w:t>=18.75万元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6728E">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DC7DA">
            <w:pPr>
              <w:jc w:val="center"/>
            </w:pPr>
          </w:p>
        </w:tc>
      </w:tr>
      <w:tr w14:paraId="15CFFE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BC89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9A0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3161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DA647">
            <w:pPr>
              <w:jc w:val="center"/>
            </w:pPr>
            <w:r>
              <w:rPr>
                <w:rFonts w:ascii="宋体" w:hAnsi="宋体" w:eastAsia="宋体"/>
                <w:sz w:val="16"/>
              </w:rPr>
              <w:t>办公费控制成本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2F0F3">
            <w:pPr>
              <w:jc w:val="center"/>
            </w:pPr>
            <w:r>
              <w:rPr>
                <w:rFonts w:ascii="宋体" w:hAnsi="宋体" w:eastAsia="宋体"/>
                <w:sz w:val="16"/>
              </w:rPr>
              <w:t>&lt;=1.40万元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9517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56C7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F511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3B9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3EE9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9024E">
            <w:pPr>
              <w:jc w:val="center"/>
            </w:pPr>
            <w:r>
              <w:rPr>
                <w:rFonts w:ascii="宋体" w:hAnsi="宋体" w:eastAsia="宋体"/>
                <w:sz w:val="16"/>
              </w:rPr>
              <w: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77951">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928A07">
            <w:pPr>
              <w:jc w:val="center"/>
            </w:pPr>
          </w:p>
        </w:tc>
      </w:tr>
      <w:tr w14:paraId="737736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FFE4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ED11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3A8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683A1">
            <w:pPr>
              <w:jc w:val="center"/>
            </w:pPr>
            <w:r>
              <w:rPr>
                <w:rFonts w:ascii="宋体" w:hAnsi="宋体" w:eastAsia="宋体"/>
                <w:sz w:val="16"/>
              </w:rPr>
              <w:t>劳务费成本控制成本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9FAD9">
            <w:pPr>
              <w:jc w:val="center"/>
            </w:pPr>
            <w:r>
              <w:rPr>
                <w:rFonts w:ascii="宋体" w:hAnsi="宋体" w:eastAsia="宋体"/>
                <w:sz w:val="16"/>
              </w:rPr>
              <w:t>&lt;=18.37万元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62A6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6C354">
            <w:pPr>
              <w:jc w:val="center"/>
            </w:pPr>
            <w:r>
              <w:rPr>
                <w:rFonts w:ascii="宋体" w:hAnsi="宋体" w:eastAsia="宋体"/>
                <w:sz w:val="16"/>
              </w:rPr>
              <w:t>13.47万元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C046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DAE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1961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EA688">
            <w:pPr>
              <w:jc w:val="center"/>
            </w:pPr>
            <w:r>
              <w:rPr>
                <w:rFonts w:ascii="宋体" w:hAnsi="宋体" w:eastAsia="宋体"/>
                <w:sz w:val="16"/>
              </w:rPr>
              <w:t>=18.37万元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E1ABD">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C5C7D">
            <w:pPr>
              <w:jc w:val="center"/>
            </w:pPr>
          </w:p>
        </w:tc>
      </w:tr>
      <w:tr w14:paraId="038045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986F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608E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3687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20168">
            <w:pPr>
              <w:jc w:val="center"/>
            </w:pPr>
            <w:r>
              <w:rPr>
                <w:rFonts w:ascii="宋体" w:hAnsi="宋体" w:eastAsia="宋体"/>
                <w:sz w:val="16"/>
              </w:rPr>
              <w:t>维护（修）费成本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78B25">
            <w:pPr>
              <w:jc w:val="center"/>
            </w:pPr>
            <w:r>
              <w:rPr>
                <w:rFonts w:ascii="宋体" w:hAnsi="宋体" w:eastAsia="宋体"/>
                <w:sz w:val="16"/>
              </w:rPr>
              <w:t>&lt;=0.85万元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4FD5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4C01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8CE9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D15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9CC2C">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D176B">
            <w:pPr>
              <w:jc w:val="center"/>
            </w:pPr>
            <w:r>
              <w:rPr>
                <w:rFonts w:ascii="宋体" w:hAnsi="宋体" w:eastAsia="宋体"/>
                <w:sz w:val="16"/>
              </w:rPr>
              <w:t>=0.85万元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3EA97">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94880">
            <w:pPr>
              <w:jc w:val="center"/>
            </w:pPr>
          </w:p>
        </w:tc>
      </w:tr>
      <w:tr w14:paraId="633B24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E058E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34C226">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0BFD8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B2CAB">
            <w:pPr>
              <w:jc w:val="center"/>
            </w:pPr>
            <w:r>
              <w:rPr>
                <w:rFonts w:ascii="宋体" w:hAnsi="宋体" w:eastAsia="宋体"/>
                <w:sz w:val="16"/>
              </w:rPr>
              <w:t>提升窗口服务能力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82B5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60E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D2B8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5D8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0550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5FC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178B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8222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15863">
            <w:pPr>
              <w:jc w:val="center"/>
            </w:pPr>
          </w:p>
        </w:tc>
      </w:tr>
      <w:tr w14:paraId="789431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EB43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1E2E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5CF8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8369D">
            <w:pPr>
              <w:jc w:val="center"/>
            </w:pPr>
            <w:r>
              <w:rPr>
                <w:rFonts w:ascii="宋体" w:hAnsi="宋体" w:eastAsia="宋体"/>
                <w:sz w:val="16"/>
              </w:rPr>
              <w:t>疏勒县营商环境，促进经济发展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ECA15">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498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9D7D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F03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96FA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0B9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21984">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2B03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20CB9">
            <w:pPr>
              <w:jc w:val="center"/>
            </w:pPr>
          </w:p>
        </w:tc>
      </w:tr>
      <w:tr w14:paraId="33B127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AB37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A742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3888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713C2">
            <w:pPr>
              <w:jc w:val="center"/>
            </w:pPr>
            <w:r>
              <w:rPr>
                <w:rFonts w:ascii="宋体" w:hAnsi="宋体" w:eastAsia="宋体"/>
                <w:sz w:val="16"/>
              </w:rPr>
              <w:t>办事群众满意度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A593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737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CD4F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5DB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65B2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843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11DEF">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F02C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8E857">
            <w:pPr>
              <w:jc w:val="center"/>
            </w:pPr>
            <w:r>
              <w:rPr>
                <w:rFonts w:ascii="宋体" w:hAnsi="宋体" w:eastAsia="宋体"/>
                <w:sz w:val="16"/>
              </w:rPr>
              <w:t>原因分析：该项目指标群众满意度为&gt;=95%，因项目实际问卷调查满意度为101.02%,故指标偏差为1.02%。改进措施为：根据项目实际情况，合理设置预期指标值</w:t>
            </w:r>
            <w:r>
              <w:rPr>
                <w:rFonts w:hint="eastAsia" w:ascii="宋体" w:hAnsi="宋体"/>
                <w:sz w:val="16"/>
                <w:lang w:eastAsia="zh-CN"/>
              </w:rPr>
              <w:t>，</w:t>
            </w:r>
            <w:bookmarkStart w:id="0" w:name="_GoBack"/>
            <w:r>
              <w:rPr>
                <w:rFonts w:hint="eastAsia" w:ascii="宋体" w:hAnsi="宋体"/>
                <w:sz w:val="16"/>
                <w:lang w:eastAsia="zh-CN"/>
              </w:rPr>
              <w:t>同时</w:t>
            </w:r>
            <w:bookmarkEnd w:id="0"/>
            <w:r>
              <w:rPr>
                <w:rFonts w:ascii="宋体" w:hAnsi="宋体" w:eastAsia="宋体"/>
                <w:sz w:val="16"/>
              </w:rPr>
              <w:t>完成值与预期目标值相一致。</w:t>
            </w:r>
          </w:p>
        </w:tc>
      </w:tr>
      <w:tr w14:paraId="272E086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8FAB4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7CFC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8522D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DB5A0">
            <w:pPr>
              <w:jc w:val="center"/>
            </w:pPr>
            <w:r>
              <w:rPr>
                <w:rFonts w:ascii="宋体" w:hAnsi="宋体" w:eastAsia="宋体"/>
                <w:sz w:val="16"/>
              </w:rPr>
              <w:t>99.56分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3DE768F"/>
        </w:tc>
      </w:tr>
    </w:tbl>
    <w:p w14:paraId="728160C3">
      <w:r>
        <w:br w:type="page"/>
      </w:r>
    </w:p>
    <w:p w14:paraId="054FBA5A">
      <w:pPr>
        <w:spacing w:line="640" w:lineRule="exact"/>
        <w:ind w:firstLine="640"/>
        <w:jc w:val="both"/>
        <w:outlineLvl w:val="2"/>
      </w:pPr>
      <w:r>
        <w:rPr>
          <w:rFonts w:ascii="黑体" w:hAnsi="黑体" w:eastAsia="黑体"/>
          <w:sz w:val="32"/>
        </w:rPr>
        <w:t>十二、其他需说明的事项</w:t>
      </w:r>
    </w:p>
    <w:p w14:paraId="5CB714E4">
      <w:pPr>
        <w:spacing w:line="580" w:lineRule="exact"/>
        <w:ind w:firstLine="640"/>
        <w:jc w:val="both"/>
      </w:pPr>
      <w:r>
        <w:rPr>
          <w:rFonts w:ascii="仿宋_GB2312" w:hAnsi="仿宋_GB2312" w:eastAsia="仿宋_GB2312"/>
          <w:b w:val="0"/>
          <w:sz w:val="32"/>
        </w:rPr>
        <w:t>本单位无其他需说明的事项。</w:t>
      </w:r>
    </w:p>
    <w:p w14:paraId="24762BF9">
      <w:r>
        <w:br w:type="page"/>
      </w:r>
    </w:p>
    <w:p w14:paraId="0A9892B4">
      <w:pPr>
        <w:spacing w:line="240" w:lineRule="auto"/>
        <w:jc w:val="center"/>
        <w:outlineLvl w:val="1"/>
      </w:pPr>
      <w:r>
        <w:rPr>
          <w:rFonts w:ascii="黑体" w:hAnsi="黑体" w:eastAsia="黑体"/>
          <w:sz w:val="32"/>
        </w:rPr>
        <w:t>第三部分 专业名词解释</w:t>
      </w:r>
    </w:p>
    <w:p w14:paraId="4D20290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5E511A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B7A367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B4E140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76A8E5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133E22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1A7257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852804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FF8031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AB0FBF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E90D2C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E41208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AB1E0D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16152E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B7FB7B7">
      <w:r>
        <w:br w:type="page"/>
      </w:r>
    </w:p>
    <w:p w14:paraId="5F1D23F8">
      <w:pPr>
        <w:spacing w:line="240" w:lineRule="auto"/>
        <w:jc w:val="center"/>
        <w:outlineLvl w:val="1"/>
      </w:pPr>
      <w:r>
        <w:rPr>
          <w:rFonts w:ascii="黑体" w:hAnsi="黑体" w:eastAsia="黑体"/>
          <w:sz w:val="32"/>
        </w:rPr>
        <w:t>第四部分 部门决算报表（见附表）</w:t>
      </w:r>
    </w:p>
    <w:p w14:paraId="1F4C7ABB">
      <w:pPr>
        <w:spacing w:line="240" w:lineRule="auto"/>
        <w:ind w:firstLine="640"/>
        <w:jc w:val="both"/>
      </w:pPr>
      <w:r>
        <w:rPr>
          <w:rFonts w:ascii="仿宋_GB2312" w:hAnsi="仿宋_GB2312" w:eastAsia="仿宋_GB2312"/>
          <w:b w:val="0"/>
          <w:sz w:val="32"/>
        </w:rPr>
        <w:t>一、《收入支出决算总表》</w:t>
      </w:r>
    </w:p>
    <w:p w14:paraId="726AEEDD">
      <w:pPr>
        <w:spacing w:line="240" w:lineRule="auto"/>
        <w:ind w:firstLine="640"/>
        <w:jc w:val="both"/>
      </w:pPr>
      <w:r>
        <w:rPr>
          <w:rFonts w:ascii="仿宋_GB2312" w:hAnsi="仿宋_GB2312" w:eastAsia="仿宋_GB2312"/>
          <w:b w:val="0"/>
          <w:sz w:val="32"/>
        </w:rPr>
        <w:t>二、《收入决算表》</w:t>
      </w:r>
    </w:p>
    <w:p w14:paraId="725AE81A">
      <w:pPr>
        <w:spacing w:line="240" w:lineRule="auto"/>
        <w:ind w:firstLine="640"/>
        <w:jc w:val="both"/>
      </w:pPr>
      <w:r>
        <w:rPr>
          <w:rFonts w:ascii="仿宋_GB2312" w:hAnsi="仿宋_GB2312" w:eastAsia="仿宋_GB2312"/>
          <w:b w:val="0"/>
          <w:sz w:val="32"/>
        </w:rPr>
        <w:t>三、《支出决算表》</w:t>
      </w:r>
    </w:p>
    <w:p w14:paraId="6BE4DA58">
      <w:pPr>
        <w:spacing w:line="240" w:lineRule="auto"/>
        <w:ind w:firstLine="640"/>
        <w:jc w:val="both"/>
      </w:pPr>
      <w:r>
        <w:rPr>
          <w:rFonts w:ascii="仿宋_GB2312" w:hAnsi="仿宋_GB2312" w:eastAsia="仿宋_GB2312"/>
          <w:b w:val="0"/>
          <w:sz w:val="32"/>
        </w:rPr>
        <w:t>四、《财政拨款收入支出决算总表》</w:t>
      </w:r>
    </w:p>
    <w:p w14:paraId="47D70B1A">
      <w:pPr>
        <w:spacing w:line="240" w:lineRule="auto"/>
        <w:ind w:firstLine="640"/>
        <w:jc w:val="both"/>
      </w:pPr>
      <w:r>
        <w:rPr>
          <w:rFonts w:ascii="仿宋_GB2312" w:hAnsi="仿宋_GB2312" w:eastAsia="仿宋_GB2312"/>
          <w:b w:val="0"/>
          <w:sz w:val="32"/>
        </w:rPr>
        <w:t>五、《一般公共预算财政拨款支出决算表》</w:t>
      </w:r>
    </w:p>
    <w:p w14:paraId="2BD21DA2">
      <w:pPr>
        <w:spacing w:line="240" w:lineRule="auto"/>
        <w:ind w:firstLine="640"/>
        <w:jc w:val="both"/>
      </w:pPr>
      <w:r>
        <w:rPr>
          <w:rFonts w:ascii="仿宋_GB2312" w:hAnsi="仿宋_GB2312" w:eastAsia="仿宋_GB2312"/>
          <w:b w:val="0"/>
          <w:sz w:val="32"/>
        </w:rPr>
        <w:t>六、《一般公共预算财政拨款基本支出决算表》</w:t>
      </w:r>
    </w:p>
    <w:p w14:paraId="3A873AE2">
      <w:pPr>
        <w:spacing w:line="240" w:lineRule="auto"/>
        <w:ind w:firstLine="640"/>
        <w:jc w:val="both"/>
      </w:pPr>
      <w:r>
        <w:rPr>
          <w:rFonts w:ascii="仿宋_GB2312" w:hAnsi="仿宋_GB2312" w:eastAsia="仿宋_GB2312"/>
          <w:b w:val="0"/>
          <w:sz w:val="32"/>
        </w:rPr>
        <w:t>七、《政府性基金预算财政拨款收入支出决算表》</w:t>
      </w:r>
    </w:p>
    <w:p w14:paraId="1944802A">
      <w:pPr>
        <w:spacing w:line="240" w:lineRule="auto"/>
        <w:ind w:firstLine="640"/>
        <w:jc w:val="both"/>
      </w:pPr>
      <w:r>
        <w:rPr>
          <w:rFonts w:ascii="仿宋_GB2312" w:hAnsi="仿宋_GB2312" w:eastAsia="仿宋_GB2312"/>
          <w:b w:val="0"/>
          <w:sz w:val="32"/>
        </w:rPr>
        <w:t>八、《国有资本经营预算财政拨款收入支出决算表》</w:t>
      </w:r>
    </w:p>
    <w:p w14:paraId="739E82BC">
      <w:pPr>
        <w:spacing w:line="240" w:lineRule="auto"/>
        <w:ind w:firstLine="640"/>
        <w:jc w:val="both"/>
      </w:pPr>
      <w:r>
        <w:rPr>
          <w:rFonts w:ascii="仿宋_GB2312" w:hAnsi="仿宋_GB2312" w:eastAsia="仿宋_GB2312"/>
          <w:b w:val="0"/>
          <w:sz w:val="32"/>
        </w:rPr>
        <w:t>九、《财政拨款“三公”经费支出决算表》</w:t>
      </w:r>
    </w:p>
    <w:p w14:paraId="1F024297">
      <w:pPr>
        <w:spacing w:line="240" w:lineRule="auto"/>
        <w:ind w:firstLine="640"/>
        <w:jc w:val="both"/>
      </w:pPr>
    </w:p>
    <w:p w14:paraId="7916CADD">
      <w:pPr>
        <w:spacing w:line="240" w:lineRule="auto"/>
        <w:ind w:firstLine="640"/>
        <w:jc w:val="both"/>
      </w:pPr>
    </w:p>
    <w:p w14:paraId="350891DB">
      <w:pPr>
        <w:spacing w:line="240" w:lineRule="auto"/>
        <w:ind w:firstLine="640"/>
        <w:jc w:val="both"/>
      </w:pPr>
    </w:p>
    <w:p w14:paraId="63B402DC">
      <w:pPr>
        <w:spacing w:line="240" w:lineRule="auto"/>
        <w:ind w:firstLine="640"/>
        <w:jc w:val="both"/>
      </w:pPr>
    </w:p>
    <w:p w14:paraId="3C16FE4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7F4179D-0905-4B99-A4D0-9AD289B42F9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AA4912FF-10CB-4C63-8491-DD8DA52F0E59}"/>
  </w:font>
  <w:font w:name="仿宋_GB2312">
    <w:panose1 w:val="02010609030101010101"/>
    <w:charset w:val="86"/>
    <w:family w:val="modern"/>
    <w:pitch w:val="default"/>
    <w:sig w:usb0="00000001" w:usb1="080E0000" w:usb2="00000000" w:usb3="00000000" w:csb0="00040000" w:csb1="00000000"/>
    <w:embedRegular r:id="rId3" w:fontKey="{ADB521E7-1895-4982-9E1A-03B7E1BA577D}"/>
  </w:font>
  <w:font w:name="楷体_GB2312">
    <w:panose1 w:val="02010609030101010101"/>
    <w:charset w:val="86"/>
    <w:family w:val="auto"/>
    <w:pitch w:val="default"/>
    <w:sig w:usb0="00000001" w:usb1="080E0000" w:usb2="00000000" w:usb3="00000000" w:csb0="00040000" w:csb1="00000000"/>
    <w:embedRegular r:id="rId4" w:fontKey="{2A6C95F3-190A-46B4-8205-4DCA50AAA3FA}"/>
  </w:font>
  <w:font w:name="WPSEMBED17">
    <w:panose1 w:val="02010609030101010101"/>
    <w:charset w:val="86"/>
    <w:family w:val="auto"/>
    <w:pitch w:val="default"/>
    <w:sig w:usb0="00000001" w:usb1="080E0000" w:usb2="00000000" w:usb3="00000000" w:csb0="00040000" w:csb1="00000000"/>
  </w:font>
  <w:font w:name="WPSEMBED18">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0C15C92"/>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46D02DF"/>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4733</Words>
  <Characters>5396</Characters>
  <Lines>0</Lines>
  <Paragraphs>0</Paragraphs>
  <TotalTime>2</TotalTime>
  <ScaleCrop>false</ScaleCrop>
  <LinksUpToDate>false</LinksUpToDate>
  <CharactersWithSpaces>5404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2025-09-26T05:32:16Z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