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疏勒县林场2024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1C4F12F">
      <w:r>
        <w:br w:type="page"/>
      </w:r>
    </w:p>
    <w:p w14:paraId="3BE6658A">
      <w:pPr>
        <w:spacing w:line="640" w:lineRule="exact"/>
        <w:jc w:val="center"/>
        <w:outlineLvl w:val="1"/>
      </w:pPr>
      <w:r>
        <w:rPr>
          <w:rFonts w:ascii="黑体" w:hAnsi="黑体" w:eastAsia="黑体"/>
          <w:sz w:val="32"/>
        </w:rPr>
        <w:t>第一部分 单位概况</w:t>
      </w:r>
    </w:p>
    <w:p w14:paraId="10BE824C">
      <w:pPr>
        <w:spacing w:line="640" w:lineRule="exact"/>
        <w:ind w:firstLine="640"/>
        <w:jc w:val="both"/>
        <w:outlineLvl w:val="2"/>
      </w:pPr>
      <w:r>
        <w:rPr>
          <w:rFonts w:ascii="黑体" w:hAnsi="黑体" w:eastAsia="黑体"/>
          <w:sz w:val="32"/>
        </w:rPr>
        <w:t>一、主要职能</w:t>
      </w:r>
    </w:p>
    <w:p w14:paraId="133A2A3D">
      <w:pPr>
        <w:spacing w:line="580" w:lineRule="exact"/>
        <w:ind w:firstLine="640"/>
        <w:jc w:val="both"/>
      </w:pPr>
      <w:r>
        <w:rPr>
          <w:rFonts w:ascii="仿宋_GB2312" w:hAnsi="仿宋_GB2312" w:eastAsia="仿宋_GB2312"/>
          <w:sz w:val="32"/>
        </w:rPr>
        <w:t>（1）保护森林资源、实施生态建设及防沙治沙、森林抚育，林木良种选育、林业科技服务，林木种苗繁育、林业产业发展等生态公益服务。</w:t>
      </w:r>
    </w:p>
    <w:p w14:paraId="78F3FEFA">
      <w:pPr>
        <w:spacing w:line="580" w:lineRule="exact"/>
        <w:ind w:firstLine="640"/>
        <w:jc w:val="both"/>
      </w:pPr>
      <w:r>
        <w:rPr>
          <w:rFonts w:ascii="仿宋_GB2312" w:hAnsi="仿宋_GB2312" w:eastAsia="仿宋_GB2312"/>
          <w:sz w:val="32"/>
        </w:rPr>
        <w:t>（2）促进林业发展，国有苗圃规划，林木种苗生产供应，林木良种选育与新技术推广。</w:t>
      </w:r>
    </w:p>
    <w:p w14:paraId="6DCA001F">
      <w:pPr>
        <w:spacing w:line="640" w:lineRule="exact"/>
        <w:ind w:firstLine="640"/>
        <w:jc w:val="both"/>
        <w:outlineLvl w:val="2"/>
      </w:pPr>
      <w:r>
        <w:rPr>
          <w:rFonts w:ascii="黑体" w:hAnsi="黑体" w:eastAsia="黑体"/>
          <w:sz w:val="32"/>
        </w:rPr>
        <w:t>二、机构设置及人员情况</w:t>
      </w:r>
    </w:p>
    <w:p w14:paraId="2A249B1A">
      <w:pPr>
        <w:spacing w:line="580" w:lineRule="exact"/>
        <w:ind w:firstLine="640"/>
        <w:jc w:val="both"/>
      </w:pPr>
      <w:r>
        <w:rPr>
          <w:rFonts w:ascii="仿宋_GB2312" w:hAnsi="仿宋_GB2312" w:eastAsia="仿宋_GB2312"/>
          <w:sz w:val="32"/>
        </w:rPr>
        <w:t>疏勒县林场2024年度，实有人数13人，其中：在职人员8人，减少1人；离休人员0人，增加0人；退休人员5人,增加1人。</w:t>
      </w:r>
    </w:p>
    <w:p w14:paraId="206240AE">
      <w:pPr>
        <w:spacing w:line="580" w:lineRule="exact"/>
        <w:ind w:firstLine="640"/>
        <w:jc w:val="both"/>
      </w:pPr>
      <w:r>
        <w:rPr>
          <w:rFonts w:ascii="仿宋_GB2312" w:hAnsi="仿宋_GB2312" w:eastAsia="仿宋_GB2312"/>
          <w:sz w:val="32"/>
        </w:rPr>
        <w:t>疏勒县林场无下属预算单位，下设4个科室，分别是：党建办、群众办、综合中心、财务室。</w:t>
      </w:r>
    </w:p>
    <w:p w14:paraId="6EBE7EE0">
      <w:r>
        <w:br w:type="page"/>
      </w:r>
    </w:p>
    <w:p w14:paraId="5AA6DFE1">
      <w:pPr>
        <w:spacing w:line="240" w:lineRule="auto"/>
        <w:jc w:val="center"/>
        <w:outlineLvl w:val="1"/>
      </w:pPr>
      <w:r>
        <w:rPr>
          <w:rFonts w:ascii="黑体" w:hAnsi="黑体" w:eastAsia="黑体"/>
          <w:sz w:val="32"/>
        </w:rPr>
        <w:t>第二部分 部门决算情况说明</w:t>
      </w:r>
    </w:p>
    <w:p w14:paraId="0FC6B662">
      <w:pPr>
        <w:spacing w:line="640" w:lineRule="exact"/>
        <w:ind w:firstLine="640"/>
        <w:jc w:val="both"/>
        <w:outlineLvl w:val="2"/>
      </w:pPr>
      <w:r>
        <w:rPr>
          <w:rFonts w:ascii="黑体" w:hAnsi="黑体" w:eastAsia="黑体"/>
          <w:sz w:val="32"/>
        </w:rPr>
        <w:t>一、收入支出决算总体情况说明</w:t>
      </w:r>
    </w:p>
    <w:p w14:paraId="69C9F4C4">
      <w:pPr>
        <w:spacing w:line="580" w:lineRule="exact"/>
        <w:ind w:firstLine="640"/>
        <w:jc w:val="both"/>
      </w:pPr>
      <w:r>
        <w:rPr>
          <w:rFonts w:ascii="仿宋_GB2312" w:hAnsi="仿宋_GB2312" w:eastAsia="仿宋_GB2312"/>
          <w:b/>
          <w:sz w:val="32"/>
        </w:rPr>
        <w:t>2024年度收入总计153.70万元，</w:t>
      </w:r>
      <w:r>
        <w:rPr>
          <w:rFonts w:ascii="仿宋_GB2312" w:hAnsi="仿宋_GB2312" w:eastAsia="仿宋_GB2312"/>
          <w:b w:val="0"/>
          <w:sz w:val="32"/>
        </w:rPr>
        <w:t>其中：本年收入合计153.70万元，使用非财政拨款结余（含专用结余）0.00万元，年初结转和结余0.00万元。</w:t>
      </w:r>
    </w:p>
    <w:p w14:paraId="3F14B78A">
      <w:pPr>
        <w:spacing w:line="580" w:lineRule="exact"/>
        <w:ind w:firstLine="640"/>
        <w:jc w:val="both"/>
      </w:pPr>
      <w:r>
        <w:rPr>
          <w:rFonts w:ascii="仿宋_GB2312" w:hAnsi="仿宋_GB2312" w:eastAsia="仿宋_GB2312"/>
          <w:b/>
          <w:sz w:val="32"/>
        </w:rPr>
        <w:t>2024年度支出总计153.70万元，</w:t>
      </w:r>
      <w:r>
        <w:rPr>
          <w:rFonts w:ascii="仿宋_GB2312" w:hAnsi="仿宋_GB2312" w:eastAsia="仿宋_GB2312"/>
          <w:b w:val="0"/>
          <w:sz w:val="32"/>
        </w:rPr>
        <w:t>其中：本年支出合计153.70万元，结余分配0.00万元，年末结转和结余0.00万元。</w:t>
      </w:r>
    </w:p>
    <w:p w14:paraId="704A8221">
      <w:pPr>
        <w:spacing w:line="580" w:lineRule="exact"/>
        <w:ind w:firstLine="640"/>
        <w:jc w:val="both"/>
      </w:pPr>
      <w:r>
        <w:rPr>
          <w:rFonts w:ascii="仿宋_GB2312" w:hAnsi="仿宋_GB2312" w:eastAsia="仿宋_GB2312"/>
          <w:b w:val="0"/>
          <w:sz w:val="32"/>
        </w:rPr>
        <w:t>收入支出总体与上年相比，减少140.07万元，下降47.68%，主要原因是：本年较上年减少2023年度农村基础设施提升项目、疏勒县林场污水处理购买设备项目，同时在职人员减少，人员经费减少。</w:t>
      </w:r>
    </w:p>
    <w:p w14:paraId="143CD0B6">
      <w:pPr>
        <w:spacing w:line="640" w:lineRule="exact"/>
        <w:ind w:firstLine="640"/>
        <w:jc w:val="both"/>
        <w:outlineLvl w:val="2"/>
      </w:pPr>
      <w:r>
        <w:rPr>
          <w:rFonts w:ascii="黑体" w:hAnsi="黑体" w:eastAsia="黑体"/>
          <w:sz w:val="32"/>
        </w:rPr>
        <w:t>二、收入决算情况说明</w:t>
      </w:r>
    </w:p>
    <w:p w14:paraId="01097BF6">
      <w:pPr>
        <w:spacing w:line="580" w:lineRule="exact"/>
        <w:ind w:firstLine="640"/>
        <w:jc w:val="both"/>
      </w:pPr>
      <w:r>
        <w:rPr>
          <w:rFonts w:ascii="仿宋_GB2312" w:hAnsi="仿宋_GB2312" w:eastAsia="仿宋_GB2312"/>
          <w:b/>
          <w:sz w:val="32"/>
        </w:rPr>
        <w:t>本年收入153.70万元，</w:t>
      </w:r>
      <w:r>
        <w:rPr>
          <w:rFonts w:ascii="仿宋_GB2312" w:hAnsi="仿宋_GB2312" w:eastAsia="仿宋_GB2312"/>
          <w:b w:val="0"/>
          <w:sz w:val="32"/>
        </w:rPr>
        <w:t>其中：财政拨款收入153.70万元，占100.00%；上级补助收入0.00万元，占0.00%；事业收入0.00万元，占0.00%；经营收入0.00万元，占0.00%；附属单位上缴收入0.00万元，占0.00%；其他收入0.00万元，占0.00%。</w:t>
      </w:r>
    </w:p>
    <w:p w14:paraId="4D87128D">
      <w:pPr>
        <w:spacing w:line="640" w:lineRule="exact"/>
        <w:ind w:firstLine="640"/>
        <w:jc w:val="both"/>
        <w:outlineLvl w:val="2"/>
      </w:pPr>
      <w:r>
        <w:rPr>
          <w:rFonts w:ascii="黑体" w:hAnsi="黑体" w:eastAsia="黑体"/>
          <w:sz w:val="32"/>
        </w:rPr>
        <w:t>三、支出决算情况说明</w:t>
      </w:r>
    </w:p>
    <w:p w14:paraId="1E6E6C5A">
      <w:pPr>
        <w:spacing w:line="580" w:lineRule="exact"/>
        <w:ind w:firstLine="640"/>
        <w:jc w:val="both"/>
      </w:pPr>
      <w:r>
        <w:rPr>
          <w:rFonts w:ascii="仿宋_GB2312" w:hAnsi="仿宋_GB2312" w:eastAsia="仿宋_GB2312"/>
          <w:b/>
          <w:sz w:val="32"/>
        </w:rPr>
        <w:t>本年支出153.70万元，</w:t>
      </w:r>
      <w:r>
        <w:rPr>
          <w:rFonts w:ascii="仿宋_GB2312" w:hAnsi="仿宋_GB2312" w:eastAsia="仿宋_GB2312"/>
          <w:b w:val="0"/>
          <w:sz w:val="32"/>
        </w:rPr>
        <w:t>其中：基本支出147.65万元，占96.06%；项目支出6.06万元，占3.94%；上缴上级支出0.00万元，占0.00%；经营支出0.00万元，占0.00%；对附属单位补助支出0.00万元，占0.00%。</w:t>
      </w:r>
    </w:p>
    <w:p w14:paraId="147517EF">
      <w:pPr>
        <w:spacing w:line="640" w:lineRule="exact"/>
        <w:ind w:firstLine="640"/>
        <w:jc w:val="both"/>
        <w:outlineLvl w:val="2"/>
      </w:pPr>
      <w:r>
        <w:rPr>
          <w:rFonts w:ascii="黑体" w:hAnsi="黑体" w:eastAsia="黑体"/>
          <w:sz w:val="32"/>
        </w:rPr>
        <w:t>四、财政拨款收入支出决算总体情况说明</w:t>
      </w:r>
    </w:p>
    <w:p w14:paraId="2237E0FB">
      <w:pPr>
        <w:spacing w:line="580" w:lineRule="exact"/>
        <w:ind w:firstLine="640"/>
        <w:jc w:val="both"/>
      </w:pPr>
      <w:r>
        <w:rPr>
          <w:rFonts w:ascii="仿宋_GB2312" w:hAnsi="仿宋_GB2312" w:eastAsia="仿宋_GB2312"/>
          <w:b/>
          <w:sz w:val="32"/>
        </w:rPr>
        <w:t>2024年度财政拨款收入总计153.70万元，</w:t>
      </w:r>
      <w:r>
        <w:rPr>
          <w:rFonts w:ascii="仿宋_GB2312" w:hAnsi="仿宋_GB2312" w:eastAsia="仿宋_GB2312"/>
          <w:b w:val="0"/>
          <w:sz w:val="32"/>
        </w:rPr>
        <w:t>其中：年初财政拨款结转和结余0.00万元，本年财政拨款收入153.70万元。</w:t>
      </w:r>
      <w:r>
        <w:rPr>
          <w:rFonts w:ascii="仿宋_GB2312" w:hAnsi="仿宋_GB2312" w:eastAsia="仿宋_GB2312"/>
          <w:b/>
          <w:sz w:val="32"/>
        </w:rPr>
        <w:t>财政拨款支出总计153.70万元，</w:t>
      </w:r>
      <w:r>
        <w:rPr>
          <w:rFonts w:ascii="仿宋_GB2312" w:hAnsi="仿宋_GB2312" w:eastAsia="仿宋_GB2312"/>
          <w:b w:val="0"/>
          <w:sz w:val="32"/>
        </w:rPr>
        <w:t>其中：年末财政拨款结转和结余0.00万元，本年财政拨款支出153.70万元。</w:t>
      </w:r>
    </w:p>
    <w:p w14:paraId="2842089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减少140.07万元，下降47.68%，主要原因是：本年较上年减少2023年度农村基础设施提升项目、疏勒县林场污水处理购买设备项目，同时在职人员减少，人员经费减少。</w:t>
      </w:r>
      <w:r>
        <w:rPr>
          <w:rFonts w:ascii="仿宋_GB2312" w:hAnsi="仿宋_GB2312" w:eastAsia="仿宋_GB2312"/>
          <w:b/>
          <w:sz w:val="32"/>
        </w:rPr>
        <w:t>与年初预算相比，</w:t>
      </w:r>
      <w:r>
        <w:rPr>
          <w:rFonts w:ascii="仿宋_GB2312" w:hAnsi="仿宋_GB2312" w:eastAsia="仿宋_GB2312"/>
          <w:b w:val="0"/>
          <w:sz w:val="32"/>
        </w:rPr>
        <w:t>年初预算数186.66万元，决算数153.70万元，预决算差异率-17.66%，主要原因是：年中调减疏勒县林场污水处理购买设备项目资金、疏勒县林场2024年度地方国有农牧场农村税费改革转移支付项目资金，导致预决算差异。</w:t>
      </w:r>
    </w:p>
    <w:p w14:paraId="048EB2BB">
      <w:pPr>
        <w:spacing w:line="640" w:lineRule="exact"/>
        <w:ind w:firstLine="640"/>
        <w:jc w:val="both"/>
        <w:outlineLvl w:val="2"/>
      </w:pPr>
      <w:r>
        <w:rPr>
          <w:rFonts w:ascii="黑体" w:hAnsi="黑体" w:eastAsia="黑体"/>
          <w:sz w:val="32"/>
        </w:rPr>
        <w:t>五、一般公共预算财政拨款支出决算情况说明</w:t>
      </w:r>
    </w:p>
    <w:p w14:paraId="03382C36">
      <w:pPr>
        <w:spacing w:line="640" w:lineRule="exact"/>
        <w:ind w:firstLine="640"/>
        <w:jc w:val="both"/>
        <w:outlineLvl w:val="3"/>
      </w:pPr>
      <w:r>
        <w:rPr>
          <w:rFonts w:ascii="楷体_GB2312" w:hAnsi="楷体_GB2312" w:eastAsia="楷体_GB2312"/>
          <w:b/>
          <w:sz w:val="32"/>
        </w:rPr>
        <w:t>（一）一般公共预算财政拨款支出决算总体情况</w:t>
      </w:r>
    </w:p>
    <w:p w14:paraId="33FEEC98">
      <w:pPr>
        <w:spacing w:line="580" w:lineRule="exact"/>
        <w:ind w:firstLine="640"/>
        <w:jc w:val="both"/>
      </w:pPr>
      <w:r>
        <w:rPr>
          <w:rFonts w:ascii="仿宋_GB2312" w:hAnsi="仿宋_GB2312" w:eastAsia="仿宋_GB2312"/>
          <w:b/>
          <w:sz w:val="32"/>
        </w:rPr>
        <w:t>2024年度一般公共预算财政拨款支出153.70万元，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减少140.07万元，下降47.68%，主要原因是：本年较上年减少2023年度农村基础设施提升项目、疏勒县林场污水处理购买设备项目，同时在职人员减少，人员经费减少。</w:t>
      </w:r>
      <w:r>
        <w:rPr>
          <w:rFonts w:ascii="仿宋_GB2312" w:hAnsi="仿宋_GB2312" w:eastAsia="仿宋_GB2312"/>
          <w:b/>
          <w:sz w:val="32"/>
        </w:rPr>
        <w:t>与年初预算相比,</w:t>
      </w:r>
      <w:r>
        <w:rPr>
          <w:rFonts w:ascii="仿宋_GB2312" w:hAnsi="仿宋_GB2312" w:eastAsia="仿宋_GB2312"/>
          <w:b w:val="0"/>
          <w:sz w:val="32"/>
        </w:rPr>
        <w:t>年初预算数186.66万元，决算数153.70万元，预决算差异率-17.66%，主要原因是：年中调减疏勒县林场污水处理购买设备项目资金、疏勒县林场2024年度地方国有农牧场农村税费改革转移支付项目资金，导致预决算差异。</w:t>
      </w:r>
    </w:p>
    <w:p w14:paraId="31D37DF0">
      <w:pPr>
        <w:spacing w:line="640" w:lineRule="exact"/>
        <w:ind w:firstLine="640"/>
        <w:jc w:val="both"/>
        <w:outlineLvl w:val="3"/>
      </w:pPr>
      <w:r>
        <w:rPr>
          <w:rFonts w:ascii="楷体_GB2312" w:hAnsi="楷体_GB2312" w:eastAsia="楷体_GB2312"/>
          <w:b/>
          <w:sz w:val="32"/>
        </w:rPr>
        <w:t>（二）一般公共预算财政拨款支出决算结构情况</w:t>
      </w:r>
    </w:p>
    <w:p w14:paraId="634D0468">
      <w:pPr>
        <w:spacing w:line="580" w:lineRule="exact"/>
        <w:ind w:firstLine="640"/>
        <w:jc w:val="both"/>
      </w:pPr>
      <w:r>
        <w:rPr>
          <w:rFonts w:ascii="仿宋_GB2312" w:hAnsi="仿宋_GB2312" w:eastAsia="仿宋_GB2312"/>
          <w:b w:val="0"/>
          <w:sz w:val="32"/>
        </w:rPr>
        <w:t>1.社会保障和就业支出(类)21.48万元,占13.98%。</w:t>
      </w:r>
    </w:p>
    <w:p w14:paraId="1895EB54">
      <w:pPr>
        <w:spacing w:line="580" w:lineRule="exact"/>
        <w:ind w:firstLine="640"/>
        <w:jc w:val="both"/>
      </w:pPr>
      <w:r>
        <w:rPr>
          <w:rFonts w:ascii="仿宋_GB2312" w:hAnsi="仿宋_GB2312" w:eastAsia="仿宋_GB2312"/>
          <w:b w:val="0"/>
          <w:sz w:val="32"/>
        </w:rPr>
        <w:t>2.卫生健康支出(类)5.68万元,占3.70%。</w:t>
      </w:r>
    </w:p>
    <w:p w14:paraId="549A9891">
      <w:pPr>
        <w:spacing w:line="580" w:lineRule="exact"/>
        <w:ind w:firstLine="640"/>
        <w:jc w:val="both"/>
      </w:pPr>
      <w:r>
        <w:rPr>
          <w:rFonts w:ascii="仿宋_GB2312" w:hAnsi="仿宋_GB2312" w:eastAsia="仿宋_GB2312"/>
          <w:b w:val="0"/>
          <w:sz w:val="32"/>
        </w:rPr>
        <w:t>3.农林水支出(类)116.49万元,占75.79%。</w:t>
      </w:r>
    </w:p>
    <w:p w14:paraId="3E20F1F5">
      <w:pPr>
        <w:spacing w:line="580" w:lineRule="exact"/>
        <w:ind w:firstLine="640"/>
        <w:jc w:val="both"/>
      </w:pPr>
      <w:r>
        <w:rPr>
          <w:rFonts w:ascii="仿宋_GB2312" w:hAnsi="仿宋_GB2312" w:eastAsia="仿宋_GB2312"/>
          <w:b w:val="0"/>
          <w:sz w:val="32"/>
        </w:rPr>
        <w:t>4.住房保障支出(类)10.06万元,占6.55%。</w:t>
      </w:r>
    </w:p>
    <w:p w14:paraId="395D9D63">
      <w:pPr>
        <w:spacing w:line="640" w:lineRule="exact"/>
        <w:ind w:firstLine="640"/>
        <w:jc w:val="both"/>
        <w:outlineLvl w:val="3"/>
      </w:pPr>
      <w:r>
        <w:rPr>
          <w:rFonts w:ascii="楷体_GB2312" w:hAnsi="楷体_GB2312" w:eastAsia="楷体_GB2312"/>
          <w:b/>
          <w:sz w:val="32"/>
        </w:rPr>
        <w:t>（三）一般公共预算财政拨款支出决算具体情况</w:t>
      </w:r>
    </w:p>
    <w:p w14:paraId="59FB8C6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1.社会保障和就业支出(类)行政事业单位养老支出(款)事业单位离退休(项):支出决算数为4.40万元，比上年决算增加1.15万元，增长35.38%,主要原因是：2024年度退休人员增加1人，事业单位离退休费支出增加。</w:t>
      </w:r>
    </w:p>
    <w:p w14:paraId="29BE82C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13.37万元，比上年决算增加0.60万元，增长4.70%,主要原因是：本年在职人员工资基数调增，养老缴费基数上涨，相应支出增加。</w:t>
      </w:r>
    </w:p>
    <w:p w14:paraId="30F71A4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3.70万元，比上年决算减少1.21万元，下降24.64%,主要原因是：本年新增退休人员较上年减少，职业年金缴费较上年减少。</w:t>
      </w:r>
    </w:p>
    <w:p w14:paraId="1CFC59F9">
      <w:pPr>
        <w:spacing w:line="580" w:lineRule="exact"/>
        <w:ind w:firstLine="640"/>
        <w:jc w:val="both"/>
      </w:pPr>
      <w:r>
        <w:rPr>
          <w:rFonts w:ascii="仿宋_GB2312" w:hAnsi="仿宋_GB2312" w:eastAsia="仿宋_GB2312"/>
          <w:b w:val="0"/>
          <w:sz w:val="32"/>
        </w:rPr>
        <w:t>4.卫生健康支出(类)行政事业单位医疗(款)事业单位医疗(项):支出决算数为5.68万元，比上年决算增加0.25万元，增长4.60%,主要原因是：本年在职人员工资基数调增，医疗缴费基数上涨，相应支出增加。</w:t>
      </w:r>
    </w:p>
    <w:p w14:paraId="58A671B3">
      <w:pPr>
        <w:spacing w:line="580" w:lineRule="exact"/>
        <w:ind w:firstLine="640"/>
        <w:jc w:val="both"/>
      </w:pPr>
      <w:r>
        <w:rPr>
          <w:rFonts w:ascii="仿宋_GB2312" w:hAnsi="仿宋_GB2312" w:eastAsia="仿宋_GB2312"/>
          <w:b w:val="0"/>
          <w:sz w:val="32"/>
        </w:rPr>
        <w:t>5.农林水支出(类)林业和草原(款)事业机构(项):支出决算数为110.43万元，比上年决算减少10.56万元，下降8.73%,主要原因是：本年在职人员减少，人员经费公用经费支出减少。</w:t>
      </w:r>
    </w:p>
    <w:p w14:paraId="5A92E15F">
      <w:pPr>
        <w:spacing w:line="580" w:lineRule="exact"/>
        <w:ind w:firstLine="640"/>
        <w:jc w:val="both"/>
      </w:pPr>
      <w:r>
        <w:rPr>
          <w:rFonts w:ascii="仿宋_GB2312" w:hAnsi="仿宋_GB2312" w:eastAsia="仿宋_GB2312"/>
          <w:b w:val="0"/>
          <w:sz w:val="32"/>
        </w:rPr>
        <w:t>6.农林水支出(类)</w:t>
      </w:r>
      <w:bookmarkStart w:id="0" w:name="_GoBack"/>
      <w:r>
        <w:rPr>
          <w:rFonts w:ascii="仿宋_GB2312" w:hAnsi="仿宋_GB2312" w:eastAsia="仿宋_GB2312"/>
          <w:b w:val="0"/>
          <w:sz w:val="32"/>
        </w:rPr>
        <w:t>巩固脱贫攻坚成果</w:t>
      </w:r>
      <w:bookmarkEnd w:id="0"/>
      <w:r>
        <w:rPr>
          <w:rFonts w:ascii="仿宋_GB2312" w:hAnsi="仿宋_GB2312" w:eastAsia="仿宋_GB2312"/>
          <w:b w:val="0"/>
          <w:sz w:val="32"/>
        </w:rPr>
        <w:t>衔接乡村振兴(款)农村基础设施建设(项):支出决算数为0.00万元，比上年决算减少112.55万元，下降100.00%,主要原因是：本年度未安排疏勒县2023年农村基础设施提升项目、疏勒县2023年排水管网改造及一体化污水处理设备购置项目。</w:t>
      </w:r>
    </w:p>
    <w:p w14:paraId="52784F42">
      <w:pPr>
        <w:spacing w:line="580" w:lineRule="exact"/>
        <w:ind w:firstLine="640"/>
        <w:jc w:val="both"/>
      </w:pPr>
      <w:r>
        <w:rPr>
          <w:rFonts w:ascii="仿宋_GB2312" w:hAnsi="仿宋_GB2312" w:eastAsia="仿宋_GB2312"/>
          <w:b w:val="0"/>
          <w:sz w:val="32"/>
        </w:rPr>
        <w:t>7.农林水支出(类)农村综合改革(款)其他农村综合改革支出(项):支出决算数为6.06万元，比上年决算减少17.88万元，下降74.69%,主要原因是：本年度疏勒县林场2024年度地方国有农牧场农村税费改革转移支付项目资金减少。</w:t>
      </w:r>
    </w:p>
    <w:p w14:paraId="406A1429">
      <w:pPr>
        <w:spacing w:line="580" w:lineRule="exact"/>
        <w:ind w:firstLine="640"/>
        <w:jc w:val="both"/>
      </w:pPr>
      <w:r>
        <w:rPr>
          <w:rFonts w:ascii="仿宋_GB2312" w:hAnsi="仿宋_GB2312" w:eastAsia="仿宋_GB2312"/>
          <w:b w:val="0"/>
          <w:sz w:val="32"/>
        </w:rPr>
        <w:t>8.住房保障支出(类)住房改革支出(款)住房公积金(项):支出决算数为10.06万元，比上年决算增加0.14万元，增长1.41%,主要原因是：本年在职人员工资基数调增，公积金缴费基数上涨，相应支出增加。</w:t>
      </w:r>
    </w:p>
    <w:p w14:paraId="4AE6CBBD">
      <w:pPr>
        <w:spacing w:line="640" w:lineRule="exact"/>
        <w:ind w:firstLine="640"/>
        <w:jc w:val="both"/>
        <w:outlineLvl w:val="2"/>
      </w:pPr>
      <w:r>
        <w:rPr>
          <w:rFonts w:ascii="黑体" w:hAnsi="黑体" w:eastAsia="黑体"/>
          <w:sz w:val="32"/>
        </w:rPr>
        <w:t>六、一般公共预算财政拨款基本支出决算情况说明</w:t>
      </w:r>
    </w:p>
    <w:p w14:paraId="38A3BA82">
      <w:pPr>
        <w:spacing w:line="580" w:lineRule="exact"/>
        <w:ind w:firstLine="640"/>
        <w:jc w:val="both"/>
      </w:pPr>
      <w:r>
        <w:rPr>
          <w:rFonts w:ascii="仿宋_GB2312" w:hAnsi="仿宋_GB2312" w:eastAsia="仿宋_GB2312"/>
          <w:b w:val="0"/>
          <w:sz w:val="32"/>
        </w:rPr>
        <w:t>2024年度一般公共预算财政拨款基本支出147.65万元，其中：</w:t>
      </w:r>
      <w:r>
        <w:rPr>
          <w:rFonts w:ascii="仿宋_GB2312" w:hAnsi="仿宋_GB2312" w:eastAsia="仿宋_GB2312"/>
          <w:b/>
          <w:sz w:val="32"/>
        </w:rPr>
        <w:t>人员经费142.06万元，</w:t>
      </w:r>
      <w:r>
        <w:rPr>
          <w:rFonts w:ascii="仿宋_GB2312" w:hAnsi="仿宋_GB2312" w:eastAsia="仿宋_GB2312"/>
          <w:b w:val="0"/>
          <w:sz w:val="32"/>
        </w:rPr>
        <w:t>包括：基本工资、津贴补贴、奖金、绩效工资、机关事业单位基本养老保险缴费、职业年金缴费、职工基本医疗保险缴费、住房公积金、其他工资福利支出、退休费。</w:t>
      </w:r>
    </w:p>
    <w:p w14:paraId="107A04E0">
      <w:pPr>
        <w:spacing w:line="580" w:lineRule="exact"/>
        <w:ind w:firstLine="640"/>
        <w:jc w:val="both"/>
      </w:pPr>
      <w:r>
        <w:rPr>
          <w:rFonts w:ascii="仿宋_GB2312" w:hAnsi="仿宋_GB2312" w:eastAsia="仿宋_GB2312"/>
          <w:b/>
          <w:spacing w:val="-11"/>
          <w:sz w:val="32"/>
        </w:rPr>
        <w:t>公用经费5.59万元，</w:t>
      </w:r>
      <w:r>
        <w:rPr>
          <w:rFonts w:ascii="仿宋_GB2312" w:hAnsi="仿宋_GB2312" w:eastAsia="仿宋_GB2312"/>
          <w:b w:val="0"/>
          <w:spacing w:val="-11"/>
          <w:sz w:val="32"/>
        </w:rPr>
        <w:t>包括：办公费、水费、电费、邮电费、取暖费、委托业务费、公务用车运行维护费、其他商品和服务支出</w:t>
      </w:r>
      <w:r>
        <w:rPr>
          <w:rFonts w:ascii="仿宋_GB2312" w:hAnsi="仿宋_GB2312" w:eastAsia="仿宋_GB2312"/>
          <w:b w:val="0"/>
          <w:sz w:val="32"/>
        </w:rPr>
        <w:t>。</w:t>
      </w:r>
    </w:p>
    <w:p w14:paraId="4D4ABF53">
      <w:pPr>
        <w:spacing w:line="640" w:lineRule="exact"/>
        <w:ind w:firstLine="640"/>
        <w:jc w:val="both"/>
        <w:outlineLvl w:val="2"/>
      </w:pPr>
      <w:r>
        <w:rPr>
          <w:rFonts w:ascii="黑体" w:hAnsi="黑体" w:eastAsia="黑体"/>
          <w:sz w:val="32"/>
        </w:rPr>
        <w:t>七、政府性基金预算财政拨款收入支出决算情况说明</w:t>
      </w:r>
    </w:p>
    <w:p w14:paraId="23A38EA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C509C7B">
      <w:pPr>
        <w:spacing w:line="640" w:lineRule="exact"/>
        <w:ind w:firstLine="640"/>
        <w:jc w:val="both"/>
        <w:outlineLvl w:val="2"/>
      </w:pPr>
      <w:r>
        <w:rPr>
          <w:rFonts w:ascii="黑体" w:hAnsi="黑体" w:eastAsia="黑体"/>
          <w:sz w:val="32"/>
        </w:rPr>
        <w:t>八、国有资本经营预算财政拨款收入支出决算情况说明</w:t>
      </w:r>
    </w:p>
    <w:p w14:paraId="081E6DE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2BB21A9">
      <w:pPr>
        <w:spacing w:line="640" w:lineRule="exact"/>
        <w:ind w:firstLine="640"/>
        <w:jc w:val="both"/>
        <w:outlineLvl w:val="2"/>
      </w:pPr>
      <w:r>
        <w:rPr>
          <w:rFonts w:ascii="黑体" w:hAnsi="黑体" w:eastAsia="黑体"/>
          <w:sz w:val="32"/>
        </w:rPr>
        <w:t>九、财政拨款“三公”经费支出决算情况说明</w:t>
      </w:r>
    </w:p>
    <w:p w14:paraId="3AF0FF95">
      <w:pPr>
        <w:spacing w:line="580" w:lineRule="exact"/>
        <w:ind w:firstLine="640"/>
        <w:jc w:val="both"/>
      </w:pPr>
      <w:r>
        <w:rPr>
          <w:rFonts w:ascii="仿宋_GB2312" w:hAnsi="仿宋_GB2312" w:eastAsia="仿宋_GB2312"/>
          <w:b/>
          <w:sz w:val="32"/>
        </w:rPr>
        <w:t>2024年度财政拨款“三公”经费支出0.77万元，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0.77万元，占100.00%，比上年增加0.00万元，增长0.00%，主要原因是：本单位公务用车运行维护费与上年一致无变化。公务接待费支出0.00万元，占0.00%，比上年增加0.00万元，增长0.00%，主要原因是：2023年与2024年均未安排公务接待费支出。</w:t>
      </w:r>
    </w:p>
    <w:p w14:paraId="27E3C7E8">
      <w:pPr>
        <w:spacing w:line="580" w:lineRule="exact"/>
        <w:ind w:firstLine="640"/>
        <w:jc w:val="both"/>
      </w:pPr>
      <w:r>
        <w:rPr>
          <w:rFonts w:ascii="仿宋_GB2312" w:hAnsi="仿宋_GB2312" w:eastAsia="仿宋_GB2312"/>
          <w:b/>
          <w:sz w:val="32"/>
        </w:rPr>
        <w:t>具体情况如下：</w:t>
      </w:r>
    </w:p>
    <w:p w14:paraId="17C78DE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538512A">
      <w:pPr>
        <w:spacing w:line="580" w:lineRule="exact"/>
        <w:ind w:firstLine="640"/>
        <w:jc w:val="both"/>
      </w:pPr>
      <w:r>
        <w:rPr>
          <w:rFonts w:ascii="仿宋_GB2312" w:hAnsi="仿宋_GB2312" w:eastAsia="仿宋_GB2312"/>
          <w:b w:val="0"/>
          <w:sz w:val="32"/>
        </w:rPr>
        <w:t>公务用车购置及运行维护费0.77万元，其中：公务用车购置费0.00万元，公务用车运行维护费0.77万元。公务用车运行维护费开支内容包括车辆燃油费、保险费。公务用车购置数0辆，公务用车保有量3辆。国有资产占用情况中固定资产车辆3辆，与公务用车保有量差异原因是：本单位固定资产车辆与公务用车保有量一致无差异。</w:t>
      </w:r>
    </w:p>
    <w:p w14:paraId="779663E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1F2D8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0.77万元，决算数0.77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0.77万元，决算数0.77万元，预决算差异率0.00%，主要原因是：严格按照预算执行，预决算无差异。公务接待费全年预算数0.00万元，决算数0.00万元，预决算差异率0.00%，主要原因是：本单位无公务接待费。</w:t>
      </w:r>
    </w:p>
    <w:p w14:paraId="49BF9AAA">
      <w:pPr>
        <w:spacing w:line="640" w:lineRule="exact"/>
        <w:ind w:firstLine="640"/>
        <w:jc w:val="both"/>
        <w:outlineLvl w:val="2"/>
      </w:pPr>
      <w:r>
        <w:rPr>
          <w:rFonts w:ascii="黑体" w:hAnsi="黑体" w:eastAsia="黑体"/>
          <w:sz w:val="32"/>
        </w:rPr>
        <w:t>十、其他重要事项的情况说明</w:t>
      </w:r>
    </w:p>
    <w:p w14:paraId="2E5E00A4">
      <w:pPr>
        <w:spacing w:line="640" w:lineRule="exact"/>
        <w:ind w:firstLine="640"/>
        <w:jc w:val="both"/>
        <w:outlineLvl w:val="3"/>
      </w:pPr>
      <w:r>
        <w:rPr>
          <w:rFonts w:ascii="楷体_GB2312" w:hAnsi="楷体_GB2312" w:eastAsia="楷体_GB2312"/>
          <w:b/>
          <w:sz w:val="32"/>
        </w:rPr>
        <w:t>（一）机关运行经费及公用经费支出情况</w:t>
      </w:r>
    </w:p>
    <w:p w14:paraId="4813653D">
      <w:pPr>
        <w:spacing w:line="580" w:lineRule="exact"/>
        <w:ind w:firstLine="640"/>
        <w:jc w:val="both"/>
      </w:pPr>
      <w:r>
        <w:rPr>
          <w:rFonts w:ascii="仿宋_GB2312" w:hAnsi="仿宋_GB2312" w:eastAsia="仿宋_GB2312"/>
          <w:b w:val="0"/>
          <w:sz w:val="32"/>
        </w:rPr>
        <w:t>2024年度疏勒县林场（事业单位）公用经费支出5.59万元，比上年减少0.53万元，下降8.66%，主要原因是：严格执行中央八项规定，厉行节约，减少办公费、水费、取暖费支出。</w:t>
      </w:r>
    </w:p>
    <w:p w14:paraId="794B3970">
      <w:pPr>
        <w:spacing w:line="640" w:lineRule="exact"/>
        <w:ind w:firstLine="640"/>
        <w:jc w:val="both"/>
        <w:outlineLvl w:val="3"/>
      </w:pPr>
      <w:r>
        <w:rPr>
          <w:rFonts w:ascii="楷体_GB2312" w:hAnsi="楷体_GB2312" w:eastAsia="楷体_GB2312"/>
          <w:b/>
          <w:sz w:val="32"/>
        </w:rPr>
        <w:t>（二）政府采购情况</w:t>
      </w:r>
    </w:p>
    <w:p w14:paraId="15DCA0A2">
      <w:pPr>
        <w:spacing w:line="580" w:lineRule="exact"/>
        <w:ind w:firstLine="640"/>
        <w:jc w:val="both"/>
      </w:pPr>
      <w:r>
        <w:rPr>
          <w:rFonts w:ascii="仿宋_GB2312" w:hAnsi="仿宋_GB2312" w:eastAsia="仿宋_GB2312"/>
          <w:b w:val="0"/>
          <w:sz w:val="32"/>
        </w:rPr>
        <w:t>2024年度政府采购支出总额0.30万元，其中：政府采购货物支出0.00万元、政府采购工程支出0.00万元、政府采购服务支出0.30万元。</w:t>
      </w:r>
    </w:p>
    <w:p w14:paraId="78DAA7FC">
      <w:pPr>
        <w:spacing w:line="580" w:lineRule="exact"/>
        <w:ind w:firstLine="640"/>
        <w:jc w:val="both"/>
      </w:pPr>
      <w:r>
        <w:rPr>
          <w:rFonts w:ascii="仿宋_GB2312" w:hAnsi="仿宋_GB2312" w:eastAsia="仿宋_GB2312"/>
          <w:b w:val="0"/>
          <w:sz w:val="32"/>
        </w:rPr>
        <w:t>授予中小企业合同金额0.30万元，占政府采购支出总额的100.00%，其中：授予小微企业合同金额0.30万元，占政府采购支出总额的100.00%。</w:t>
      </w:r>
    </w:p>
    <w:p w14:paraId="63A13F74">
      <w:pPr>
        <w:spacing w:line="640" w:lineRule="exact"/>
        <w:ind w:firstLine="640"/>
        <w:jc w:val="both"/>
        <w:outlineLvl w:val="3"/>
      </w:pPr>
      <w:r>
        <w:rPr>
          <w:rFonts w:ascii="楷体_GB2312" w:hAnsi="楷体_GB2312" w:eastAsia="楷体_GB2312"/>
          <w:b/>
          <w:sz w:val="32"/>
        </w:rPr>
        <w:t>（三）国有资产占用情况说明</w:t>
      </w:r>
    </w:p>
    <w:p w14:paraId="52540D4D">
      <w:pPr>
        <w:spacing w:line="580" w:lineRule="exact"/>
        <w:ind w:firstLine="640"/>
        <w:jc w:val="both"/>
      </w:pPr>
      <w:r>
        <w:rPr>
          <w:rFonts w:ascii="仿宋_GB2312" w:hAnsi="仿宋_GB2312" w:eastAsia="仿宋_GB2312"/>
          <w:b w:val="0"/>
          <w:sz w:val="32"/>
        </w:rPr>
        <w:t>截至2024年12月31日，房屋2,648.96平方米，价值208.04万元。车辆3辆，价值26.52万元，其中：副部（省）级及以上领导用车0辆、主要负责人用车0辆、机要通信用车0辆、应急保障用车0辆、执法执勤用车0辆、特种专业技术用车0辆、离退休干部服务用车0辆、其他用车3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公务用车和吸污车。单价100万元（含）以上设备（不含车辆）0台（套）。</w:t>
      </w:r>
    </w:p>
    <w:p w14:paraId="7312262A">
      <w:pPr>
        <w:spacing w:line="640" w:lineRule="exact"/>
        <w:ind w:firstLine="640"/>
        <w:jc w:val="both"/>
        <w:outlineLvl w:val="2"/>
      </w:pPr>
      <w:r>
        <w:rPr>
          <w:rFonts w:ascii="黑体" w:hAnsi="黑体" w:eastAsia="黑体"/>
          <w:sz w:val="32"/>
        </w:rPr>
        <w:t>十一、预算绩效的情况说明</w:t>
      </w:r>
    </w:p>
    <w:p w14:paraId="614F28E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153.70万元，实际执行总额153.70万元；预算绩效评价项目1个，全年预算数5.60万元，全年执行数5.60万元。预算绩效管理取得的成效：一是预算绩效管理有效提高财政预算资金经济性、效率性以及效益性，本次绩效作为</w:t>
      </w:r>
      <w:r>
        <w:rPr>
          <w:rFonts w:hint="eastAsia" w:ascii="仿宋_GB2312" w:hAnsi="仿宋_GB2312" w:eastAsia="仿宋_GB2312"/>
          <w:b w:val="0"/>
          <w:sz w:val="32"/>
          <w:lang w:eastAsia="zh-CN"/>
        </w:rPr>
        <w:t>本单位</w:t>
      </w:r>
      <w:r>
        <w:rPr>
          <w:rFonts w:ascii="仿宋_GB2312" w:hAnsi="仿宋_GB2312" w:eastAsia="仿宋_GB2312"/>
          <w:b w:val="0"/>
          <w:sz w:val="32"/>
        </w:rPr>
        <w:t>次年项目预算编制的重要依据，并优化支出结构、完善相关办法、改进预算管理。</w:t>
      </w:r>
      <w:r>
        <w:rPr>
          <w:rFonts w:hint="eastAsia" w:ascii="仿宋_GB2312" w:hAnsi="仿宋_GB2312" w:eastAsia="仿宋_GB2312"/>
          <w:b w:val="0"/>
          <w:sz w:val="32"/>
          <w:lang w:eastAsia="zh-CN"/>
        </w:rPr>
        <w:t>本单位</w:t>
      </w:r>
      <w:r>
        <w:rPr>
          <w:rFonts w:ascii="仿宋_GB2312" w:hAnsi="仿宋_GB2312" w:eastAsia="仿宋_GB2312"/>
          <w:b w:val="0"/>
          <w:sz w:val="32"/>
        </w:rPr>
        <w:t>将针对性提出整改措施，落实到位；二是项目绩效自查结果将作为脱贫攻坚决策和分配巩固拓展脱贫攻坚成果同乡村振兴有效衔接资金的重要参考依据。三是有效规范了项目档案资料的整理，推动了提高林场农田管理概率，节约劳动成本；改善农村人居环境，增强居民环保意识，提高人居环境质量和生态文明水平，可解决乡镇垃圾处理问题，推动国有林场逐步从传统林业向现代林业迈进。发现的问题及原因：项目细化管理工作不足。各项资金的使用没有做到细致的预算，造成项目遇到各种不确定因素，财政资金无法发挥最大使用效益。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14:paraId="2BCEE87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4DB72D">
        <w:tblPrEx>
          <w:tblCellMar>
            <w:top w:w="0" w:type="dxa"/>
            <w:left w:w="108" w:type="dxa"/>
            <w:bottom w:w="0" w:type="dxa"/>
            <w:right w:w="108" w:type="dxa"/>
          </w:tblCellMar>
        </w:tblPrEx>
        <w:tc>
          <w:tcPr>
            <w:tcW w:w="8847" w:type="dxa"/>
            <w:gridSpan w:val="9"/>
            <w:vAlign w:val="center"/>
          </w:tcPr>
          <w:p w14:paraId="231CD520">
            <w:pPr>
              <w:jc w:val="center"/>
            </w:pPr>
            <w:r>
              <w:rPr>
                <w:rFonts w:ascii="宋体" w:hAnsi="宋体" w:eastAsia="宋体"/>
                <w:sz w:val="24"/>
              </w:rPr>
              <w:t>单位整体支出绩效自评表</w:t>
            </w:r>
          </w:p>
        </w:tc>
      </w:tr>
      <w:tr w14:paraId="320BF3A0">
        <w:tblPrEx>
          <w:tblCellMar>
            <w:top w:w="0" w:type="dxa"/>
            <w:left w:w="108" w:type="dxa"/>
            <w:bottom w:w="0" w:type="dxa"/>
            <w:right w:w="108" w:type="dxa"/>
          </w:tblCellMar>
        </w:tblPrEx>
        <w:tc>
          <w:tcPr>
            <w:tcW w:w="8847" w:type="dxa"/>
            <w:gridSpan w:val="9"/>
            <w:vAlign w:val="center"/>
          </w:tcPr>
          <w:p w14:paraId="58F0B16F">
            <w:pPr>
              <w:jc w:val="center"/>
            </w:pPr>
            <w:r>
              <w:rPr>
                <w:rFonts w:ascii="宋体" w:hAnsi="宋体" w:eastAsia="宋体"/>
                <w:sz w:val="24"/>
              </w:rPr>
              <w:t>（2024年度）</w:t>
            </w:r>
          </w:p>
        </w:tc>
      </w:tr>
      <w:tr w14:paraId="2A8DFA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ADCF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024B6FE">
            <w:pPr>
              <w:jc w:val="center"/>
            </w:pPr>
            <w:r>
              <w:rPr>
                <w:rFonts w:ascii="宋体" w:hAnsi="宋体" w:eastAsia="宋体"/>
                <w:sz w:val="16"/>
              </w:rPr>
              <w:t>疏勒县林场</w:t>
            </w:r>
          </w:p>
        </w:tc>
      </w:tr>
      <w:tr w14:paraId="0B4AD4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4428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AD93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4CFC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622E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A8D8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0CF1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D986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DAB0">
            <w:pPr>
              <w:jc w:val="center"/>
            </w:pPr>
            <w:r>
              <w:rPr>
                <w:rFonts w:ascii="宋体" w:hAnsi="宋体" w:eastAsia="宋体"/>
                <w:sz w:val="16"/>
              </w:rPr>
              <w:t>得分</w:t>
            </w:r>
          </w:p>
        </w:tc>
      </w:tr>
      <w:tr w14:paraId="2BAB01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B69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8B27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64B78">
            <w:pPr>
              <w:jc w:val="center"/>
            </w:pPr>
            <w:r>
              <w:rPr>
                <w:rFonts w:ascii="宋体" w:hAnsi="宋体" w:eastAsia="宋体"/>
                <w:sz w:val="16"/>
              </w:rPr>
              <w:t>186.65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F548C">
            <w:pPr>
              <w:jc w:val="center"/>
            </w:pPr>
            <w:r>
              <w:rPr>
                <w:rFonts w:ascii="宋体" w:hAnsi="宋体" w:eastAsia="宋体"/>
                <w:sz w:val="16"/>
              </w:rPr>
              <w:t>153.70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69F86">
            <w:pPr>
              <w:jc w:val="center"/>
            </w:pPr>
            <w:r>
              <w:rPr>
                <w:rFonts w:ascii="宋体" w:hAnsi="宋体" w:eastAsia="宋体"/>
                <w:sz w:val="16"/>
              </w:rPr>
              <w:t>153.70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10D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06594">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97092">
            <w:pPr>
              <w:jc w:val="center"/>
            </w:pPr>
            <w:r>
              <w:rPr>
                <w:rFonts w:ascii="宋体" w:hAnsi="宋体" w:eastAsia="宋体"/>
                <w:sz w:val="16"/>
              </w:rPr>
              <w:t>10</w:t>
            </w:r>
          </w:p>
        </w:tc>
      </w:tr>
      <w:tr w14:paraId="2C9D9B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3E6D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876C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3DD84">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3995B">
            <w:pPr>
              <w:jc w:val="center"/>
            </w:pPr>
            <w:r>
              <w:rPr>
                <w:rFonts w:ascii="宋体" w:hAnsi="宋体" w:eastAsia="宋体"/>
                <w:sz w:val="16"/>
              </w:rPr>
              <w:t>6.06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45C2C">
            <w:pPr>
              <w:jc w:val="center"/>
            </w:pPr>
            <w:r>
              <w:rPr>
                <w:rFonts w:ascii="宋体" w:hAnsi="宋体" w:eastAsia="宋体"/>
                <w:sz w:val="16"/>
              </w:rPr>
              <w:t>6.06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A81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FA55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9B8C6">
            <w:pPr>
              <w:jc w:val="center"/>
            </w:pPr>
            <w:r>
              <w:rPr>
                <w:rFonts w:ascii="宋体" w:hAnsi="宋体" w:eastAsia="宋体"/>
                <w:sz w:val="16"/>
              </w:rPr>
              <w:t>—</w:t>
            </w:r>
          </w:p>
        </w:tc>
      </w:tr>
      <w:tr w14:paraId="1549DB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3EF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0F9A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D5A9C">
            <w:pPr>
              <w:jc w:val="center"/>
            </w:pPr>
            <w:r>
              <w:rPr>
                <w:rFonts w:ascii="宋体" w:hAnsi="宋体" w:eastAsia="宋体"/>
                <w:sz w:val="16"/>
              </w:rPr>
              <w:t>156.65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17633">
            <w:pPr>
              <w:jc w:val="center"/>
            </w:pPr>
            <w:r>
              <w:rPr>
                <w:rFonts w:ascii="宋体" w:hAnsi="宋体" w:eastAsia="宋体"/>
                <w:sz w:val="16"/>
              </w:rPr>
              <w:t>147.64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074AA">
            <w:pPr>
              <w:jc w:val="center"/>
            </w:pPr>
            <w:r>
              <w:rPr>
                <w:rFonts w:ascii="宋体" w:hAnsi="宋体" w:eastAsia="宋体"/>
                <w:sz w:val="16"/>
              </w:rPr>
              <w:t>147.64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D5E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B499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76007">
            <w:pPr>
              <w:jc w:val="center"/>
            </w:pPr>
            <w:r>
              <w:rPr>
                <w:rFonts w:ascii="宋体" w:hAnsi="宋体" w:eastAsia="宋体"/>
                <w:sz w:val="16"/>
              </w:rPr>
              <w:t>—</w:t>
            </w:r>
          </w:p>
        </w:tc>
      </w:tr>
      <w:tr w14:paraId="61FE08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B0B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BC42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038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C56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E81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DCF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5550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5C284">
            <w:pPr>
              <w:jc w:val="center"/>
            </w:pPr>
            <w:r>
              <w:rPr>
                <w:rFonts w:ascii="宋体" w:hAnsi="宋体" w:eastAsia="宋体"/>
                <w:sz w:val="16"/>
              </w:rPr>
              <w:t>—</w:t>
            </w:r>
          </w:p>
        </w:tc>
      </w:tr>
      <w:tr w14:paraId="06F69B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7DF7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116DA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1F8D95">
            <w:pPr>
              <w:jc w:val="center"/>
            </w:pPr>
            <w:r>
              <w:rPr>
                <w:rFonts w:ascii="宋体" w:hAnsi="宋体" w:eastAsia="宋体"/>
                <w:sz w:val="16"/>
              </w:rPr>
              <w:t>实际完成情况</w:t>
            </w:r>
          </w:p>
        </w:tc>
      </w:tr>
      <w:tr w14:paraId="074B2D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6842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B3CBB4">
            <w:pPr>
              <w:jc w:val="both"/>
            </w:pPr>
            <w:r>
              <w:rPr>
                <w:rFonts w:ascii="宋体" w:hAnsi="宋体" w:eastAsia="宋体"/>
                <w:sz w:val="16"/>
              </w:rPr>
              <w:t>将坚决贯彻落实县委、人民政府、自然资源局决策部署，以秀美林场建设为目标，突出抓好森林资源管护、项目建设和桃花山森林公园突出问题整改，为生态林场建设贡献力量。深入学习贯彻党的十九大精神、党的二十大精神及</w:t>
            </w:r>
            <w:r>
              <w:rPr>
                <w:rFonts w:hint="eastAsia" w:ascii="宋体" w:hAnsi="宋体"/>
                <w:sz w:val="16"/>
                <w:lang w:eastAsia="zh-CN"/>
              </w:rPr>
              <w:t>习近平总书记重要讲话精神</w:t>
            </w:r>
            <w:r>
              <w:rPr>
                <w:rFonts w:ascii="宋体" w:hAnsi="宋体" w:eastAsia="宋体"/>
                <w:sz w:val="16"/>
              </w:rPr>
              <w:t>、突出</w:t>
            </w:r>
            <w:r>
              <w:rPr>
                <w:rFonts w:hint="eastAsia" w:ascii="宋体" w:hAnsi="宋体"/>
                <w:sz w:val="16"/>
                <w:lang w:eastAsia="zh-CN"/>
              </w:rPr>
              <w:t>党的二十大精神及</w:t>
            </w:r>
            <w:r>
              <w:rPr>
                <w:rFonts w:ascii="宋体" w:hAnsi="宋体" w:eastAsia="宋体"/>
                <w:sz w:val="16"/>
              </w:rPr>
              <w:t>第三次中央新疆工作座谈会精神学习、学习贯彻党的二十大精神贯彻落实</w:t>
            </w:r>
            <w:r>
              <w:rPr>
                <w:rFonts w:hint="eastAsia" w:ascii="宋体" w:hAnsi="宋体"/>
                <w:sz w:val="16"/>
                <w:lang w:eastAsia="zh-CN"/>
              </w:rPr>
              <w:t>县委、县政府</w:t>
            </w:r>
            <w:r>
              <w:rPr>
                <w:rFonts w:ascii="宋体" w:hAnsi="宋体" w:eastAsia="宋体"/>
                <w:sz w:val="16"/>
              </w:rPr>
              <w:t>的各项工作部署，强化政治理论学习，努力提高办公室服务水平，进一步做好群众工作，深入扎实开展社会稳定、安全生产、高质量经济发展各项活动,继续加强做好农业，林业，河长等各项工作，建立保护发展森林资源目标管理责任制，实行最严格的森林保护制度，严守林地和森林红线，各队对护林员每月巡林情况进行考评。开展造林工作。对林场森林进行保护，实施枯死森林补植补造工程；多措并举，扎实推动民族团结进步创建工作落实落细落地。做好田间农作物管理工作，确保小麦、玉米等作物丰收；加强水资源管理工作，引导居民强化节约用水意识，按规定缴纳水资源费；做好农业各项申报和实施工作，确保惠农政策普惠农户。</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B7FFD5">
            <w:pPr>
              <w:jc w:val="both"/>
            </w:pPr>
            <w:r>
              <w:rPr>
                <w:rFonts w:hint="eastAsia" w:ascii="宋体" w:hAnsi="宋体"/>
                <w:sz w:val="16"/>
                <w:lang w:eastAsia="zh-CN"/>
              </w:rPr>
              <w:t>本单位</w:t>
            </w:r>
            <w:r>
              <w:rPr>
                <w:rFonts w:ascii="宋体" w:hAnsi="宋体" w:eastAsia="宋体"/>
                <w:sz w:val="16"/>
              </w:rPr>
              <w:t>将坚决贯彻落实县委、人民政府、自然资源局决策部署，以秀美林场建设为目标，突出抓好森林资源管护、项目建设和桃花山森林公园突出问题整改，为生态林场建设贡献力量。深入学习贯彻党的十九大精神、党的二十大精神及</w:t>
            </w:r>
            <w:r>
              <w:rPr>
                <w:rFonts w:hint="eastAsia" w:ascii="宋体" w:hAnsi="宋体"/>
                <w:sz w:val="16"/>
                <w:lang w:eastAsia="zh-CN"/>
              </w:rPr>
              <w:t>习近平总书记重要讲话精神</w:t>
            </w:r>
            <w:r>
              <w:rPr>
                <w:rFonts w:ascii="宋体" w:hAnsi="宋体" w:eastAsia="宋体"/>
                <w:sz w:val="16"/>
              </w:rPr>
              <w:t>、突出</w:t>
            </w:r>
            <w:r>
              <w:rPr>
                <w:rFonts w:hint="eastAsia" w:ascii="宋体" w:hAnsi="宋体"/>
                <w:sz w:val="16"/>
                <w:lang w:eastAsia="zh-CN"/>
              </w:rPr>
              <w:t>党的二十大精神及</w:t>
            </w:r>
            <w:r>
              <w:rPr>
                <w:rFonts w:ascii="宋体" w:hAnsi="宋体" w:eastAsia="宋体"/>
                <w:sz w:val="16"/>
              </w:rPr>
              <w:t>第三次中央新疆工作座谈会精神学习、学习贯彻党的二十大精神贯彻落实</w:t>
            </w:r>
            <w:r>
              <w:rPr>
                <w:rFonts w:hint="eastAsia" w:ascii="宋体" w:hAnsi="宋体"/>
                <w:sz w:val="16"/>
                <w:lang w:eastAsia="zh-CN"/>
              </w:rPr>
              <w:t>县委、县政府</w:t>
            </w:r>
            <w:r>
              <w:rPr>
                <w:rFonts w:ascii="宋体" w:hAnsi="宋体" w:eastAsia="宋体"/>
                <w:sz w:val="16"/>
              </w:rPr>
              <w:t>的各项工作部署，强化政治理论学习，努力提高办公室服务水平，进一步做好群众工作，深入扎实开展社会稳定、安全生产、高质量经济发展各项活动,继续加强做好农业，林业，河长等各项工作，建立保护发展森林资源目标管理责任制，实行最严格的森林保护制度，严守林地和森林红线，各队对护林员每月巡林情况进行考评，开展辖区安全隐患排查4次。开展造林工作。对林场森林进行保护，实施枯死森林补植补造工程，补植补造植树数量9900株；多措并举，扎实推动民族团结进步创建工作落实落细落地。做好田间农作物管理工作，确保小麦、玉米等作物丰收，完成种植冬小麦面积1322.63亩，种植经济作物面积4238.46亩；加强水资源管理工作，引导居民强化节约用水意识，按规定缴纳水资源费；做好农业各项申报和实施工作，确保惠农政策普惠农户,辖区安全隐患排查整改率100%,</w:t>
            </w:r>
            <w:r>
              <w:rPr>
                <w:rFonts w:hint="eastAsia" w:ascii="宋体" w:hAnsi="宋体"/>
                <w:sz w:val="16"/>
                <w:lang w:eastAsia="zh-CN"/>
              </w:rPr>
              <w:t>耕地</w:t>
            </w:r>
            <w:r>
              <w:rPr>
                <w:rFonts w:ascii="宋体" w:hAnsi="宋体" w:eastAsia="宋体"/>
                <w:sz w:val="16"/>
              </w:rPr>
              <w:t>保护补贴发放率（冬小麦） 100%,地膜科学使用回收项目补贴享受人数 12人。</w:t>
            </w:r>
          </w:p>
        </w:tc>
      </w:tr>
      <w:tr w14:paraId="4DB78C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423B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B01F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C1D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2FF7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A1CF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09F4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C157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6480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040CE">
            <w:pPr>
              <w:jc w:val="center"/>
            </w:pPr>
            <w:r>
              <w:rPr>
                <w:rFonts w:ascii="宋体" w:hAnsi="宋体" w:eastAsia="宋体"/>
                <w:sz w:val="16"/>
              </w:rPr>
              <w:t>得分</w:t>
            </w:r>
          </w:p>
        </w:tc>
      </w:tr>
      <w:tr w14:paraId="56AA04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69F3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4F87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65E48">
            <w:pPr>
              <w:jc w:val="center"/>
            </w:pPr>
            <w:r>
              <w:rPr>
                <w:rFonts w:ascii="宋体" w:hAnsi="宋体" w:eastAsia="宋体"/>
                <w:sz w:val="16"/>
              </w:rPr>
              <w:t>种植冬小麦面积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73CD8">
            <w:pPr>
              <w:jc w:val="center"/>
            </w:pPr>
            <w:r>
              <w:rPr>
                <w:rFonts w:ascii="宋体" w:hAnsi="宋体" w:eastAsia="宋体"/>
                <w:sz w:val="16"/>
              </w:rPr>
              <w:t>=1381.97亩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DD062">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C1B6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A3040">
            <w:pPr>
              <w:jc w:val="center"/>
            </w:pPr>
            <w:r>
              <w:rPr>
                <w:rFonts w:ascii="宋体" w:hAnsi="宋体" w:eastAsia="宋体"/>
                <w:sz w:val="16"/>
              </w:rPr>
              <w:t>1322.63亩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E7F4F">
            <w:pPr>
              <w:jc w:val="center"/>
            </w:pPr>
            <w:r>
              <w:rPr>
                <w:rFonts w:ascii="宋体" w:hAnsi="宋体" w:eastAsia="宋体"/>
                <w:sz w:val="16"/>
              </w:rPr>
              <w:t>95.71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469D0">
            <w:pPr>
              <w:jc w:val="center"/>
            </w:pPr>
            <w:r>
              <w:rPr>
                <w:rFonts w:ascii="宋体" w:hAnsi="宋体" w:eastAsia="宋体"/>
                <w:sz w:val="16"/>
              </w:rPr>
              <w:t>14.36</w:t>
            </w:r>
          </w:p>
        </w:tc>
      </w:tr>
      <w:tr w14:paraId="74C23F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50E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DC1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74033">
            <w:pPr>
              <w:jc w:val="center"/>
            </w:pPr>
            <w:r>
              <w:rPr>
                <w:rFonts w:ascii="宋体" w:hAnsi="宋体" w:eastAsia="宋体"/>
                <w:sz w:val="16"/>
              </w:rPr>
              <w:t>种植经济作物面积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FCC2E">
            <w:pPr>
              <w:jc w:val="center"/>
            </w:pPr>
            <w:r>
              <w:rPr>
                <w:rFonts w:ascii="宋体" w:hAnsi="宋体" w:eastAsia="宋体"/>
                <w:sz w:val="16"/>
              </w:rPr>
              <w:t>=4356亩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8BFDD">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0C34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FF6EE">
            <w:pPr>
              <w:jc w:val="center"/>
            </w:pPr>
            <w:r>
              <w:rPr>
                <w:rFonts w:ascii="宋体" w:hAnsi="宋体" w:eastAsia="宋体"/>
                <w:sz w:val="16"/>
              </w:rPr>
              <w:t>4238.46亩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06C49">
            <w:pPr>
              <w:jc w:val="center"/>
            </w:pPr>
            <w:r>
              <w:rPr>
                <w:rFonts w:ascii="宋体" w:hAnsi="宋体" w:eastAsia="宋体"/>
                <w:sz w:val="16"/>
              </w:rPr>
              <w:t>97.3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A9210">
            <w:pPr>
              <w:jc w:val="center"/>
            </w:pPr>
            <w:r>
              <w:rPr>
                <w:rFonts w:ascii="宋体" w:hAnsi="宋体" w:eastAsia="宋体"/>
                <w:sz w:val="16"/>
              </w:rPr>
              <w:t>14.6</w:t>
            </w:r>
          </w:p>
        </w:tc>
      </w:tr>
      <w:tr w14:paraId="475503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F13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39E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1E604">
            <w:pPr>
              <w:jc w:val="center"/>
            </w:pPr>
            <w:r>
              <w:rPr>
                <w:rFonts w:ascii="宋体" w:hAnsi="宋体" w:eastAsia="宋体"/>
                <w:sz w:val="16"/>
              </w:rPr>
              <w:t>辖区安全隐患排查次数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D1398">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9A010">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1EF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B6370">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79E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BCB3A">
            <w:pPr>
              <w:jc w:val="center"/>
            </w:pPr>
            <w:r>
              <w:rPr>
                <w:rFonts w:ascii="宋体" w:hAnsi="宋体" w:eastAsia="宋体"/>
                <w:sz w:val="16"/>
              </w:rPr>
              <w:t>10</w:t>
            </w:r>
          </w:p>
        </w:tc>
      </w:tr>
      <w:tr w14:paraId="0C584C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BCB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4E8B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2B4D6">
            <w:pPr>
              <w:jc w:val="center"/>
            </w:pPr>
            <w:r>
              <w:rPr>
                <w:rFonts w:ascii="宋体" w:hAnsi="宋体" w:eastAsia="宋体"/>
                <w:sz w:val="16"/>
              </w:rPr>
              <w:t>辖区安全隐患排查整改率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425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9743E">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D98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250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FE9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78315">
            <w:pPr>
              <w:jc w:val="center"/>
            </w:pPr>
            <w:r>
              <w:rPr>
                <w:rFonts w:ascii="宋体" w:hAnsi="宋体" w:eastAsia="宋体"/>
                <w:sz w:val="16"/>
              </w:rPr>
              <w:t>10</w:t>
            </w:r>
          </w:p>
        </w:tc>
      </w:tr>
      <w:tr w14:paraId="3ED5CE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8E07C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1983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EE3EC">
            <w:pPr>
              <w:jc w:val="center"/>
            </w:pPr>
            <w:r>
              <w:rPr>
                <w:rFonts w:hint="eastAsia" w:ascii="宋体" w:hAnsi="宋体"/>
                <w:sz w:val="16"/>
                <w:lang w:eastAsia="zh-CN"/>
              </w:rPr>
              <w:t>耕地</w:t>
            </w:r>
            <w:r>
              <w:rPr>
                <w:rFonts w:ascii="宋体" w:hAnsi="宋体" w:eastAsia="宋体"/>
                <w:sz w:val="16"/>
              </w:rPr>
              <w:t>保护补贴发放率（冬小麦）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201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0C2A2">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03BF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930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4CC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F592F">
            <w:pPr>
              <w:jc w:val="center"/>
            </w:pPr>
            <w:r>
              <w:rPr>
                <w:rFonts w:ascii="宋体" w:hAnsi="宋体" w:eastAsia="宋体"/>
                <w:sz w:val="16"/>
              </w:rPr>
              <w:t>20</w:t>
            </w:r>
          </w:p>
        </w:tc>
      </w:tr>
      <w:tr w14:paraId="07C55E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43B2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85FF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15AF5">
            <w:pPr>
              <w:jc w:val="center"/>
            </w:pPr>
            <w:r>
              <w:rPr>
                <w:rFonts w:ascii="宋体" w:hAnsi="宋体" w:eastAsia="宋体"/>
                <w:sz w:val="16"/>
              </w:rPr>
              <w:t>补植补造植树数量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B3688">
            <w:pPr>
              <w:jc w:val="center"/>
            </w:pPr>
            <w:r>
              <w:rPr>
                <w:rFonts w:ascii="宋体" w:hAnsi="宋体" w:eastAsia="宋体"/>
                <w:sz w:val="16"/>
              </w:rPr>
              <w:t>&gt;=9900株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F4FC3">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D62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ACE18">
            <w:pPr>
              <w:jc w:val="center"/>
            </w:pPr>
            <w:r>
              <w:rPr>
                <w:rFonts w:ascii="宋体" w:hAnsi="宋体" w:eastAsia="宋体"/>
                <w:sz w:val="16"/>
              </w:rPr>
              <w:t>9900株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7EB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6DD3D">
            <w:pPr>
              <w:jc w:val="center"/>
            </w:pPr>
            <w:r>
              <w:rPr>
                <w:rFonts w:ascii="宋体" w:hAnsi="宋体" w:eastAsia="宋体"/>
                <w:sz w:val="16"/>
              </w:rPr>
              <w:t>10</w:t>
            </w:r>
          </w:p>
        </w:tc>
      </w:tr>
    </w:tbl>
    <w:p w14:paraId="039546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5705BE6">
        <w:tblPrEx>
          <w:tblCellMar>
            <w:top w:w="0" w:type="dxa"/>
            <w:left w:w="108" w:type="dxa"/>
            <w:bottom w:w="0" w:type="dxa"/>
            <w:right w:w="108" w:type="dxa"/>
          </w:tblCellMar>
        </w:tblPrEx>
        <w:tc>
          <w:tcPr>
            <w:tcW w:w="8848" w:type="dxa"/>
            <w:gridSpan w:val="14"/>
            <w:vAlign w:val="center"/>
          </w:tcPr>
          <w:p w14:paraId="6A42F624">
            <w:pPr>
              <w:jc w:val="center"/>
            </w:pPr>
            <w:r>
              <w:rPr>
                <w:rFonts w:ascii="宋体" w:hAnsi="宋体" w:eastAsia="宋体"/>
                <w:sz w:val="24"/>
              </w:rPr>
              <w:t>项目支出绩效自评表</w:t>
            </w:r>
          </w:p>
        </w:tc>
      </w:tr>
      <w:tr w14:paraId="7D0B2011">
        <w:tblPrEx>
          <w:tblCellMar>
            <w:top w:w="0" w:type="dxa"/>
            <w:left w:w="108" w:type="dxa"/>
            <w:bottom w:w="0" w:type="dxa"/>
            <w:right w:w="108" w:type="dxa"/>
          </w:tblCellMar>
        </w:tblPrEx>
        <w:tc>
          <w:tcPr>
            <w:tcW w:w="8848" w:type="dxa"/>
            <w:gridSpan w:val="14"/>
            <w:vAlign w:val="center"/>
          </w:tcPr>
          <w:p w14:paraId="77E9187B">
            <w:pPr>
              <w:jc w:val="center"/>
            </w:pPr>
            <w:r>
              <w:rPr>
                <w:rFonts w:ascii="宋体" w:hAnsi="宋体" w:eastAsia="宋体"/>
                <w:sz w:val="24"/>
              </w:rPr>
              <w:t>(2024年度)</w:t>
            </w:r>
          </w:p>
        </w:tc>
      </w:tr>
      <w:tr w14:paraId="6FF392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C0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7A07BF">
            <w:pPr>
              <w:jc w:val="center"/>
            </w:pPr>
            <w:r>
              <w:rPr>
                <w:rFonts w:ascii="宋体" w:hAnsi="宋体" w:eastAsia="宋体"/>
                <w:sz w:val="16"/>
              </w:rPr>
              <w:t>2024年度疏勒县林场临时聘用人员工资经费项目</w:t>
            </w:r>
          </w:p>
        </w:tc>
      </w:tr>
      <w:tr w14:paraId="29B00F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78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8981AA">
            <w:pPr>
              <w:jc w:val="center"/>
            </w:pPr>
            <w:r>
              <w:rPr>
                <w:rFonts w:ascii="宋体" w:hAnsi="宋体" w:eastAsia="宋体"/>
                <w:sz w:val="16"/>
              </w:rPr>
              <w:t>疏勒县林场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3A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7B4B19">
            <w:pPr>
              <w:jc w:val="center"/>
            </w:pPr>
            <w:r>
              <w:rPr>
                <w:rFonts w:ascii="宋体" w:hAnsi="宋体" w:eastAsia="宋体"/>
                <w:sz w:val="16"/>
              </w:rPr>
              <w:t>疏勒县林场</w:t>
            </w:r>
          </w:p>
        </w:tc>
      </w:tr>
      <w:tr w14:paraId="52CD80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A49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18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05E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698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434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E5A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785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1387">
            <w:pPr>
              <w:jc w:val="center"/>
            </w:pPr>
            <w:r>
              <w:rPr>
                <w:rFonts w:ascii="宋体" w:hAnsi="宋体" w:eastAsia="宋体"/>
                <w:sz w:val="16"/>
              </w:rPr>
              <w:t>得分</w:t>
            </w:r>
          </w:p>
        </w:tc>
      </w:tr>
      <w:tr w14:paraId="5FEC0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0B3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F2E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E488E">
            <w:pPr>
              <w:jc w:val="center"/>
            </w:pPr>
            <w:r>
              <w:rPr>
                <w:rFonts w:ascii="宋体" w:hAnsi="宋体" w:eastAsia="宋体"/>
                <w:sz w:val="16"/>
              </w:rPr>
              <w:t>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B929">
            <w:pPr>
              <w:jc w:val="center"/>
            </w:pPr>
            <w:r>
              <w:rPr>
                <w:rFonts w:ascii="宋体" w:hAnsi="宋体" w:eastAsia="宋体"/>
                <w:sz w:val="16"/>
              </w:rPr>
              <w:t>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47B86">
            <w:pPr>
              <w:jc w:val="center"/>
            </w:pPr>
            <w:r>
              <w:rPr>
                <w:rFonts w:ascii="宋体" w:hAnsi="宋体" w:eastAsia="宋体"/>
                <w:sz w:val="16"/>
              </w:rPr>
              <w:t>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7DA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CA28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8D7F">
            <w:pPr>
              <w:jc w:val="center"/>
            </w:pPr>
            <w:r>
              <w:rPr>
                <w:rFonts w:ascii="宋体" w:hAnsi="宋体" w:eastAsia="宋体"/>
                <w:sz w:val="16"/>
              </w:rPr>
              <w:t>10.00分</w:t>
            </w:r>
          </w:p>
        </w:tc>
      </w:tr>
      <w:tr w14:paraId="1C1AA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6FA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AE3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84484">
            <w:pPr>
              <w:jc w:val="center"/>
            </w:pPr>
            <w:r>
              <w:rPr>
                <w:rFonts w:ascii="宋体" w:hAnsi="宋体" w:eastAsia="宋体"/>
                <w:sz w:val="16"/>
              </w:rPr>
              <w:t>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45E29">
            <w:pPr>
              <w:jc w:val="center"/>
            </w:pPr>
            <w:r>
              <w:rPr>
                <w:rFonts w:ascii="宋体" w:hAnsi="宋体" w:eastAsia="宋体"/>
                <w:sz w:val="16"/>
              </w:rPr>
              <w:t>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96682">
            <w:pPr>
              <w:jc w:val="center"/>
            </w:pPr>
            <w:r>
              <w:rPr>
                <w:rFonts w:ascii="宋体" w:hAnsi="宋体" w:eastAsia="宋体"/>
                <w:sz w:val="16"/>
              </w:rPr>
              <w:t>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C8E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B69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C9F6">
            <w:pPr>
              <w:jc w:val="center"/>
            </w:pPr>
            <w:r>
              <w:rPr>
                <w:rFonts w:ascii="宋体" w:hAnsi="宋体" w:eastAsia="宋体"/>
                <w:sz w:val="16"/>
              </w:rPr>
              <w:t>—</w:t>
            </w:r>
          </w:p>
        </w:tc>
      </w:tr>
      <w:tr w14:paraId="3F5FD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0BB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B15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2E9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B93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0FA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B89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703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50B0">
            <w:pPr>
              <w:jc w:val="center"/>
            </w:pPr>
            <w:r>
              <w:rPr>
                <w:rFonts w:ascii="宋体" w:hAnsi="宋体" w:eastAsia="宋体"/>
                <w:sz w:val="16"/>
              </w:rPr>
              <w:t>—</w:t>
            </w:r>
          </w:p>
        </w:tc>
      </w:tr>
      <w:tr w14:paraId="2B2568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CFB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103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252182">
            <w:pPr>
              <w:jc w:val="center"/>
            </w:pPr>
            <w:r>
              <w:rPr>
                <w:rFonts w:ascii="宋体" w:hAnsi="宋体" w:eastAsia="宋体"/>
                <w:sz w:val="16"/>
              </w:rPr>
              <w:t>实际完成情况</w:t>
            </w:r>
          </w:p>
        </w:tc>
      </w:tr>
      <w:tr w14:paraId="7D4EC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F53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054B8">
            <w:pPr>
              <w:jc w:val="both"/>
            </w:pPr>
            <w:r>
              <w:rPr>
                <w:rFonts w:ascii="宋体" w:hAnsi="宋体" w:eastAsia="宋体"/>
                <w:sz w:val="16"/>
              </w:rPr>
              <w:t>本项目计划投资5.6万元，根据本场历年实际工作需要并结合林场实际情况实施本项目主要用于1名临时聘用人员工资经费每月0.4万元，共需发14个月，根据测算共需5.6万元，通过做实施本项目减轻林场原职工工作压力及提高单位财务与人事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55ED9">
            <w:pPr>
              <w:jc w:val="both"/>
            </w:pPr>
            <w:r>
              <w:rPr>
                <w:rFonts w:hint="eastAsia" w:ascii="宋体" w:hAnsi="宋体"/>
                <w:sz w:val="16"/>
                <w:lang w:eastAsia="zh-CN"/>
              </w:rPr>
              <w:t>截至</w:t>
            </w:r>
            <w:r>
              <w:rPr>
                <w:rFonts w:ascii="宋体" w:hAnsi="宋体" w:eastAsia="宋体"/>
                <w:sz w:val="16"/>
              </w:rPr>
              <w:t>2024年12月31日，本项目实际支出5.6万元，实际实施情况是本项目主要用于1名临时聘用人员工资经费每月0.4万元根据测算共需5.6万元，资金发放次数14次，资金发放人数为1人，</w:t>
            </w:r>
            <w:r>
              <w:rPr>
                <w:rFonts w:hint="eastAsia" w:ascii="宋体" w:hAnsi="宋体"/>
                <w:sz w:val="16"/>
                <w:lang w:eastAsia="zh-CN"/>
              </w:rPr>
              <w:t>通过</w:t>
            </w:r>
            <w:r>
              <w:rPr>
                <w:rFonts w:ascii="宋体" w:hAnsi="宋体" w:eastAsia="宋体"/>
                <w:sz w:val="16"/>
              </w:rPr>
              <w:t>实施本项目减轻林场原职工工作压力及提高单位财务与人事工作效率。</w:t>
            </w:r>
          </w:p>
        </w:tc>
      </w:tr>
      <w:tr w14:paraId="34CE69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D080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08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32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13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BA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DB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10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20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68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95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4F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C9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2B54C">
            <w:pPr>
              <w:jc w:val="center"/>
            </w:pPr>
            <w:r>
              <w:rPr>
                <w:rFonts w:ascii="宋体" w:hAnsi="宋体" w:eastAsia="宋体"/>
                <w:sz w:val="16"/>
              </w:rPr>
              <w:t>偏差原因分析及改进措施</w:t>
            </w:r>
          </w:p>
        </w:tc>
      </w:tr>
      <w:tr w14:paraId="478C0E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907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F78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569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910E">
            <w:pPr>
              <w:jc w:val="center"/>
            </w:pPr>
            <w:r>
              <w:rPr>
                <w:rFonts w:ascii="宋体" w:hAnsi="宋体" w:eastAsia="宋体"/>
                <w:sz w:val="16"/>
              </w:rPr>
              <w:t>保障聘用人员人数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CDA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F8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F5B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FB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8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F5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95D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84E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A2AE2">
            <w:pPr>
              <w:jc w:val="center"/>
            </w:pPr>
          </w:p>
        </w:tc>
      </w:tr>
      <w:tr w14:paraId="38341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C5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DC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85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3F2A">
            <w:pPr>
              <w:jc w:val="center"/>
            </w:pPr>
            <w:r>
              <w:rPr>
                <w:rFonts w:ascii="宋体" w:hAnsi="宋体" w:eastAsia="宋体"/>
                <w:sz w:val="16"/>
              </w:rPr>
              <w:t>临时聘用人员工资发放月数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597E">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5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B22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46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5B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40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BE5B">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06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6FD6C">
            <w:pPr>
              <w:jc w:val="center"/>
            </w:pPr>
          </w:p>
        </w:tc>
      </w:tr>
      <w:tr w14:paraId="66937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0B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BB0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EF3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53BA">
            <w:pPr>
              <w:jc w:val="center"/>
            </w:pPr>
            <w:r>
              <w:rPr>
                <w:rFonts w:ascii="宋体" w:hAnsi="宋体" w:eastAsia="宋体"/>
                <w:sz w:val="16"/>
              </w:rPr>
              <w:t>聘用人员考核合格率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2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ED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0A3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A4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97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DB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3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17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D32AE">
            <w:pPr>
              <w:jc w:val="center"/>
            </w:pPr>
          </w:p>
        </w:tc>
      </w:tr>
      <w:tr w14:paraId="5C3743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97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DC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0B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B5E4">
            <w:pPr>
              <w:jc w:val="center"/>
            </w:pPr>
            <w:r>
              <w:rPr>
                <w:rFonts w:ascii="宋体" w:hAnsi="宋体" w:eastAsia="宋体"/>
                <w:sz w:val="16"/>
              </w:rPr>
              <w:t>资金发放到位率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4F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7A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B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38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F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E1B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F6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346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8A5C1">
            <w:pPr>
              <w:jc w:val="center"/>
            </w:pPr>
          </w:p>
        </w:tc>
      </w:tr>
      <w:tr w14:paraId="203B6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47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559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862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85EB">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E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A7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84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67D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AC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435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FE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37D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4C3BB">
            <w:pPr>
              <w:jc w:val="center"/>
            </w:pPr>
          </w:p>
        </w:tc>
      </w:tr>
      <w:tr w14:paraId="2D6B9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448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8F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57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DB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10AB">
            <w:pPr>
              <w:jc w:val="center"/>
            </w:pPr>
            <w:r>
              <w:rPr>
                <w:rFonts w:ascii="宋体" w:hAnsi="宋体" w:eastAsia="宋体"/>
                <w:sz w:val="16"/>
              </w:rPr>
              <w:t>=2024年12月27日前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3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93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8B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3F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EC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D49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E55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302B">
            <w:pPr>
              <w:jc w:val="center"/>
            </w:pPr>
          </w:p>
        </w:tc>
      </w:tr>
      <w:tr w14:paraId="68C2C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21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2AA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E4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E6F3">
            <w:pPr>
              <w:jc w:val="center"/>
            </w:pPr>
            <w:r>
              <w:rPr>
                <w:rFonts w:ascii="宋体" w:hAnsi="宋体" w:eastAsia="宋体"/>
                <w:sz w:val="16"/>
              </w:rPr>
              <w:t>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C9A3">
            <w:pPr>
              <w:jc w:val="center"/>
            </w:pPr>
            <w:r>
              <w:rPr>
                <w:rFonts w:ascii="宋体" w:hAnsi="宋体" w:eastAsia="宋体"/>
                <w:sz w:val="16"/>
              </w:rPr>
              <w:t>&lt;=4000元/人/月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685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37AB">
            <w:pPr>
              <w:jc w:val="center"/>
            </w:pPr>
            <w:r>
              <w:rPr>
                <w:rFonts w:ascii="宋体" w:hAnsi="宋体" w:eastAsia="宋体"/>
                <w:sz w:val="16"/>
              </w:rPr>
              <w:t>4000元/月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19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31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2C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3756">
            <w:pPr>
              <w:jc w:val="center"/>
            </w:pPr>
            <w:r>
              <w:rPr>
                <w:rFonts w:ascii="宋体" w:hAnsi="宋体" w:eastAsia="宋体"/>
                <w:sz w:val="16"/>
              </w:rPr>
              <w:t>=4000元/人/月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3C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5C72B">
            <w:pPr>
              <w:jc w:val="center"/>
            </w:pPr>
          </w:p>
        </w:tc>
      </w:tr>
      <w:tr w14:paraId="3A5AA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BEF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BE3A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CA3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7687">
            <w:pPr>
              <w:jc w:val="center"/>
            </w:pPr>
            <w:r>
              <w:rPr>
                <w:rFonts w:ascii="宋体" w:hAnsi="宋体" w:eastAsia="宋体"/>
                <w:sz w:val="16"/>
              </w:rPr>
              <w:t>提高单位工作效率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BDE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5E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A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97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49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A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244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6E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D9632">
            <w:pPr>
              <w:jc w:val="center"/>
            </w:pPr>
          </w:p>
        </w:tc>
      </w:tr>
      <w:tr w14:paraId="43E79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10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E33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F35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E16D">
            <w:pPr>
              <w:jc w:val="center"/>
            </w:pPr>
            <w:r>
              <w:rPr>
                <w:rFonts w:hint="eastAsia" w:ascii="宋体" w:hAnsi="宋体"/>
                <w:sz w:val="16"/>
                <w:lang w:eastAsia="zh-CN"/>
              </w:rPr>
              <w:t>减轻</w:t>
            </w:r>
            <w:r>
              <w:rPr>
                <w:rFonts w:ascii="宋体" w:hAnsi="宋体" w:eastAsia="宋体"/>
                <w:sz w:val="16"/>
              </w:rPr>
              <w:t>职工工作</w:t>
            </w:r>
            <w:r>
              <w:rPr>
                <w:rFonts w:hint="eastAsia" w:ascii="宋体" w:hAnsi="宋体"/>
                <w:sz w:val="16"/>
                <w:lang w:eastAsia="zh-CN"/>
              </w:rPr>
              <w:t>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5EC8">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E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7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DD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39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EF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D9C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A4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4998C">
            <w:pPr>
              <w:jc w:val="center"/>
            </w:pPr>
          </w:p>
        </w:tc>
      </w:tr>
      <w:tr w14:paraId="13B5F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D6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5A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3A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5C08">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3F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FC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2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BE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36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3C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D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97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AF553">
            <w:pPr>
              <w:jc w:val="center"/>
            </w:pPr>
            <w:r>
              <w:rPr>
                <w:rFonts w:ascii="宋体" w:hAnsi="宋体" w:eastAsia="宋体"/>
                <w:sz w:val="16"/>
              </w:rPr>
              <w:t>聘用人员满意度100%，故存在5%偏差。</w:t>
            </w:r>
          </w:p>
        </w:tc>
      </w:tr>
      <w:tr w14:paraId="45B3AC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7E2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59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FF2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116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D3F570"/>
        </w:tc>
      </w:tr>
    </w:tbl>
    <w:p w14:paraId="704DA995">
      <w:r>
        <w:br w:type="page"/>
      </w:r>
    </w:p>
    <w:p w14:paraId="31896E2B">
      <w:pPr>
        <w:spacing w:line="640" w:lineRule="exact"/>
        <w:ind w:firstLine="640"/>
        <w:jc w:val="both"/>
        <w:outlineLvl w:val="2"/>
      </w:pPr>
      <w:r>
        <w:rPr>
          <w:rFonts w:ascii="黑体" w:hAnsi="黑体" w:eastAsia="黑体"/>
          <w:sz w:val="32"/>
        </w:rPr>
        <w:t>十二、其他需说明的事项</w:t>
      </w:r>
    </w:p>
    <w:p w14:paraId="012B0484">
      <w:pPr>
        <w:spacing w:line="580" w:lineRule="exact"/>
        <w:ind w:firstLine="640"/>
        <w:jc w:val="both"/>
      </w:pPr>
      <w:r>
        <w:rPr>
          <w:rFonts w:ascii="仿宋_GB2312" w:hAnsi="仿宋_GB2312" w:eastAsia="仿宋_GB2312"/>
          <w:b w:val="0"/>
          <w:sz w:val="32"/>
        </w:rPr>
        <w:t>本单位无其他需说明的事项。</w:t>
      </w:r>
    </w:p>
    <w:p w14:paraId="033B9815">
      <w:r>
        <w:br w:type="page"/>
      </w:r>
    </w:p>
    <w:p w14:paraId="6C369186">
      <w:pPr>
        <w:spacing w:line="240" w:lineRule="auto"/>
        <w:jc w:val="center"/>
        <w:outlineLvl w:val="1"/>
      </w:pPr>
      <w:r>
        <w:rPr>
          <w:rFonts w:ascii="黑体" w:hAnsi="黑体" w:eastAsia="黑体"/>
          <w:sz w:val="32"/>
        </w:rPr>
        <w:t>第三部分 专业名词解释</w:t>
      </w:r>
    </w:p>
    <w:p w14:paraId="7255AE0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9340D3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0B31DD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CBA0CF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5ACABB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4BC53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E1642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CC349B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9362D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185B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54727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B812C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F436EC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C8856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EE5C06D">
      <w:r>
        <w:br w:type="page"/>
      </w:r>
    </w:p>
    <w:p w14:paraId="429B895A">
      <w:pPr>
        <w:spacing w:line="240" w:lineRule="auto"/>
        <w:jc w:val="center"/>
        <w:outlineLvl w:val="1"/>
      </w:pPr>
      <w:r>
        <w:rPr>
          <w:rFonts w:ascii="黑体" w:hAnsi="黑体" w:eastAsia="黑体"/>
          <w:sz w:val="32"/>
        </w:rPr>
        <w:t>第四部分 部门决算报表（见附表）</w:t>
      </w:r>
    </w:p>
    <w:p w14:paraId="66454145">
      <w:pPr>
        <w:spacing w:line="240" w:lineRule="auto"/>
        <w:ind w:firstLine="640"/>
        <w:jc w:val="both"/>
      </w:pPr>
      <w:r>
        <w:rPr>
          <w:rFonts w:ascii="仿宋_GB2312" w:hAnsi="仿宋_GB2312" w:eastAsia="仿宋_GB2312"/>
          <w:b w:val="0"/>
          <w:sz w:val="32"/>
        </w:rPr>
        <w:t>一、《收入支出决算总表》</w:t>
      </w:r>
    </w:p>
    <w:p w14:paraId="2C16BA03">
      <w:pPr>
        <w:spacing w:line="240" w:lineRule="auto"/>
        <w:ind w:firstLine="640"/>
        <w:jc w:val="both"/>
      </w:pPr>
      <w:r>
        <w:rPr>
          <w:rFonts w:ascii="仿宋_GB2312" w:hAnsi="仿宋_GB2312" w:eastAsia="仿宋_GB2312"/>
          <w:b w:val="0"/>
          <w:sz w:val="32"/>
        </w:rPr>
        <w:t>二、《收入决算表》</w:t>
      </w:r>
    </w:p>
    <w:p w14:paraId="73B6C0EF">
      <w:pPr>
        <w:spacing w:line="240" w:lineRule="auto"/>
        <w:ind w:firstLine="640"/>
        <w:jc w:val="both"/>
      </w:pPr>
      <w:r>
        <w:rPr>
          <w:rFonts w:ascii="仿宋_GB2312" w:hAnsi="仿宋_GB2312" w:eastAsia="仿宋_GB2312"/>
          <w:b w:val="0"/>
          <w:sz w:val="32"/>
        </w:rPr>
        <w:t>三、《支出决算表》</w:t>
      </w:r>
    </w:p>
    <w:p w14:paraId="072D9AA6">
      <w:pPr>
        <w:spacing w:line="240" w:lineRule="auto"/>
        <w:ind w:firstLine="640"/>
        <w:jc w:val="both"/>
      </w:pPr>
      <w:r>
        <w:rPr>
          <w:rFonts w:ascii="仿宋_GB2312" w:hAnsi="仿宋_GB2312" w:eastAsia="仿宋_GB2312"/>
          <w:b w:val="0"/>
          <w:sz w:val="32"/>
        </w:rPr>
        <w:t>四、《财政拨款收入支出决算总表》</w:t>
      </w:r>
    </w:p>
    <w:p w14:paraId="4F301E6E">
      <w:pPr>
        <w:spacing w:line="240" w:lineRule="auto"/>
        <w:ind w:firstLine="640"/>
        <w:jc w:val="both"/>
      </w:pPr>
      <w:r>
        <w:rPr>
          <w:rFonts w:ascii="仿宋_GB2312" w:hAnsi="仿宋_GB2312" w:eastAsia="仿宋_GB2312"/>
          <w:b w:val="0"/>
          <w:sz w:val="32"/>
        </w:rPr>
        <w:t>五、《一般公共预算财政拨款支出决算表》</w:t>
      </w:r>
    </w:p>
    <w:p w14:paraId="0BDB353F">
      <w:pPr>
        <w:spacing w:line="240" w:lineRule="auto"/>
        <w:ind w:firstLine="640"/>
        <w:jc w:val="both"/>
      </w:pPr>
      <w:r>
        <w:rPr>
          <w:rFonts w:ascii="仿宋_GB2312" w:hAnsi="仿宋_GB2312" w:eastAsia="仿宋_GB2312"/>
          <w:b w:val="0"/>
          <w:sz w:val="32"/>
        </w:rPr>
        <w:t>六、《一般公共预算财政拨款基本支出决算表》</w:t>
      </w:r>
    </w:p>
    <w:p w14:paraId="54279CB2">
      <w:pPr>
        <w:spacing w:line="240" w:lineRule="auto"/>
        <w:ind w:firstLine="640"/>
        <w:jc w:val="both"/>
      </w:pPr>
      <w:r>
        <w:rPr>
          <w:rFonts w:ascii="仿宋_GB2312" w:hAnsi="仿宋_GB2312" w:eastAsia="仿宋_GB2312"/>
          <w:b w:val="0"/>
          <w:sz w:val="32"/>
        </w:rPr>
        <w:t>七、《政府性基金预算财政拨款收入支出决算表》</w:t>
      </w:r>
    </w:p>
    <w:p w14:paraId="713F413E">
      <w:pPr>
        <w:spacing w:line="240" w:lineRule="auto"/>
        <w:ind w:firstLine="640"/>
        <w:jc w:val="both"/>
      </w:pPr>
      <w:r>
        <w:rPr>
          <w:rFonts w:ascii="仿宋_GB2312" w:hAnsi="仿宋_GB2312" w:eastAsia="仿宋_GB2312"/>
          <w:b w:val="0"/>
          <w:sz w:val="32"/>
        </w:rPr>
        <w:t>八、《国有资本经营预算财政拨款收入支出决算表》</w:t>
      </w:r>
    </w:p>
    <w:p w14:paraId="471F999C">
      <w:pPr>
        <w:spacing w:line="240" w:lineRule="auto"/>
        <w:ind w:firstLine="640"/>
        <w:jc w:val="both"/>
      </w:pPr>
      <w:r>
        <w:rPr>
          <w:rFonts w:ascii="仿宋_GB2312" w:hAnsi="仿宋_GB2312" w:eastAsia="仿宋_GB2312"/>
          <w:b w:val="0"/>
          <w:sz w:val="32"/>
        </w:rPr>
        <w:t>九、《财政拨款“三公”经费支出决算表》</w:t>
      </w:r>
    </w:p>
    <w:p w14:paraId="2BE24E6B">
      <w:pPr>
        <w:spacing w:line="240" w:lineRule="auto"/>
        <w:ind w:firstLine="640"/>
        <w:jc w:val="both"/>
      </w:pPr>
    </w:p>
    <w:p w14:paraId="70B0761D">
      <w:pPr>
        <w:spacing w:line="240" w:lineRule="auto"/>
        <w:ind w:firstLine="640"/>
        <w:jc w:val="both"/>
      </w:pPr>
    </w:p>
    <w:p w14:paraId="57D0458A">
      <w:pPr>
        <w:spacing w:line="240" w:lineRule="auto"/>
        <w:ind w:firstLine="640"/>
        <w:jc w:val="both"/>
      </w:pPr>
    </w:p>
    <w:p w14:paraId="03004ADB">
      <w:pPr>
        <w:spacing w:line="240" w:lineRule="auto"/>
        <w:ind w:firstLine="640"/>
        <w:jc w:val="both"/>
      </w:pPr>
    </w:p>
    <w:p w14:paraId="694A7A3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36316F"/>
    <w:rsid w:val="71473612"/>
    <w:rsid w:val="718F7F65"/>
    <w:rsid w:val="73423603"/>
    <w:rsid w:val="737A5923"/>
    <w:rsid w:val="73DE4104"/>
    <w:rsid w:val="73FB6630"/>
    <w:rsid w:val="74CE04EC"/>
    <w:rsid w:val="74E76DCD"/>
    <w:rsid w:val="76660D7C"/>
    <w:rsid w:val="77ED6F44"/>
    <w:rsid w:val="795A0A34"/>
    <w:rsid w:val="7A0D3BC7"/>
    <w:rsid w:val="7A3A3CDB"/>
    <w:rsid w:val="7FEB13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4614</Words>
  <Characters>5285</Characters>
  <Lines>0</Lines>
  <Paragraphs>0</Paragraphs>
  <TotalTime>5</TotalTime>
  <ScaleCrop>false</ScaleCrop>
  <LinksUpToDate>false</LinksUpToDate>
  <CharactersWithSpaces>5293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2025-09-26T08:39:51Z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