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疏勒县农村合作经济发展中心2024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155A406">
      <w:r>
        <w:br w:type="page"/>
      </w:r>
    </w:p>
    <w:p w14:paraId="4420E168">
      <w:pPr>
        <w:spacing w:line="640" w:lineRule="exact"/>
        <w:jc w:val="center"/>
        <w:outlineLvl w:val="1"/>
      </w:pPr>
      <w:r>
        <w:rPr>
          <w:rFonts w:ascii="黑体" w:hAnsi="黑体" w:eastAsia="黑体"/>
          <w:sz w:val="32"/>
        </w:rPr>
        <w:t>第一部分 单位概况</w:t>
      </w:r>
    </w:p>
    <w:p w14:paraId="03D7CE7B">
      <w:pPr>
        <w:spacing w:line="640" w:lineRule="exact"/>
        <w:ind w:firstLine="640"/>
        <w:jc w:val="both"/>
        <w:outlineLvl w:val="2"/>
      </w:pPr>
      <w:r>
        <w:rPr>
          <w:rFonts w:ascii="黑体" w:hAnsi="黑体" w:eastAsia="黑体"/>
          <w:sz w:val="32"/>
        </w:rPr>
        <w:t>一、主要职能</w:t>
      </w:r>
    </w:p>
    <w:p w14:paraId="10ECA8F5">
      <w:pPr>
        <w:spacing w:line="580" w:lineRule="exact"/>
        <w:ind w:firstLine="640"/>
        <w:jc w:val="both"/>
      </w:pPr>
      <w:r>
        <w:rPr>
          <w:rFonts w:ascii="仿宋_GB2312" w:hAnsi="仿宋_GB2312" w:eastAsia="仿宋_GB2312"/>
          <w:sz w:val="32"/>
        </w:rPr>
        <w:t>组织实施县“三农”</w:t>
      </w:r>
      <w:r>
        <w:rPr>
          <w:rFonts w:hint="eastAsia" w:ascii="仿宋_GB2312" w:hAnsi="仿宋_GB2312" w:eastAsia="仿宋_GB2312"/>
          <w:sz w:val="32"/>
          <w:lang w:eastAsia="zh-CN"/>
        </w:rPr>
        <w:t>工作的开展</w:t>
      </w:r>
      <w:r>
        <w:rPr>
          <w:rFonts w:ascii="仿宋_GB2312" w:hAnsi="仿宋_GB2312" w:eastAsia="仿宋_GB2312"/>
          <w:sz w:val="32"/>
        </w:rPr>
        <w:t>战略、中长期规划、重大政策；三十年承包地颁证，土地流转；对合作社进行指导，培训，统计；负责双层经营体制政策实施、土地承包管理、土地承包合同纠纷调解与仲裁、土地承包经营权流转指导；负担项目审核备案、负担试点监测、负担执法检查、负担案件</w:t>
      </w:r>
      <w:r>
        <w:rPr>
          <w:rFonts w:hint="eastAsia" w:ascii="仿宋_GB2312" w:hAnsi="仿宋_GB2312" w:eastAsia="仿宋_GB2312"/>
          <w:sz w:val="32"/>
          <w:lang w:eastAsia="zh-CN"/>
        </w:rPr>
        <w:t>查处</w:t>
      </w:r>
      <w:r>
        <w:rPr>
          <w:rFonts w:ascii="仿宋_GB2312" w:hAnsi="仿宋_GB2312" w:eastAsia="仿宋_GB2312"/>
          <w:sz w:val="32"/>
        </w:rPr>
        <w:t>与信访处理；农村集体资产法规实施、农村集体资产所有权界定、登记、变更审核、纠纷案件</w:t>
      </w:r>
      <w:r>
        <w:rPr>
          <w:rFonts w:hint="eastAsia" w:ascii="仿宋_GB2312" w:hAnsi="仿宋_GB2312" w:eastAsia="仿宋_GB2312"/>
          <w:sz w:val="32"/>
          <w:lang w:eastAsia="zh-CN"/>
        </w:rPr>
        <w:t>查处</w:t>
      </w:r>
      <w:r>
        <w:rPr>
          <w:rFonts w:ascii="仿宋_GB2312" w:hAnsi="仿宋_GB2312" w:eastAsia="仿宋_GB2312"/>
          <w:sz w:val="32"/>
        </w:rPr>
        <w:t>、资产评估，产权交易监督管理、收益管理；农村集体经济审计，村级财务人员管理；指导农民合作经济组织建设、农业产业化、指导农业社会化服务体系发展、稳定农村经营体制、加强农经队伍自身建设、开展农村经济统计。承办县委、县政府和上级部门交办的其他任务。</w:t>
      </w:r>
    </w:p>
    <w:p w14:paraId="700DDC8B">
      <w:pPr>
        <w:spacing w:line="640" w:lineRule="exact"/>
        <w:ind w:firstLine="640"/>
        <w:jc w:val="both"/>
        <w:outlineLvl w:val="2"/>
      </w:pPr>
      <w:r>
        <w:rPr>
          <w:rFonts w:ascii="黑体" w:hAnsi="黑体" w:eastAsia="黑体"/>
          <w:sz w:val="32"/>
        </w:rPr>
        <w:t>二、机构设置及人员情况</w:t>
      </w:r>
    </w:p>
    <w:p w14:paraId="688CBA6B">
      <w:pPr>
        <w:spacing w:line="580" w:lineRule="exact"/>
        <w:ind w:firstLine="640"/>
        <w:jc w:val="both"/>
      </w:pPr>
      <w:r>
        <w:rPr>
          <w:rFonts w:ascii="仿宋_GB2312" w:hAnsi="仿宋_GB2312" w:eastAsia="仿宋_GB2312"/>
          <w:sz w:val="32"/>
        </w:rPr>
        <w:t>疏勒县农村合作经济发展中心2024年度，实有人数23人，其中：在职人员10人，增加4人；离休人员0人，增加0人；退休人员13人,增加0人。</w:t>
      </w:r>
    </w:p>
    <w:p w14:paraId="4A9AC846">
      <w:pPr>
        <w:spacing w:line="580" w:lineRule="exact"/>
        <w:ind w:firstLine="640"/>
        <w:jc w:val="both"/>
      </w:pPr>
      <w:r>
        <w:rPr>
          <w:rFonts w:ascii="仿宋_GB2312" w:hAnsi="仿宋_GB2312" w:eastAsia="仿宋_GB2312"/>
          <w:sz w:val="32"/>
        </w:rPr>
        <w:t>疏勒县农村合作经济发展中心无下属预算单位，下设2个科室，分别是：办公室、财务室。</w:t>
      </w:r>
    </w:p>
    <w:p w14:paraId="202F65B0">
      <w:r>
        <w:br w:type="page"/>
      </w:r>
    </w:p>
    <w:p w14:paraId="5A12A8E5">
      <w:pPr>
        <w:spacing w:line="240" w:lineRule="auto"/>
        <w:jc w:val="center"/>
        <w:outlineLvl w:val="1"/>
      </w:pPr>
      <w:r>
        <w:rPr>
          <w:rFonts w:ascii="黑体" w:hAnsi="黑体" w:eastAsia="黑体"/>
          <w:sz w:val="32"/>
        </w:rPr>
        <w:t>第二部分 部门决算情况说明</w:t>
      </w:r>
    </w:p>
    <w:p w14:paraId="36DEE26C">
      <w:pPr>
        <w:spacing w:line="640" w:lineRule="exact"/>
        <w:ind w:firstLine="640"/>
        <w:jc w:val="both"/>
        <w:outlineLvl w:val="2"/>
      </w:pPr>
      <w:r>
        <w:rPr>
          <w:rFonts w:ascii="黑体" w:hAnsi="黑体" w:eastAsia="黑体"/>
          <w:sz w:val="32"/>
        </w:rPr>
        <w:t>一、收入支出决算总体情况说明</w:t>
      </w:r>
    </w:p>
    <w:p w14:paraId="6A52CE53">
      <w:pPr>
        <w:spacing w:line="580" w:lineRule="exact"/>
        <w:ind w:firstLine="640"/>
        <w:jc w:val="both"/>
      </w:pPr>
      <w:r>
        <w:rPr>
          <w:rFonts w:ascii="仿宋_GB2312" w:hAnsi="仿宋_GB2312" w:eastAsia="仿宋_GB2312"/>
          <w:b/>
          <w:sz w:val="32"/>
        </w:rPr>
        <w:t>2024年度收入总计172.01万元，</w:t>
      </w:r>
      <w:r>
        <w:rPr>
          <w:rFonts w:ascii="仿宋_GB2312" w:hAnsi="仿宋_GB2312" w:eastAsia="仿宋_GB2312"/>
          <w:b w:val="0"/>
          <w:sz w:val="32"/>
        </w:rPr>
        <w:t>其中：本年收入合计172.01万元，使用非财政拨款结余（含专用结余）0.00万元，年初结转和结余0.00万元。</w:t>
      </w:r>
    </w:p>
    <w:p w14:paraId="356E2E52">
      <w:pPr>
        <w:spacing w:line="580" w:lineRule="exact"/>
        <w:ind w:firstLine="640"/>
        <w:jc w:val="both"/>
      </w:pPr>
      <w:r>
        <w:rPr>
          <w:rFonts w:ascii="仿宋_GB2312" w:hAnsi="仿宋_GB2312" w:eastAsia="仿宋_GB2312"/>
          <w:b/>
          <w:sz w:val="32"/>
        </w:rPr>
        <w:t>2024年度支出总计172.01万元，</w:t>
      </w:r>
      <w:r>
        <w:rPr>
          <w:rFonts w:ascii="仿宋_GB2312" w:hAnsi="仿宋_GB2312" w:eastAsia="仿宋_GB2312"/>
          <w:b w:val="0"/>
          <w:sz w:val="32"/>
        </w:rPr>
        <w:t>其中：本年支出合计172.01万元，结余分配0.00万元，年末结转和结余0.00万元。</w:t>
      </w:r>
    </w:p>
    <w:p w14:paraId="5478C3B2">
      <w:pPr>
        <w:spacing w:line="580" w:lineRule="exact"/>
        <w:ind w:firstLine="640"/>
        <w:jc w:val="both"/>
      </w:pPr>
      <w:r>
        <w:rPr>
          <w:rFonts w:ascii="仿宋_GB2312" w:hAnsi="仿宋_GB2312" w:eastAsia="仿宋_GB2312"/>
          <w:b w:val="0"/>
          <w:sz w:val="32"/>
        </w:rPr>
        <w:t>收入支出总体与上年相比，减少338.07万元，下降66.28%，主要原因是：本年减少农业生产社会化服务项目、新型农业经营主体提升技术应用项目、疏勒县农村土地承包经营权登记颁证项目，导致经费较上年减少。</w:t>
      </w:r>
    </w:p>
    <w:p w14:paraId="7A0450C5">
      <w:pPr>
        <w:spacing w:line="640" w:lineRule="exact"/>
        <w:ind w:firstLine="640"/>
        <w:jc w:val="both"/>
        <w:outlineLvl w:val="2"/>
      </w:pPr>
      <w:r>
        <w:rPr>
          <w:rFonts w:ascii="黑体" w:hAnsi="黑体" w:eastAsia="黑体"/>
          <w:sz w:val="32"/>
        </w:rPr>
        <w:t>二、收入决算情况说明</w:t>
      </w:r>
    </w:p>
    <w:p w14:paraId="73148B5F">
      <w:pPr>
        <w:spacing w:line="580" w:lineRule="exact"/>
        <w:ind w:firstLine="640"/>
        <w:jc w:val="both"/>
      </w:pPr>
      <w:r>
        <w:rPr>
          <w:rFonts w:ascii="仿宋_GB2312" w:hAnsi="仿宋_GB2312" w:eastAsia="仿宋_GB2312"/>
          <w:b/>
          <w:sz w:val="32"/>
        </w:rPr>
        <w:t>本年收入172.01万元，</w:t>
      </w:r>
      <w:r>
        <w:rPr>
          <w:rFonts w:ascii="仿宋_GB2312" w:hAnsi="仿宋_GB2312" w:eastAsia="仿宋_GB2312"/>
          <w:b w:val="0"/>
          <w:sz w:val="32"/>
        </w:rPr>
        <w:t>其中：财政拨款收入172.01万元，占100.00%；上级补助收入0.00万元，占0.00%；事业收入0.00万元，占0.00%；经营收入0.00万元，占0.00%；附属单位上缴收入0.00万元，占0.00%；其他收入0.00万元，占0.00%。</w:t>
      </w:r>
    </w:p>
    <w:p w14:paraId="689F26B8">
      <w:pPr>
        <w:spacing w:line="640" w:lineRule="exact"/>
        <w:ind w:firstLine="640"/>
        <w:jc w:val="both"/>
        <w:outlineLvl w:val="2"/>
      </w:pPr>
      <w:r>
        <w:rPr>
          <w:rFonts w:ascii="黑体" w:hAnsi="黑体" w:eastAsia="黑体"/>
          <w:sz w:val="32"/>
        </w:rPr>
        <w:t>三、支出决算情况说明</w:t>
      </w:r>
    </w:p>
    <w:p w14:paraId="1411F8AD">
      <w:pPr>
        <w:spacing w:line="580" w:lineRule="exact"/>
        <w:ind w:firstLine="640"/>
        <w:jc w:val="both"/>
      </w:pPr>
      <w:r>
        <w:rPr>
          <w:rFonts w:ascii="仿宋_GB2312" w:hAnsi="仿宋_GB2312" w:eastAsia="仿宋_GB2312"/>
          <w:b/>
          <w:sz w:val="32"/>
        </w:rPr>
        <w:t>本年支出172.01万元，</w:t>
      </w:r>
      <w:r>
        <w:rPr>
          <w:rFonts w:ascii="仿宋_GB2312" w:hAnsi="仿宋_GB2312" w:eastAsia="仿宋_GB2312"/>
          <w:b w:val="0"/>
          <w:sz w:val="32"/>
        </w:rPr>
        <w:t>其中：基本支出168.76万元，占98.11%；项目支出3.25万元，占1.89%；上缴上级支出0.00万元，占0.00%；经营支出0.00万元，占0.00%；对附属单位补助支出0.00万元，占0.00%。</w:t>
      </w:r>
    </w:p>
    <w:p w14:paraId="4D49A875">
      <w:pPr>
        <w:spacing w:line="640" w:lineRule="exact"/>
        <w:ind w:firstLine="640"/>
        <w:jc w:val="both"/>
        <w:outlineLvl w:val="2"/>
      </w:pPr>
      <w:r>
        <w:rPr>
          <w:rFonts w:ascii="黑体" w:hAnsi="黑体" w:eastAsia="黑体"/>
          <w:sz w:val="32"/>
        </w:rPr>
        <w:t>四、财政拨款收入支出决算总体情况说明</w:t>
      </w:r>
    </w:p>
    <w:p w14:paraId="4C0A7F7E">
      <w:pPr>
        <w:spacing w:line="580" w:lineRule="exact"/>
        <w:ind w:firstLine="640"/>
        <w:jc w:val="both"/>
      </w:pPr>
      <w:r>
        <w:rPr>
          <w:rFonts w:ascii="仿宋_GB2312" w:hAnsi="仿宋_GB2312" w:eastAsia="仿宋_GB2312"/>
          <w:b/>
          <w:sz w:val="32"/>
        </w:rPr>
        <w:t>2024年度财政拨款收入总计172.01万元，</w:t>
      </w:r>
      <w:r>
        <w:rPr>
          <w:rFonts w:ascii="仿宋_GB2312" w:hAnsi="仿宋_GB2312" w:eastAsia="仿宋_GB2312"/>
          <w:b w:val="0"/>
          <w:sz w:val="32"/>
        </w:rPr>
        <w:t>其中：年初财政拨款结转和结余0.00万元，本年财政拨款收入172.01万元。</w:t>
      </w:r>
      <w:r>
        <w:rPr>
          <w:rFonts w:ascii="仿宋_GB2312" w:hAnsi="仿宋_GB2312" w:eastAsia="仿宋_GB2312"/>
          <w:b/>
          <w:sz w:val="32"/>
        </w:rPr>
        <w:t>财政拨款支出总计172.01万元，</w:t>
      </w:r>
      <w:r>
        <w:rPr>
          <w:rFonts w:ascii="仿宋_GB2312" w:hAnsi="仿宋_GB2312" w:eastAsia="仿宋_GB2312"/>
          <w:b w:val="0"/>
          <w:sz w:val="32"/>
        </w:rPr>
        <w:t>其中：年末财政拨款结转和结余0.00万元，本年财政拨款支出172.01万元。</w:t>
      </w:r>
    </w:p>
    <w:p w14:paraId="658062F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减少338.07万元，下降66.28%，主要原因是：本年减少农业生产社会化服务项目、新型农业经营主体提升技术应用项目、疏勒县农村土地承包经营权登记颁证项目，导致经费较上年减少。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年初预算数365.21万元，决算数172.01万元，预决算差异率-52.90%，主要原因是：年中调减农业社会化服务、新型农业经营主体提升技术应用项目相应经费，导致预决算存在差异。</w:t>
      </w:r>
    </w:p>
    <w:p w14:paraId="6F32614C">
      <w:pPr>
        <w:spacing w:line="640" w:lineRule="exact"/>
        <w:ind w:firstLine="640"/>
        <w:jc w:val="both"/>
        <w:outlineLvl w:val="2"/>
      </w:pPr>
      <w:r>
        <w:rPr>
          <w:rFonts w:ascii="黑体" w:hAnsi="黑体" w:eastAsia="黑体"/>
          <w:sz w:val="32"/>
        </w:rPr>
        <w:t>五、一般公共预算财政拨款支出决算情况说明</w:t>
      </w:r>
    </w:p>
    <w:p w14:paraId="5B7D68F0">
      <w:pPr>
        <w:spacing w:line="640" w:lineRule="exact"/>
        <w:ind w:firstLine="640"/>
        <w:jc w:val="both"/>
        <w:outlineLvl w:val="3"/>
      </w:pPr>
      <w:r>
        <w:rPr>
          <w:rFonts w:ascii="楷体_GB2312" w:hAnsi="楷体_GB2312" w:eastAsia="楷体_GB2312"/>
          <w:b/>
          <w:sz w:val="32"/>
        </w:rPr>
        <w:t>（一）一般公共预算财政拨款支出决算总体情况</w:t>
      </w:r>
    </w:p>
    <w:p w14:paraId="3A74AC82">
      <w:pPr>
        <w:spacing w:line="580" w:lineRule="exact"/>
        <w:ind w:firstLine="640"/>
        <w:jc w:val="both"/>
      </w:pPr>
      <w:r>
        <w:rPr>
          <w:rFonts w:ascii="仿宋_GB2312" w:hAnsi="仿宋_GB2312" w:eastAsia="仿宋_GB2312"/>
          <w:b/>
          <w:sz w:val="32"/>
        </w:rPr>
        <w:t>2024年度一般公共预算财政拨款支出172.01万元，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减少338.07万元，下降66.28%，主要原因是：本年减少农业生产社会化服务项目、新型农业经营主体提升技术应用项目、疏勒县农村土地承包经营权登记颁证项目，导致经费较上年减少。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年初预算数365.21万元，决算数172.01万元，预决算差异率-52.90%，主要原因是：年中调减农业社会化服务、新型农业经营主体提升技术应用项目相应经费，导致预决算存在差异。</w:t>
      </w:r>
    </w:p>
    <w:p w14:paraId="6988703F">
      <w:pPr>
        <w:spacing w:line="640" w:lineRule="exact"/>
        <w:ind w:firstLine="640"/>
        <w:jc w:val="both"/>
        <w:outlineLvl w:val="3"/>
      </w:pPr>
      <w:r>
        <w:rPr>
          <w:rFonts w:ascii="楷体_GB2312" w:hAnsi="楷体_GB2312" w:eastAsia="楷体_GB2312"/>
          <w:b/>
          <w:sz w:val="32"/>
        </w:rPr>
        <w:t>（二）一般公共预算财政拨款支出决算结构情况</w:t>
      </w:r>
    </w:p>
    <w:p w14:paraId="1BA0B503">
      <w:pPr>
        <w:spacing w:line="580" w:lineRule="exact"/>
        <w:ind w:firstLine="640"/>
        <w:jc w:val="both"/>
      </w:pPr>
      <w:r>
        <w:rPr>
          <w:rFonts w:ascii="仿宋_GB2312" w:hAnsi="仿宋_GB2312" w:eastAsia="仿宋_GB2312"/>
          <w:b w:val="0"/>
          <w:sz w:val="32"/>
        </w:rPr>
        <w:t>1.社会保障和就业支出(类)37.41万元,占21.75%。</w:t>
      </w:r>
    </w:p>
    <w:p w14:paraId="1A71CCDD">
      <w:pPr>
        <w:spacing w:line="580" w:lineRule="exact"/>
        <w:ind w:firstLine="640"/>
        <w:jc w:val="both"/>
      </w:pPr>
      <w:r>
        <w:rPr>
          <w:rFonts w:ascii="仿宋_GB2312" w:hAnsi="仿宋_GB2312" w:eastAsia="仿宋_GB2312"/>
          <w:b w:val="0"/>
          <w:sz w:val="32"/>
        </w:rPr>
        <w:t>2.卫生健康支出(类)7.03万元,占4.09%。</w:t>
      </w:r>
    </w:p>
    <w:p w14:paraId="778FF22C">
      <w:pPr>
        <w:spacing w:line="580" w:lineRule="exact"/>
        <w:ind w:firstLine="640"/>
        <w:jc w:val="both"/>
      </w:pPr>
      <w:r>
        <w:rPr>
          <w:rFonts w:ascii="仿宋_GB2312" w:hAnsi="仿宋_GB2312" w:eastAsia="仿宋_GB2312"/>
          <w:b w:val="0"/>
          <w:sz w:val="32"/>
        </w:rPr>
        <w:t>3.农林水支出(类)116.88万元,占67.95%。</w:t>
      </w:r>
    </w:p>
    <w:p w14:paraId="0940E7AB">
      <w:pPr>
        <w:spacing w:line="580" w:lineRule="exact"/>
        <w:ind w:firstLine="640"/>
        <w:jc w:val="both"/>
      </w:pPr>
      <w:r>
        <w:rPr>
          <w:rFonts w:ascii="仿宋_GB2312" w:hAnsi="仿宋_GB2312" w:eastAsia="仿宋_GB2312"/>
          <w:b w:val="0"/>
          <w:sz w:val="32"/>
        </w:rPr>
        <w:t>4.住房保障支出(类)10.69万元,占6.21%。</w:t>
      </w:r>
    </w:p>
    <w:p w14:paraId="126AB287">
      <w:pPr>
        <w:spacing w:line="640" w:lineRule="exact"/>
        <w:ind w:firstLine="640"/>
        <w:jc w:val="both"/>
        <w:outlineLvl w:val="3"/>
      </w:pPr>
      <w:r>
        <w:rPr>
          <w:rFonts w:ascii="楷体_GB2312" w:hAnsi="楷体_GB2312" w:eastAsia="楷体_GB2312"/>
          <w:b/>
          <w:sz w:val="32"/>
        </w:rPr>
        <w:t>（三）一般公共预算财政拨款支出决算具体情况</w:t>
      </w:r>
    </w:p>
    <w:p w14:paraId="31F02DC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16.50万元，比上年决算减少0.11万元，下降0.66%,主要原因是：上年度补发退休人员绩效奖，本年无补发相应经费，相应支出减少。</w:t>
      </w:r>
    </w:p>
    <w:p w14:paraId="6B2254E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14.08万元，比上年决算增加3.23万元，增长29.77%,主要原因是：本年在职人员增加，养老保险缴费较上年增加。</w:t>
      </w:r>
    </w:p>
    <w:p w14:paraId="69FCE4B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6.83万元，比上年决算减少5.69万元，下降45.45%,主要原因是：本年补发部分退休人员职业年金，职业年金缴费较上年减少。</w:t>
      </w:r>
    </w:p>
    <w:p w14:paraId="224517EE">
      <w:pPr>
        <w:spacing w:line="580" w:lineRule="exact"/>
        <w:ind w:firstLine="640"/>
        <w:jc w:val="both"/>
      </w:pPr>
      <w:r>
        <w:rPr>
          <w:rFonts w:ascii="仿宋_GB2312" w:hAnsi="仿宋_GB2312" w:eastAsia="仿宋_GB2312"/>
          <w:b w:val="0"/>
          <w:sz w:val="32"/>
        </w:rPr>
        <w:t>4.卫生健康支出(类)行政事业单位医疗(款)事业单位医疗(项):支出决算数为5.33万元，比上年决算增加0.38万元，增长7.68%,主要原因是：本年在职人员增加，事业单位医疗支出较上年增加。</w:t>
      </w:r>
    </w:p>
    <w:p w14:paraId="154C0E50">
      <w:pPr>
        <w:spacing w:line="580" w:lineRule="exact"/>
        <w:ind w:firstLine="640"/>
        <w:jc w:val="both"/>
      </w:pPr>
      <w:r>
        <w:rPr>
          <w:rFonts w:ascii="仿宋_GB2312" w:hAnsi="仿宋_GB2312" w:eastAsia="仿宋_GB2312"/>
          <w:b w:val="0"/>
          <w:sz w:val="32"/>
        </w:rPr>
        <w:t>5.卫生健康支出(类)行政事业单位医疗(款)公务员医疗补助(项):支出决算数为1.70万元，比上年决算增加0.48万元，增长39.34%,主要原因是：本年在职人员增加，公务员医疗补助较上年增加。</w:t>
      </w:r>
    </w:p>
    <w:p w14:paraId="35EDE594">
      <w:pPr>
        <w:spacing w:line="580" w:lineRule="exact"/>
        <w:ind w:firstLine="640"/>
        <w:jc w:val="both"/>
      </w:pPr>
      <w:r>
        <w:rPr>
          <w:rFonts w:ascii="仿宋_GB2312" w:hAnsi="仿宋_GB2312" w:eastAsia="仿宋_GB2312"/>
          <w:b w:val="0"/>
          <w:sz w:val="32"/>
        </w:rPr>
        <w:t>6.农林水支出(类)农业农村(款)事业运行(项):支出决算数为113.63万元，比上年决算减少8.36万元，下降6.85%,主要原因是：本年度无去世人员，死亡抚恤金支出减少。</w:t>
      </w:r>
    </w:p>
    <w:p w14:paraId="5DE9ECB2">
      <w:pPr>
        <w:spacing w:line="580" w:lineRule="exact"/>
        <w:ind w:firstLine="640"/>
        <w:jc w:val="both"/>
      </w:pPr>
      <w:r>
        <w:rPr>
          <w:rFonts w:ascii="仿宋_GB2312" w:hAnsi="仿宋_GB2312" w:eastAsia="仿宋_GB2312"/>
          <w:b w:val="0"/>
          <w:sz w:val="32"/>
        </w:rPr>
        <w:t>7.农林水支出(类)农业农村(款)农村合作经济(项):支出决算数为0.00万元，比上年决算减少321.00万元，下降100.00%,主要原因是：本年减少农业生产社会化服务项目、新型农业经营主体提升技术应用项目、疏勒县农村土地承包经营权登记颁证项目，导致经费较上年减少。</w:t>
      </w:r>
    </w:p>
    <w:p w14:paraId="64C2249A">
      <w:pPr>
        <w:spacing w:line="580" w:lineRule="exact"/>
        <w:ind w:firstLine="640"/>
        <w:jc w:val="both"/>
      </w:pPr>
      <w:r>
        <w:rPr>
          <w:rFonts w:ascii="仿宋_GB2312" w:hAnsi="仿宋_GB2312" w:eastAsia="仿宋_GB2312"/>
          <w:b w:val="0"/>
          <w:sz w:val="32"/>
        </w:rPr>
        <w:t>8.农林水支出(类)农业农村(款)其他农业农村支出(项):支出决算数为3.25万元，比上年决算减少6.75万元，下降67.50%,主要原因是：本年度自治区为民办实事项目支出较上年减少。</w:t>
      </w:r>
    </w:p>
    <w:p w14:paraId="3646783E">
      <w:pPr>
        <w:spacing w:line="580" w:lineRule="exact"/>
        <w:ind w:firstLine="640"/>
        <w:jc w:val="both"/>
      </w:pPr>
      <w:r>
        <w:rPr>
          <w:rFonts w:ascii="仿宋_GB2312" w:hAnsi="仿宋_GB2312" w:eastAsia="仿宋_GB2312"/>
          <w:b w:val="0"/>
          <w:sz w:val="32"/>
        </w:rPr>
        <w:t>9.农林水支出(类)林业和草原(款)行政运行(项):支出决算数为0.00万元，比上年决算减少2.34万元，下降100.00%,主要原因是：上年度补发</w:t>
      </w:r>
      <w:r>
        <w:rPr>
          <w:rFonts w:hint="eastAsia" w:ascii="仿宋_GB2312" w:hAnsi="仿宋_GB2312" w:eastAsia="仿宋_GB2312"/>
          <w:b w:val="0"/>
          <w:sz w:val="32"/>
          <w:lang w:eastAsia="zh-CN"/>
        </w:rPr>
        <w:t>2022—2023</w:t>
      </w:r>
      <w:r>
        <w:rPr>
          <w:rFonts w:ascii="仿宋_GB2312" w:hAnsi="仿宋_GB2312" w:eastAsia="仿宋_GB2312"/>
          <w:b w:val="0"/>
          <w:sz w:val="32"/>
        </w:rPr>
        <w:t>年艰苦边远津贴调标部分，本年无该经费支出，相应支出减少。</w:t>
      </w:r>
    </w:p>
    <w:p w14:paraId="277F10DF">
      <w:pPr>
        <w:spacing w:line="580" w:lineRule="exact"/>
        <w:ind w:firstLine="640"/>
        <w:jc w:val="both"/>
      </w:pPr>
      <w:r>
        <w:rPr>
          <w:rFonts w:ascii="仿宋_GB2312" w:hAnsi="仿宋_GB2312" w:eastAsia="仿宋_GB2312"/>
          <w:b w:val="0"/>
          <w:sz w:val="32"/>
        </w:rPr>
        <w:t>10.住房保障支出(类)住房改革支出(款)住房公积金(项):支出决算数为10.69万元，比上年决算增加2.10万元，增长24.45%,主要原因是：本年在职人员增加，住房公积金支出较上年增加。</w:t>
      </w:r>
    </w:p>
    <w:p w14:paraId="2DC70158">
      <w:pPr>
        <w:spacing w:line="640" w:lineRule="exact"/>
        <w:ind w:firstLine="640"/>
        <w:jc w:val="both"/>
        <w:outlineLvl w:val="2"/>
      </w:pPr>
      <w:r>
        <w:rPr>
          <w:rFonts w:ascii="黑体" w:hAnsi="黑体" w:eastAsia="黑体"/>
          <w:sz w:val="32"/>
        </w:rPr>
        <w:t>六、一般公共预算财政拨款基本支出决算情况说明</w:t>
      </w:r>
    </w:p>
    <w:p w14:paraId="49ACFE34">
      <w:pPr>
        <w:spacing w:line="580" w:lineRule="exact"/>
        <w:ind w:firstLine="640"/>
        <w:jc w:val="both"/>
      </w:pPr>
      <w:r>
        <w:rPr>
          <w:rFonts w:ascii="仿宋_GB2312" w:hAnsi="仿宋_GB2312" w:eastAsia="仿宋_GB2312"/>
          <w:b w:val="0"/>
          <w:sz w:val="32"/>
        </w:rPr>
        <w:t>2024年度一般公共预算财政拨款基本支出168.76万元，其中：</w:t>
      </w:r>
      <w:r>
        <w:rPr>
          <w:rFonts w:ascii="仿宋_GB2312" w:hAnsi="仿宋_GB2312" w:eastAsia="仿宋_GB2312"/>
          <w:b/>
          <w:sz w:val="32"/>
        </w:rPr>
        <w:t>人员经费166.63万元，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w:t>
      </w:r>
    </w:p>
    <w:p w14:paraId="48461032">
      <w:pPr>
        <w:spacing w:line="580" w:lineRule="exact"/>
        <w:ind w:firstLine="640"/>
        <w:jc w:val="both"/>
      </w:pPr>
      <w:r>
        <w:rPr>
          <w:rFonts w:ascii="仿宋_GB2312" w:hAnsi="仿宋_GB2312" w:eastAsia="仿宋_GB2312"/>
          <w:b/>
          <w:sz w:val="32"/>
        </w:rPr>
        <w:t>公用经费2.13万元，</w:t>
      </w:r>
      <w:r>
        <w:rPr>
          <w:rFonts w:ascii="仿宋_GB2312" w:hAnsi="仿宋_GB2312" w:eastAsia="仿宋_GB2312"/>
          <w:b w:val="0"/>
          <w:sz w:val="32"/>
        </w:rPr>
        <w:t>包括：办公费、邮电费、差旅费、公务用车运行维护费。</w:t>
      </w:r>
    </w:p>
    <w:p w14:paraId="387BE720">
      <w:pPr>
        <w:spacing w:line="640" w:lineRule="exact"/>
        <w:ind w:firstLine="640"/>
        <w:jc w:val="both"/>
        <w:outlineLvl w:val="2"/>
      </w:pPr>
      <w:r>
        <w:rPr>
          <w:rFonts w:ascii="黑体" w:hAnsi="黑体" w:eastAsia="黑体"/>
          <w:sz w:val="32"/>
        </w:rPr>
        <w:t>七、政府性基金预算财政拨款收入支出决算情况说明</w:t>
      </w:r>
    </w:p>
    <w:p w14:paraId="375C83C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135E1D">
      <w:pPr>
        <w:spacing w:line="640" w:lineRule="exact"/>
        <w:ind w:firstLine="640"/>
        <w:jc w:val="both"/>
        <w:outlineLvl w:val="2"/>
      </w:pPr>
      <w:r>
        <w:rPr>
          <w:rFonts w:ascii="黑体" w:hAnsi="黑体" w:eastAsia="黑体"/>
          <w:sz w:val="32"/>
        </w:rPr>
        <w:t>八、国有资本经营预算财政拨款收入支出决算情况说明</w:t>
      </w:r>
    </w:p>
    <w:p w14:paraId="698403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2F717E">
      <w:pPr>
        <w:spacing w:line="640" w:lineRule="exact"/>
        <w:ind w:firstLine="640"/>
        <w:jc w:val="both"/>
        <w:outlineLvl w:val="2"/>
      </w:pPr>
      <w:r>
        <w:rPr>
          <w:rFonts w:ascii="黑体" w:hAnsi="黑体" w:eastAsia="黑体"/>
          <w:sz w:val="32"/>
        </w:rPr>
        <w:t>九、财政拨款“三公”经费支出决算情况说明</w:t>
      </w:r>
    </w:p>
    <w:p w14:paraId="699A2260">
      <w:pPr>
        <w:spacing w:line="580" w:lineRule="exact"/>
        <w:ind w:firstLine="640"/>
        <w:jc w:val="both"/>
      </w:pPr>
      <w:r>
        <w:rPr>
          <w:rFonts w:ascii="仿宋_GB2312" w:hAnsi="仿宋_GB2312" w:eastAsia="仿宋_GB2312"/>
          <w:b/>
          <w:sz w:val="32"/>
        </w:rPr>
        <w:t>2024年度财政拨款“三公”经费支出0.53万元，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0.53万元，占100.00%，比上年增加0.00万元，增长0.00%，主要原因是：本单位公务用车运行维护费与上年一致无变化。公务接待费支出0.00万元，占0.00%，比上年增加0.00万元，增长0.00%，主要原因是：2023年与2024年均未安排公务接待费支出。</w:t>
      </w:r>
    </w:p>
    <w:p w14:paraId="6F40D3ED">
      <w:pPr>
        <w:spacing w:line="580" w:lineRule="exact"/>
        <w:ind w:firstLine="640"/>
        <w:jc w:val="both"/>
      </w:pPr>
      <w:r>
        <w:rPr>
          <w:rFonts w:ascii="仿宋_GB2312" w:hAnsi="仿宋_GB2312" w:eastAsia="仿宋_GB2312"/>
          <w:b/>
          <w:sz w:val="32"/>
        </w:rPr>
        <w:t>具体情况如下：</w:t>
      </w:r>
    </w:p>
    <w:p w14:paraId="61E3A1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5C29E7">
      <w:pPr>
        <w:spacing w:line="580" w:lineRule="exact"/>
        <w:ind w:firstLine="640"/>
        <w:jc w:val="both"/>
      </w:pPr>
      <w:r>
        <w:rPr>
          <w:rFonts w:ascii="仿宋_GB2312" w:hAnsi="仿宋_GB2312" w:eastAsia="仿宋_GB2312"/>
          <w:b w:val="0"/>
          <w:sz w:val="32"/>
        </w:rPr>
        <w:t>公务用车购置及运行维护费0.53万元，其中：公务用车购置费0.00万元，公务用车运行维护费0.53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7D0E447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24F9B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0.53万元，决算数0.53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0.53万元，决算数0.53万元，预决算差异率0.00%，主要原因是：严格按照预算执行，预决算无差异。公务接待费全年预算数0.00万元，决算数0.00万元，预决算差异率0.00%，主要原因是：本单位无公务接待费。</w:t>
      </w:r>
    </w:p>
    <w:p w14:paraId="09C0A768">
      <w:pPr>
        <w:spacing w:line="640" w:lineRule="exact"/>
        <w:ind w:firstLine="640"/>
        <w:jc w:val="both"/>
        <w:outlineLvl w:val="2"/>
      </w:pPr>
      <w:r>
        <w:rPr>
          <w:rFonts w:ascii="黑体" w:hAnsi="黑体" w:eastAsia="黑体"/>
          <w:sz w:val="32"/>
        </w:rPr>
        <w:t>十、其他重要事项的情况说明</w:t>
      </w:r>
    </w:p>
    <w:p w14:paraId="7FC184FE">
      <w:pPr>
        <w:spacing w:line="640" w:lineRule="exact"/>
        <w:ind w:firstLine="640"/>
        <w:jc w:val="both"/>
        <w:outlineLvl w:val="3"/>
      </w:pPr>
      <w:r>
        <w:rPr>
          <w:rFonts w:ascii="楷体_GB2312" w:hAnsi="楷体_GB2312" w:eastAsia="楷体_GB2312"/>
          <w:b/>
          <w:sz w:val="32"/>
        </w:rPr>
        <w:t>（一）机关运行经费及公用经费支出情况</w:t>
      </w:r>
    </w:p>
    <w:p w14:paraId="1DC8D5D7">
      <w:pPr>
        <w:spacing w:line="580" w:lineRule="exact"/>
        <w:ind w:firstLine="640"/>
        <w:jc w:val="both"/>
      </w:pPr>
      <w:r>
        <w:rPr>
          <w:rFonts w:ascii="仿宋_GB2312" w:hAnsi="仿宋_GB2312" w:eastAsia="仿宋_GB2312"/>
          <w:b w:val="0"/>
          <w:sz w:val="32"/>
        </w:rPr>
        <w:t>2024年度疏勒县农村合作经济发展中心（行政单位和参照公务员法管理事业单位）机关运行经费支出2.13万元，比上年增加0.60万元，增长39.22%，主要原因是：本年更新、维护补充办公用品，导致机关运行经费较上年增加。</w:t>
      </w:r>
    </w:p>
    <w:p w14:paraId="5A045885">
      <w:pPr>
        <w:spacing w:line="640" w:lineRule="exact"/>
        <w:ind w:firstLine="640"/>
        <w:jc w:val="both"/>
        <w:outlineLvl w:val="3"/>
      </w:pPr>
      <w:r>
        <w:rPr>
          <w:rFonts w:ascii="楷体_GB2312" w:hAnsi="楷体_GB2312" w:eastAsia="楷体_GB2312"/>
          <w:b/>
          <w:sz w:val="32"/>
        </w:rPr>
        <w:t>（二）政府采购情况</w:t>
      </w:r>
    </w:p>
    <w:p w14:paraId="37C6836D">
      <w:pPr>
        <w:spacing w:line="580" w:lineRule="exact"/>
        <w:ind w:firstLine="640"/>
        <w:jc w:val="both"/>
      </w:pPr>
      <w:r>
        <w:rPr>
          <w:rFonts w:ascii="仿宋_GB2312" w:hAnsi="仿宋_GB2312" w:eastAsia="仿宋_GB2312"/>
          <w:b w:val="0"/>
          <w:sz w:val="32"/>
        </w:rPr>
        <w:t>2024年度政府采购支出总额0.37万元，其中：政府采购货物支出0.22万元、政府采购工程支出0.00万元、政府采购服务支出0.15万元。</w:t>
      </w:r>
    </w:p>
    <w:p w14:paraId="1909D8BA">
      <w:pPr>
        <w:spacing w:line="580" w:lineRule="exact"/>
        <w:ind w:firstLine="640"/>
        <w:jc w:val="both"/>
      </w:pPr>
      <w:r>
        <w:rPr>
          <w:rFonts w:ascii="仿宋_GB2312" w:hAnsi="仿宋_GB2312" w:eastAsia="仿宋_GB2312"/>
          <w:b w:val="0"/>
          <w:sz w:val="32"/>
        </w:rPr>
        <w:t>授予中小企业合同金额0.37万元，占政府采购支出总额的100.00%，其中：授予小微企业合同金额0.37万元，占政府采购支出总额的100.00%。</w:t>
      </w:r>
    </w:p>
    <w:p w14:paraId="4819D5DC">
      <w:pPr>
        <w:spacing w:line="640" w:lineRule="exact"/>
        <w:ind w:firstLine="640"/>
        <w:jc w:val="both"/>
        <w:outlineLvl w:val="3"/>
      </w:pPr>
      <w:r>
        <w:rPr>
          <w:rFonts w:ascii="楷体_GB2312" w:hAnsi="楷体_GB2312" w:eastAsia="楷体_GB2312"/>
          <w:b/>
          <w:sz w:val="32"/>
        </w:rPr>
        <w:t>（三）国有资产占用情况说明</w:t>
      </w:r>
    </w:p>
    <w:p w14:paraId="5788CC1C">
      <w:pPr>
        <w:spacing w:line="580" w:lineRule="exact"/>
        <w:ind w:firstLine="640"/>
        <w:jc w:val="both"/>
      </w:pPr>
      <w:r>
        <w:rPr>
          <w:rFonts w:ascii="仿宋_GB2312" w:hAnsi="仿宋_GB2312" w:eastAsia="仿宋_GB2312"/>
          <w:b w:val="0"/>
          <w:sz w:val="32"/>
        </w:rPr>
        <w:t>截至2024年12月31日，房屋523.20平方米，价值31.84万元。车辆1辆，价值8.02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04B8CD9">
      <w:pPr>
        <w:spacing w:line="640" w:lineRule="exact"/>
        <w:ind w:firstLine="640"/>
        <w:jc w:val="both"/>
        <w:outlineLvl w:val="2"/>
      </w:pPr>
      <w:r>
        <w:rPr>
          <w:rFonts w:ascii="黑体" w:hAnsi="黑体" w:eastAsia="黑体"/>
          <w:sz w:val="32"/>
        </w:rPr>
        <w:t>十一、预算绩效的情况说明</w:t>
      </w:r>
    </w:p>
    <w:p w14:paraId="1ACA2792">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172.01万元，实际执行总额172.01万元；预算绩效评价项目0个，全年预算数0.00万元，全年执行数0.00万元。预算绩效管理取得的成效：本单位无项目绩效自评表。发现的问题及原因：本单位无项目绩效自评表。下一步改进措施：本单位无项目绩效自评表。</w:t>
      </w:r>
      <w:r>
        <w:rPr>
          <w:rFonts w:hint="eastAsia" w:ascii="仿宋_GB2312" w:hAnsi="仿宋_GB2312" w:eastAsia="仿宋_GB2312"/>
          <w:b w:val="0"/>
          <w:sz w:val="32"/>
          <w:lang w:eastAsia="zh-CN"/>
        </w:rPr>
        <w:t>具体附整体支出绩效自评表。</w:t>
      </w:r>
    </w:p>
    <w:p w14:paraId="25F661D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30309D">
        <w:tblPrEx>
          <w:tblCellMar>
            <w:top w:w="0" w:type="dxa"/>
            <w:left w:w="108" w:type="dxa"/>
            <w:bottom w:w="0" w:type="dxa"/>
            <w:right w:w="108" w:type="dxa"/>
          </w:tblCellMar>
        </w:tblPrEx>
        <w:tc>
          <w:tcPr>
            <w:tcW w:w="8847" w:type="dxa"/>
            <w:gridSpan w:val="9"/>
            <w:vAlign w:val="center"/>
          </w:tcPr>
          <w:p w14:paraId="7CC873D6">
            <w:pPr>
              <w:jc w:val="center"/>
            </w:pPr>
            <w:r>
              <w:rPr>
                <w:rFonts w:ascii="宋体" w:hAnsi="宋体" w:eastAsia="宋体"/>
                <w:sz w:val="24"/>
              </w:rPr>
              <w:t>单位整体支出绩效自评表</w:t>
            </w:r>
          </w:p>
        </w:tc>
      </w:tr>
      <w:tr w14:paraId="5B22BB3E">
        <w:tblPrEx>
          <w:tblCellMar>
            <w:top w:w="0" w:type="dxa"/>
            <w:left w:w="108" w:type="dxa"/>
            <w:bottom w:w="0" w:type="dxa"/>
            <w:right w:w="108" w:type="dxa"/>
          </w:tblCellMar>
        </w:tblPrEx>
        <w:tc>
          <w:tcPr>
            <w:tcW w:w="8847" w:type="dxa"/>
            <w:gridSpan w:val="9"/>
            <w:vAlign w:val="center"/>
          </w:tcPr>
          <w:p w14:paraId="338B770C">
            <w:pPr>
              <w:jc w:val="center"/>
            </w:pPr>
            <w:r>
              <w:rPr>
                <w:rFonts w:ascii="宋体" w:hAnsi="宋体" w:eastAsia="宋体"/>
                <w:sz w:val="24"/>
              </w:rPr>
              <w:t>（2024年度）</w:t>
            </w:r>
          </w:p>
        </w:tc>
      </w:tr>
      <w:tr w14:paraId="1E9920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F66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8C29A1">
            <w:pPr>
              <w:jc w:val="center"/>
            </w:pPr>
            <w:r>
              <w:rPr>
                <w:rFonts w:ascii="宋体" w:hAnsi="宋体" w:eastAsia="宋体"/>
                <w:sz w:val="16"/>
              </w:rPr>
              <w:t>疏勒县农村合作经济发展中心</w:t>
            </w:r>
          </w:p>
        </w:tc>
      </w:tr>
      <w:tr w14:paraId="499A6F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F672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4B40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D2D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D915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9F18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6077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F36C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BD1DC">
            <w:pPr>
              <w:jc w:val="center"/>
            </w:pPr>
            <w:r>
              <w:rPr>
                <w:rFonts w:ascii="宋体" w:hAnsi="宋体" w:eastAsia="宋体"/>
                <w:sz w:val="16"/>
              </w:rPr>
              <w:t>得分</w:t>
            </w:r>
          </w:p>
        </w:tc>
      </w:tr>
      <w:tr w14:paraId="544E69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370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7771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D0200">
            <w:pPr>
              <w:jc w:val="center"/>
            </w:pPr>
            <w:r>
              <w:rPr>
                <w:rFonts w:ascii="宋体" w:hAnsi="宋体" w:eastAsia="宋体"/>
                <w:sz w:val="16"/>
              </w:rPr>
              <w:t>365.21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BB397">
            <w:pPr>
              <w:jc w:val="center"/>
            </w:pPr>
            <w:r>
              <w:rPr>
                <w:rFonts w:ascii="宋体" w:hAnsi="宋体" w:eastAsia="宋体"/>
                <w:sz w:val="16"/>
              </w:rPr>
              <w:t>172.01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6AC3C">
            <w:pPr>
              <w:jc w:val="center"/>
            </w:pPr>
            <w:r>
              <w:rPr>
                <w:rFonts w:ascii="宋体" w:hAnsi="宋体" w:eastAsia="宋体"/>
                <w:sz w:val="16"/>
              </w:rPr>
              <w:t>172.01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94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A2ADC">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6BD0D">
            <w:pPr>
              <w:jc w:val="center"/>
            </w:pPr>
            <w:r>
              <w:rPr>
                <w:rFonts w:ascii="宋体" w:hAnsi="宋体" w:eastAsia="宋体"/>
                <w:sz w:val="16"/>
              </w:rPr>
              <w:t>10</w:t>
            </w:r>
          </w:p>
        </w:tc>
      </w:tr>
      <w:tr w14:paraId="45195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666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CD02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F7573">
            <w:pPr>
              <w:jc w:val="center"/>
            </w:pPr>
            <w:r>
              <w:rPr>
                <w:rFonts w:ascii="宋体" w:hAnsi="宋体" w:eastAsia="宋体"/>
                <w:sz w:val="16"/>
              </w:rPr>
              <w:t>246.00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A1717">
            <w:pPr>
              <w:jc w:val="center"/>
            </w:pPr>
            <w:r>
              <w:rPr>
                <w:rFonts w:ascii="宋体" w:hAnsi="宋体" w:eastAsia="宋体"/>
                <w:sz w:val="16"/>
              </w:rPr>
              <w:t>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B1F8">
            <w:pPr>
              <w:jc w:val="center"/>
            </w:pPr>
            <w:r>
              <w:rPr>
                <w:rFonts w:ascii="宋体" w:hAnsi="宋体" w:eastAsia="宋体"/>
                <w:sz w:val="16"/>
              </w:rPr>
              <w:t>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73B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D70E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B9BC">
            <w:pPr>
              <w:jc w:val="center"/>
            </w:pPr>
            <w:r>
              <w:rPr>
                <w:rFonts w:ascii="宋体" w:hAnsi="宋体" w:eastAsia="宋体"/>
                <w:sz w:val="16"/>
              </w:rPr>
              <w:t>—</w:t>
            </w:r>
          </w:p>
        </w:tc>
      </w:tr>
      <w:tr w14:paraId="013A32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1D6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8781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91AF2">
            <w:pPr>
              <w:jc w:val="center"/>
            </w:pPr>
            <w:r>
              <w:rPr>
                <w:rFonts w:ascii="宋体" w:hAnsi="宋体" w:eastAsia="宋体"/>
                <w:sz w:val="16"/>
              </w:rPr>
              <w:t>119.21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37A97">
            <w:pPr>
              <w:jc w:val="center"/>
            </w:pPr>
            <w:r>
              <w:rPr>
                <w:rFonts w:ascii="宋体" w:hAnsi="宋体" w:eastAsia="宋体"/>
                <w:sz w:val="16"/>
              </w:rPr>
              <w:t>168.76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58039">
            <w:pPr>
              <w:jc w:val="center"/>
            </w:pPr>
            <w:r>
              <w:rPr>
                <w:rFonts w:ascii="宋体" w:hAnsi="宋体" w:eastAsia="宋体"/>
                <w:sz w:val="16"/>
              </w:rPr>
              <w:t>168.76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321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71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0D68">
            <w:pPr>
              <w:jc w:val="center"/>
            </w:pPr>
            <w:r>
              <w:rPr>
                <w:rFonts w:ascii="宋体" w:hAnsi="宋体" w:eastAsia="宋体"/>
                <w:sz w:val="16"/>
              </w:rPr>
              <w:t>—</w:t>
            </w:r>
          </w:p>
        </w:tc>
      </w:tr>
      <w:tr w14:paraId="535F79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8C8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3AA6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0AA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92A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153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643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DC0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F510F">
            <w:pPr>
              <w:jc w:val="center"/>
            </w:pPr>
            <w:r>
              <w:rPr>
                <w:rFonts w:ascii="宋体" w:hAnsi="宋体" w:eastAsia="宋体"/>
                <w:sz w:val="16"/>
              </w:rPr>
              <w:t>—</w:t>
            </w:r>
          </w:p>
        </w:tc>
      </w:tr>
      <w:tr w14:paraId="3585982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6E5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CD054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53B7B0">
            <w:pPr>
              <w:jc w:val="center"/>
            </w:pPr>
            <w:r>
              <w:rPr>
                <w:rFonts w:ascii="宋体" w:hAnsi="宋体" w:eastAsia="宋体"/>
                <w:sz w:val="16"/>
              </w:rPr>
              <w:t>实际完成情况</w:t>
            </w:r>
          </w:p>
        </w:tc>
      </w:tr>
      <w:tr w14:paraId="35AE25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249A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59CD7C">
            <w:pPr>
              <w:jc w:val="both"/>
            </w:pPr>
            <w:r>
              <w:rPr>
                <w:rFonts w:ascii="宋体" w:hAnsi="宋体" w:eastAsia="宋体"/>
                <w:sz w:val="16"/>
              </w:rPr>
              <w:t>1.突出抓好农民合作社和家庭农场两类农业经营主体发展，支持全县1个自治区级农民合作社示范社和2个示范家庭农场，改善生产设施条件，应用先进适用技术，培育品牌、拓展营销渠道，提高生产经营发展水平，提升联农带农服务能力。该项目资金200万元。聚焦推动小农户和现代农业有机衔接，支持符合条件的农民合作社、农村集体经济组织等开展农业社会化服务，推动发展服务带动型规模经营，推动节本增效。保障单位日常运转，全年预算数为 元、其中：人员类支出117.09 元、运转支出2.13万元；保障发放及时率达到100%、人员考核合格率达到100%、高质量完成</w:t>
            </w:r>
            <w:r>
              <w:rPr>
                <w:rFonts w:hint="eastAsia" w:ascii="宋体" w:hAnsi="宋体"/>
                <w:sz w:val="16"/>
                <w:lang w:eastAsia="zh-CN"/>
              </w:rPr>
              <w:t>全年</w:t>
            </w:r>
            <w:r>
              <w:rPr>
                <w:rFonts w:ascii="宋体" w:hAnsi="宋体" w:eastAsia="宋体"/>
                <w:sz w:val="16"/>
              </w:rPr>
              <w:t>工作任务。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2．加强学习、全面提升班子履职能力、认真贯彻党的路线、方针、政策、进一步促进职能转变、加快农村经济发展、解放思想、不断增加农民收入、推动经济平稳健康发展；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紧紧围绕农业增收、狠抓农业结构调整、重点是农村土地确权、农村产权制度改革、农民负担、农民专业合作社、农村经济统计、农村三资管理等工作，为我县农村经济发展、农民增收发挥应有的作用，进一步加强农田保护、促进农业生态建设、推动农村劳动力向二、三产业转移、增加农户就业渠道，促进我县农民生产经营模式转型，坚决依法行政、坚守廉洁底线。</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AF94F7">
            <w:pPr>
              <w:jc w:val="both"/>
            </w:pPr>
            <w:r>
              <w:rPr>
                <w:rFonts w:ascii="宋体" w:hAnsi="宋体" w:eastAsia="宋体"/>
                <w:sz w:val="16"/>
              </w:rPr>
              <w:t>2024年农经中心全力按照年度目标落实各项工作，一是完成农民合作社和家庭农场两类农业经营主体发展，完成全县1个自治区级农民合作社示范社和2个示范家庭农场，创建地区农民合作社示范社5家，培育乡村振兴带头人（头雁）3人，打造社会化服务组织3个，清理空壳农民专业合作社28家，改善生产设施条件，应用先进适用技术，培育品牌、拓展营销渠道，提高生产经营发展水平，提升联农带农服务能力。二是聚焦推动小农户和现代农业有机衔接，完成符合条件的农民合作社、农村集体经济组织等开展农业社会化服务，推动发展服务带动型规模经营，推动节本增效。三是紧紧围绕农业增收、狠抓农业结构调整、重点是农村土地确权、农村产权制度改革、农民负担、农民专业合作社、农村经济统计、农村三资管理等工作，增长农村集体经济经营性收入全县村级债务化解率达90.77%，为我县农村经济发展、农民增收发挥应有的作用，进一步加强农田保护、促进农业生态建设、推动农村劳动力向二、三产业转移、增加农户就业渠道，促进我县农民生产经营模式转型。</w:t>
            </w:r>
          </w:p>
        </w:tc>
      </w:tr>
      <w:tr w14:paraId="1091CD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8266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CB77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8845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FD4A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3ECC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1FDD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8B61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7F7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F2FF">
            <w:pPr>
              <w:jc w:val="center"/>
            </w:pPr>
            <w:r>
              <w:rPr>
                <w:rFonts w:ascii="宋体" w:hAnsi="宋体" w:eastAsia="宋体"/>
                <w:sz w:val="16"/>
              </w:rPr>
              <w:t>得分</w:t>
            </w:r>
          </w:p>
        </w:tc>
      </w:tr>
      <w:tr w14:paraId="577B70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8AAA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922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EFBCE">
            <w:pPr>
              <w:jc w:val="center"/>
            </w:pPr>
            <w:r>
              <w:rPr>
                <w:rFonts w:ascii="宋体" w:hAnsi="宋体" w:eastAsia="宋体"/>
                <w:sz w:val="16"/>
              </w:rPr>
              <w:t>创建地区农民合作社示范社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6E27">
            <w:pPr>
              <w:jc w:val="center"/>
            </w:pPr>
            <w:r>
              <w:rPr>
                <w:rFonts w:ascii="宋体" w:hAnsi="宋体" w:eastAsia="宋体"/>
                <w:sz w:val="16"/>
              </w:rPr>
              <w:t>&gt;=5家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36FF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584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B6085">
            <w:pPr>
              <w:jc w:val="center"/>
            </w:pPr>
            <w:r>
              <w:rPr>
                <w:rFonts w:ascii="宋体" w:hAnsi="宋体" w:eastAsia="宋体"/>
                <w:sz w:val="16"/>
              </w:rPr>
              <w:t>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370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F449">
            <w:pPr>
              <w:jc w:val="center"/>
            </w:pPr>
            <w:r>
              <w:rPr>
                <w:rFonts w:ascii="宋体" w:hAnsi="宋体" w:eastAsia="宋体"/>
                <w:sz w:val="16"/>
              </w:rPr>
              <w:t>15</w:t>
            </w:r>
          </w:p>
        </w:tc>
      </w:tr>
      <w:tr w14:paraId="58B2CB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4CA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66B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D6D86">
            <w:pPr>
              <w:jc w:val="center"/>
            </w:pPr>
            <w:r>
              <w:rPr>
                <w:rFonts w:ascii="宋体" w:hAnsi="宋体" w:eastAsia="宋体"/>
                <w:sz w:val="16"/>
              </w:rPr>
              <w:t>培育乡村振兴带头人（头雁）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3476">
            <w:pPr>
              <w:jc w:val="center"/>
            </w:pPr>
            <w:r>
              <w:rPr>
                <w:rFonts w:ascii="宋体" w:hAnsi="宋体" w:eastAsia="宋体"/>
                <w:sz w:val="16"/>
              </w:rPr>
              <w:t>&gt;=3人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244A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A301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B4237">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BAF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17DCA">
            <w:pPr>
              <w:jc w:val="center"/>
            </w:pPr>
            <w:r>
              <w:rPr>
                <w:rFonts w:ascii="宋体" w:hAnsi="宋体" w:eastAsia="宋体"/>
                <w:sz w:val="16"/>
              </w:rPr>
              <w:t>15</w:t>
            </w:r>
          </w:p>
        </w:tc>
      </w:tr>
      <w:tr w14:paraId="56C20C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641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983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0D935">
            <w:pPr>
              <w:jc w:val="center"/>
            </w:pPr>
            <w:r>
              <w:rPr>
                <w:rFonts w:ascii="宋体" w:hAnsi="宋体" w:eastAsia="宋体"/>
                <w:sz w:val="16"/>
              </w:rPr>
              <w:t>打造</w:t>
            </w:r>
            <w:r>
              <w:rPr>
                <w:rFonts w:hint="eastAsia" w:ascii="宋体" w:hAnsi="宋体"/>
                <w:sz w:val="16"/>
                <w:lang w:eastAsia="zh-CN"/>
              </w:rPr>
              <w:t>社会化</w:t>
            </w:r>
            <w:r>
              <w:rPr>
                <w:rFonts w:ascii="宋体" w:hAnsi="宋体" w:eastAsia="宋体"/>
                <w:sz w:val="16"/>
              </w:rPr>
              <w:t>服务组织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36B16">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46E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C7A0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58AE4">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587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CA9F8">
            <w:pPr>
              <w:jc w:val="center"/>
            </w:pPr>
            <w:r>
              <w:rPr>
                <w:rFonts w:ascii="宋体" w:hAnsi="宋体" w:eastAsia="宋体"/>
                <w:sz w:val="16"/>
              </w:rPr>
              <w:t>15</w:t>
            </w:r>
          </w:p>
        </w:tc>
      </w:tr>
      <w:tr w14:paraId="4D2C63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844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3926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5E716">
            <w:pPr>
              <w:jc w:val="center"/>
            </w:pPr>
            <w:r>
              <w:rPr>
                <w:rFonts w:ascii="宋体" w:hAnsi="宋体" w:eastAsia="宋体"/>
                <w:sz w:val="16"/>
              </w:rPr>
              <w:t>打造村集体分账核算等示范点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E74B0">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17700">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EDAF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EDBA1">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93E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4CB1C">
            <w:pPr>
              <w:jc w:val="center"/>
            </w:pPr>
            <w:r>
              <w:rPr>
                <w:rFonts w:ascii="宋体" w:hAnsi="宋体" w:eastAsia="宋体"/>
                <w:sz w:val="16"/>
              </w:rPr>
              <w:t>15</w:t>
            </w:r>
          </w:p>
        </w:tc>
      </w:tr>
      <w:tr w14:paraId="6379D6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AEB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D0D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73FC2">
            <w:pPr>
              <w:jc w:val="center"/>
            </w:pPr>
            <w:r>
              <w:rPr>
                <w:rFonts w:ascii="宋体" w:hAnsi="宋体" w:eastAsia="宋体"/>
                <w:sz w:val="16"/>
              </w:rPr>
              <w:t>清理空壳农民专业合作社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642EF">
            <w:pPr>
              <w:jc w:val="center"/>
            </w:pPr>
            <w:r>
              <w:rPr>
                <w:rFonts w:ascii="宋体" w:hAnsi="宋体" w:eastAsia="宋体"/>
                <w:sz w:val="16"/>
              </w:rPr>
              <w:t>&gt;=28家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2934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4CC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193BE">
            <w:pPr>
              <w:jc w:val="center"/>
            </w:pPr>
            <w:r>
              <w:rPr>
                <w:rFonts w:ascii="宋体" w:hAnsi="宋体" w:eastAsia="宋体"/>
                <w:sz w:val="16"/>
              </w:rPr>
              <w:t>28家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283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D341B">
            <w:pPr>
              <w:jc w:val="center"/>
            </w:pPr>
            <w:r>
              <w:rPr>
                <w:rFonts w:ascii="宋体" w:hAnsi="宋体" w:eastAsia="宋体"/>
                <w:sz w:val="16"/>
              </w:rPr>
              <w:t>10</w:t>
            </w:r>
          </w:p>
        </w:tc>
      </w:tr>
      <w:tr w14:paraId="324ABD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A84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336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73704">
            <w:pPr>
              <w:jc w:val="center"/>
            </w:pPr>
            <w:r>
              <w:rPr>
                <w:rFonts w:ascii="宋体" w:hAnsi="宋体" w:eastAsia="宋体"/>
                <w:sz w:val="16"/>
              </w:rPr>
              <w:t>增长农村集体经济经营性收入全县村级债务化解率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1ADA6">
            <w:pPr>
              <w:jc w:val="center"/>
            </w:pPr>
            <w:r>
              <w:rPr>
                <w:rFonts w:ascii="宋体" w:hAnsi="宋体" w:eastAsia="宋体"/>
                <w:sz w:val="16"/>
              </w:rPr>
              <w:t>&gt;=90.77%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63A7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78A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63099">
            <w:pPr>
              <w:jc w:val="center"/>
            </w:pPr>
            <w:r>
              <w:rPr>
                <w:rFonts w:ascii="宋体" w:hAnsi="宋体" w:eastAsia="宋体"/>
                <w:sz w:val="16"/>
              </w:rPr>
              <w:t>90.77%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AAD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8D4D2">
            <w:pPr>
              <w:jc w:val="center"/>
            </w:pPr>
            <w:r>
              <w:rPr>
                <w:rFonts w:ascii="宋体" w:hAnsi="宋体" w:eastAsia="宋体"/>
                <w:sz w:val="16"/>
              </w:rPr>
              <w:t>10</w:t>
            </w:r>
          </w:p>
        </w:tc>
      </w:tr>
      <w:tr w14:paraId="3BFCC0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AB1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CD20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8C31B">
            <w:pPr>
              <w:jc w:val="center"/>
            </w:pPr>
            <w:r>
              <w:rPr>
                <w:rFonts w:ascii="宋体" w:hAnsi="宋体" w:eastAsia="宋体"/>
                <w:sz w:val="16"/>
              </w:rPr>
              <w:t>集体经济组织运转率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476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1EE58">
            <w:pPr>
              <w:jc w:val="center"/>
            </w:pPr>
            <w:r>
              <w:rPr>
                <w:rFonts w:ascii="宋体" w:hAnsi="宋体" w:eastAsia="宋体"/>
                <w:sz w:val="16"/>
              </w:rPr>
              <w:t>2024年工作总结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BFE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33B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090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2E71F">
            <w:pPr>
              <w:jc w:val="center"/>
            </w:pPr>
            <w:r>
              <w:rPr>
                <w:rFonts w:ascii="宋体" w:hAnsi="宋体" w:eastAsia="宋体"/>
                <w:sz w:val="16"/>
              </w:rPr>
              <w:t>10</w:t>
            </w:r>
          </w:p>
        </w:tc>
      </w:tr>
    </w:tbl>
    <w:p w14:paraId="0634C2FB">
      <w:r>
        <w:br w:type="page"/>
      </w:r>
    </w:p>
    <w:p w14:paraId="4211819A">
      <w:pPr>
        <w:spacing w:line="640" w:lineRule="exact"/>
        <w:ind w:firstLine="640"/>
        <w:jc w:val="both"/>
        <w:outlineLvl w:val="2"/>
      </w:pPr>
      <w:r>
        <w:rPr>
          <w:rFonts w:ascii="黑体" w:hAnsi="黑体" w:eastAsia="黑体"/>
          <w:sz w:val="32"/>
        </w:rPr>
        <w:t>十二、其他需说明的事项</w:t>
      </w:r>
    </w:p>
    <w:p w14:paraId="72C0C130">
      <w:pPr>
        <w:spacing w:line="580" w:lineRule="exact"/>
        <w:ind w:firstLine="640"/>
        <w:jc w:val="both"/>
      </w:pPr>
      <w:r>
        <w:rPr>
          <w:rFonts w:ascii="仿宋_GB2312" w:hAnsi="仿宋_GB2312" w:eastAsia="仿宋_GB2312"/>
          <w:b w:val="0"/>
          <w:sz w:val="32"/>
        </w:rPr>
        <w:t>本单位无其他需说明的事项。</w:t>
      </w:r>
    </w:p>
    <w:p w14:paraId="7028D613">
      <w:r>
        <w:br w:type="page"/>
      </w:r>
    </w:p>
    <w:p w14:paraId="4F613F0E">
      <w:pPr>
        <w:spacing w:line="240" w:lineRule="auto"/>
        <w:jc w:val="center"/>
        <w:outlineLvl w:val="1"/>
      </w:pPr>
      <w:r>
        <w:rPr>
          <w:rFonts w:ascii="黑体" w:hAnsi="黑体" w:eastAsia="黑体"/>
          <w:sz w:val="32"/>
        </w:rPr>
        <w:t>第三部分 专业名词解释</w:t>
      </w:r>
    </w:p>
    <w:p w14:paraId="7E4CB59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17674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0F395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6B2D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5EC1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0DD9F7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BDF0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6BC4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E0FA9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CCEA4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50F06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0102C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0C350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A5B5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FC6B16">
      <w:r>
        <w:br w:type="page"/>
      </w:r>
    </w:p>
    <w:p w14:paraId="68B51E7D">
      <w:pPr>
        <w:spacing w:line="240" w:lineRule="auto"/>
        <w:jc w:val="center"/>
        <w:outlineLvl w:val="1"/>
      </w:pPr>
      <w:r>
        <w:rPr>
          <w:rFonts w:ascii="黑体" w:hAnsi="黑体" w:eastAsia="黑体"/>
          <w:sz w:val="32"/>
        </w:rPr>
        <w:t>第四部分 部门决算报表（见附表）</w:t>
      </w:r>
    </w:p>
    <w:p w14:paraId="125947FD">
      <w:pPr>
        <w:spacing w:line="240" w:lineRule="auto"/>
        <w:ind w:firstLine="640"/>
        <w:jc w:val="both"/>
      </w:pPr>
      <w:r>
        <w:rPr>
          <w:rFonts w:ascii="仿宋_GB2312" w:hAnsi="仿宋_GB2312" w:eastAsia="仿宋_GB2312"/>
          <w:b w:val="0"/>
          <w:sz w:val="32"/>
        </w:rPr>
        <w:t>一、《收入支出决算总表》</w:t>
      </w:r>
    </w:p>
    <w:p w14:paraId="1A3CF533">
      <w:pPr>
        <w:spacing w:line="240" w:lineRule="auto"/>
        <w:ind w:firstLine="640"/>
        <w:jc w:val="both"/>
      </w:pPr>
      <w:r>
        <w:rPr>
          <w:rFonts w:ascii="仿宋_GB2312" w:hAnsi="仿宋_GB2312" w:eastAsia="仿宋_GB2312"/>
          <w:b w:val="0"/>
          <w:sz w:val="32"/>
        </w:rPr>
        <w:t>二、《收入决算表》</w:t>
      </w:r>
    </w:p>
    <w:p w14:paraId="5A85768E">
      <w:pPr>
        <w:spacing w:line="240" w:lineRule="auto"/>
        <w:ind w:firstLine="640"/>
        <w:jc w:val="both"/>
      </w:pPr>
      <w:r>
        <w:rPr>
          <w:rFonts w:ascii="仿宋_GB2312" w:hAnsi="仿宋_GB2312" w:eastAsia="仿宋_GB2312"/>
          <w:b w:val="0"/>
          <w:sz w:val="32"/>
        </w:rPr>
        <w:t>三、《支出决算表》</w:t>
      </w:r>
    </w:p>
    <w:p w14:paraId="46D5AA6B">
      <w:pPr>
        <w:spacing w:line="240" w:lineRule="auto"/>
        <w:ind w:firstLine="640"/>
        <w:jc w:val="both"/>
      </w:pPr>
      <w:r>
        <w:rPr>
          <w:rFonts w:ascii="仿宋_GB2312" w:hAnsi="仿宋_GB2312" w:eastAsia="仿宋_GB2312"/>
          <w:b w:val="0"/>
          <w:sz w:val="32"/>
        </w:rPr>
        <w:t>四、《财政拨款收入支出决算总表》</w:t>
      </w:r>
    </w:p>
    <w:p w14:paraId="59D4F8A2">
      <w:pPr>
        <w:spacing w:line="240" w:lineRule="auto"/>
        <w:ind w:firstLine="640"/>
        <w:jc w:val="both"/>
      </w:pPr>
      <w:r>
        <w:rPr>
          <w:rFonts w:ascii="仿宋_GB2312" w:hAnsi="仿宋_GB2312" w:eastAsia="仿宋_GB2312"/>
          <w:b w:val="0"/>
          <w:sz w:val="32"/>
        </w:rPr>
        <w:t>五、《一般公共预算财政拨款支出决算表》</w:t>
      </w:r>
    </w:p>
    <w:p w14:paraId="631CCED1">
      <w:pPr>
        <w:spacing w:line="240" w:lineRule="auto"/>
        <w:ind w:firstLine="640"/>
        <w:jc w:val="both"/>
      </w:pPr>
      <w:r>
        <w:rPr>
          <w:rFonts w:ascii="仿宋_GB2312" w:hAnsi="仿宋_GB2312" w:eastAsia="仿宋_GB2312"/>
          <w:b w:val="0"/>
          <w:sz w:val="32"/>
        </w:rPr>
        <w:t>六、《一般公共预算财政拨款基本支出决算表》</w:t>
      </w:r>
    </w:p>
    <w:p w14:paraId="3F236E12">
      <w:pPr>
        <w:spacing w:line="240" w:lineRule="auto"/>
        <w:ind w:firstLine="640"/>
        <w:jc w:val="both"/>
      </w:pPr>
      <w:r>
        <w:rPr>
          <w:rFonts w:ascii="仿宋_GB2312" w:hAnsi="仿宋_GB2312" w:eastAsia="仿宋_GB2312"/>
          <w:b w:val="0"/>
          <w:sz w:val="32"/>
        </w:rPr>
        <w:t>七、《政府性基金预算财政拨款收入支出决算表》</w:t>
      </w:r>
    </w:p>
    <w:p w14:paraId="5C338AE7">
      <w:pPr>
        <w:spacing w:line="240" w:lineRule="auto"/>
        <w:ind w:firstLine="640"/>
        <w:jc w:val="both"/>
      </w:pPr>
      <w:r>
        <w:rPr>
          <w:rFonts w:ascii="仿宋_GB2312" w:hAnsi="仿宋_GB2312" w:eastAsia="仿宋_GB2312"/>
          <w:b w:val="0"/>
          <w:sz w:val="32"/>
        </w:rPr>
        <w:t>八、《国有资本经营预算财政拨款收入支出决算表》</w:t>
      </w:r>
    </w:p>
    <w:p w14:paraId="5715BE05">
      <w:pPr>
        <w:spacing w:line="240" w:lineRule="auto"/>
        <w:ind w:firstLine="640"/>
        <w:jc w:val="both"/>
      </w:pPr>
      <w:r>
        <w:rPr>
          <w:rFonts w:ascii="仿宋_GB2312" w:hAnsi="仿宋_GB2312" w:eastAsia="仿宋_GB2312"/>
          <w:b w:val="0"/>
          <w:sz w:val="32"/>
        </w:rPr>
        <w:t>九、《财政拨款“三公”经费支出决算表》</w:t>
      </w:r>
    </w:p>
    <w:p w14:paraId="1BA6EFE6">
      <w:pPr>
        <w:spacing w:line="240" w:lineRule="auto"/>
        <w:ind w:firstLine="640"/>
        <w:jc w:val="both"/>
      </w:pPr>
    </w:p>
    <w:p w14:paraId="0EF2CFE2">
      <w:pPr>
        <w:spacing w:line="240" w:lineRule="auto"/>
        <w:ind w:firstLine="640"/>
        <w:jc w:val="both"/>
      </w:pPr>
    </w:p>
    <w:p w14:paraId="33034003">
      <w:pPr>
        <w:spacing w:line="240" w:lineRule="auto"/>
        <w:ind w:firstLine="640"/>
        <w:jc w:val="both"/>
      </w:pPr>
    </w:p>
    <w:p w14:paraId="7FD7D5C5">
      <w:pPr>
        <w:spacing w:line="240" w:lineRule="auto"/>
        <w:ind w:firstLine="640"/>
        <w:jc w:val="both"/>
      </w:pPr>
    </w:p>
    <w:p w14:paraId="28233FE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AD75C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0B5D1C"/>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9A07DA"/>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4574</Words>
  <Characters>5255</Characters>
  <Lines>0</Lines>
  <Paragraphs>0</Paragraphs>
  <TotalTime>1</TotalTime>
  <ScaleCrop>false</ScaleCrop>
  <LinksUpToDate>false</LinksUpToDate>
  <CharactersWithSpaces>5263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