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疏勒南疆齐鲁工业园区管理委员会2024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7E656B">
      <w:r>
        <w:br w:type="page"/>
      </w:r>
    </w:p>
    <w:p w14:paraId="1CD0B5DD">
      <w:pPr>
        <w:spacing w:line="640" w:lineRule="exact"/>
        <w:jc w:val="center"/>
        <w:outlineLvl w:val="1"/>
      </w:pPr>
      <w:r>
        <w:rPr>
          <w:rFonts w:ascii="黑体" w:hAnsi="黑体" w:eastAsia="黑体"/>
          <w:sz w:val="32"/>
        </w:rPr>
        <w:t>第一部分 单位概况</w:t>
      </w:r>
    </w:p>
    <w:p w14:paraId="25DAC014">
      <w:pPr>
        <w:spacing w:line="640" w:lineRule="exact"/>
        <w:ind w:firstLine="640"/>
        <w:jc w:val="both"/>
        <w:outlineLvl w:val="2"/>
      </w:pPr>
      <w:r>
        <w:rPr>
          <w:rFonts w:ascii="黑体" w:hAnsi="黑体" w:eastAsia="黑体"/>
          <w:sz w:val="32"/>
        </w:rPr>
        <w:t>一、主要职能</w:t>
      </w:r>
    </w:p>
    <w:p w14:paraId="1F8A6A63">
      <w:pPr>
        <w:spacing w:line="580" w:lineRule="exact"/>
        <w:ind w:firstLine="640"/>
        <w:jc w:val="both"/>
      </w:pPr>
      <w:r>
        <w:rPr>
          <w:rFonts w:ascii="仿宋_GB2312" w:hAnsi="仿宋_GB2312" w:eastAsia="仿宋_GB2312"/>
          <w:sz w:val="32"/>
        </w:rPr>
        <w:t>（一）负责宣传和贯彻执行党的路线、方针、政策和法律法规；负责园区内党建和党员、干部队伍建设及管理工作。</w:t>
      </w:r>
    </w:p>
    <w:p w14:paraId="668EC377">
      <w:pPr>
        <w:spacing w:line="580" w:lineRule="exact"/>
        <w:ind w:firstLine="640"/>
        <w:jc w:val="both"/>
      </w:pPr>
      <w:r>
        <w:rPr>
          <w:rFonts w:ascii="仿宋_GB2312" w:hAnsi="仿宋_GB2312" w:eastAsia="仿宋_GB2312"/>
          <w:sz w:val="32"/>
        </w:rPr>
        <w:t>（二）行使地区赋予工业园区管委会的审批权限。负责制定工业园区国民经济和社会发展规划、产业政策、发展计划；负责工业园区招</w:t>
      </w:r>
      <w:r>
        <w:rPr>
          <w:rFonts w:hint="eastAsia" w:ascii="仿宋_GB2312" w:hAnsi="仿宋_GB2312" w:eastAsia="仿宋_GB2312"/>
          <w:sz w:val="32"/>
          <w:lang w:eastAsia="zh-CN"/>
        </w:rPr>
        <w:t>商引资</w:t>
      </w:r>
      <w:r>
        <w:rPr>
          <w:rFonts w:ascii="仿宋_GB2312" w:hAnsi="仿宋_GB2312" w:eastAsia="仿宋_GB2312"/>
          <w:sz w:val="32"/>
        </w:rPr>
        <w:t>，研究拟定工业园区招</w:t>
      </w:r>
      <w:r>
        <w:rPr>
          <w:rFonts w:hint="eastAsia" w:ascii="仿宋_GB2312" w:hAnsi="仿宋_GB2312" w:eastAsia="仿宋_GB2312"/>
          <w:sz w:val="32"/>
          <w:lang w:eastAsia="zh-CN"/>
        </w:rPr>
        <w:t>商引资</w:t>
      </w:r>
      <w:r>
        <w:rPr>
          <w:rFonts w:ascii="仿宋_GB2312" w:hAnsi="仿宋_GB2312" w:eastAsia="仿宋_GB2312"/>
          <w:sz w:val="32"/>
        </w:rPr>
        <w:t>优惠政策、招</w:t>
      </w:r>
      <w:r>
        <w:rPr>
          <w:rFonts w:hint="eastAsia" w:ascii="仿宋_GB2312" w:hAnsi="仿宋_GB2312" w:eastAsia="仿宋_GB2312"/>
          <w:sz w:val="32"/>
          <w:lang w:eastAsia="zh-CN"/>
        </w:rPr>
        <w:t>商引资</w:t>
      </w:r>
      <w:r>
        <w:rPr>
          <w:rFonts w:ascii="仿宋_GB2312" w:hAnsi="仿宋_GB2312" w:eastAsia="仿宋_GB2312"/>
          <w:sz w:val="32"/>
        </w:rPr>
        <w:t>项目的跟踪服务工作。</w:t>
      </w:r>
    </w:p>
    <w:p w14:paraId="73EB1127">
      <w:pPr>
        <w:spacing w:line="580" w:lineRule="exact"/>
        <w:ind w:firstLine="640"/>
        <w:jc w:val="both"/>
      </w:pPr>
      <w:r>
        <w:rPr>
          <w:rFonts w:ascii="仿宋_GB2312" w:hAnsi="仿宋_GB2312" w:eastAsia="仿宋_GB2312"/>
          <w:sz w:val="32"/>
        </w:rPr>
        <w:t>（三）负责工业园区工程建设及基础设施建设，组织</w:t>
      </w:r>
      <w:r>
        <w:rPr>
          <w:rFonts w:hint="eastAsia" w:ascii="仿宋_GB2312" w:hAnsi="仿宋_GB2312" w:eastAsia="仿宋_GB2312"/>
          <w:sz w:val="32"/>
          <w:lang w:eastAsia="zh-CN"/>
        </w:rPr>
        <w:t>编制</w:t>
      </w:r>
      <w:r>
        <w:rPr>
          <w:rFonts w:ascii="仿宋_GB2312" w:hAnsi="仿宋_GB2312" w:eastAsia="仿宋_GB2312"/>
          <w:sz w:val="32"/>
        </w:rPr>
        <w:t>实施工业园区总体规划。</w:t>
      </w:r>
    </w:p>
    <w:p w14:paraId="254E9D0A">
      <w:pPr>
        <w:spacing w:line="580" w:lineRule="exact"/>
        <w:ind w:firstLine="640"/>
        <w:jc w:val="both"/>
      </w:pPr>
      <w:r>
        <w:rPr>
          <w:rFonts w:ascii="仿宋_GB2312" w:hAnsi="仿宋_GB2312" w:eastAsia="仿宋_GB2312"/>
          <w:sz w:val="32"/>
        </w:rPr>
        <w:t>（四）负责工业园区公共事务管理，社会综合执法监督。</w:t>
      </w:r>
    </w:p>
    <w:p w14:paraId="774C1F93">
      <w:pPr>
        <w:spacing w:line="580" w:lineRule="exact"/>
        <w:ind w:firstLine="640"/>
        <w:jc w:val="both"/>
      </w:pPr>
      <w:r>
        <w:rPr>
          <w:rFonts w:ascii="仿宋_GB2312" w:hAnsi="仿宋_GB2312" w:eastAsia="仿宋_GB2312"/>
          <w:sz w:val="32"/>
        </w:rPr>
        <w:t>（五）制定工业园区工作规划和年度工作计划。负责对工业园区的生产监督管理。</w:t>
      </w:r>
    </w:p>
    <w:p w14:paraId="1C760B9A">
      <w:pPr>
        <w:spacing w:line="580" w:lineRule="exact"/>
        <w:ind w:firstLine="640"/>
        <w:jc w:val="both"/>
      </w:pPr>
      <w:r>
        <w:rPr>
          <w:rFonts w:ascii="仿宋_GB2312" w:hAnsi="仿宋_GB2312" w:eastAsia="仿宋_GB2312"/>
          <w:sz w:val="32"/>
        </w:rPr>
        <w:t>（六）承办地委、行署交办的其他事项。</w:t>
      </w:r>
    </w:p>
    <w:p w14:paraId="29C48015">
      <w:pPr>
        <w:spacing w:line="640" w:lineRule="exact"/>
        <w:ind w:firstLine="640"/>
        <w:jc w:val="both"/>
        <w:outlineLvl w:val="2"/>
      </w:pPr>
      <w:r>
        <w:rPr>
          <w:rFonts w:ascii="黑体" w:hAnsi="黑体" w:eastAsia="黑体"/>
          <w:sz w:val="32"/>
        </w:rPr>
        <w:t>二、机构设置及人员情况</w:t>
      </w:r>
    </w:p>
    <w:p w14:paraId="5356BD0C">
      <w:pPr>
        <w:spacing w:line="580" w:lineRule="exact"/>
        <w:ind w:firstLine="640"/>
        <w:jc w:val="both"/>
      </w:pPr>
      <w:r>
        <w:rPr>
          <w:rFonts w:ascii="仿宋_GB2312" w:hAnsi="仿宋_GB2312" w:eastAsia="仿宋_GB2312"/>
          <w:sz w:val="32"/>
        </w:rPr>
        <w:t>疏勒南疆齐鲁工业园区管理委员会2024年度，实有人数30人，其中：在职人员28人，增加4人；离休人员0人，增加0人；退休人员2人,增加0人。</w:t>
      </w:r>
    </w:p>
    <w:p w14:paraId="6F6F784B">
      <w:pPr>
        <w:spacing w:line="580" w:lineRule="exact"/>
        <w:ind w:firstLine="640"/>
        <w:jc w:val="both"/>
      </w:pPr>
      <w:r>
        <w:rPr>
          <w:rFonts w:ascii="仿宋_GB2312" w:hAnsi="仿宋_GB2312" w:eastAsia="仿宋_GB2312"/>
          <w:sz w:val="32"/>
        </w:rPr>
        <w:t>疏勒南疆齐鲁工业园区管理委员会无下属预算单位，下设6个科室，分别是：综合办公室、财务中心、政务服务中心、招商发展中心、就业服务中心、疏勒化工产业集聚区安全生产监管办公室。</w:t>
      </w:r>
    </w:p>
    <w:p w14:paraId="7B50658C"/>
    <w:p w14:paraId="10CF12A1">
      <w:pPr>
        <w:spacing w:line="240" w:lineRule="auto"/>
        <w:jc w:val="center"/>
        <w:outlineLvl w:val="1"/>
      </w:pPr>
      <w:r>
        <w:rPr>
          <w:rFonts w:ascii="黑体" w:hAnsi="黑体" w:eastAsia="黑体"/>
          <w:sz w:val="32"/>
        </w:rPr>
        <w:t>第二部分 部门决算情况说明</w:t>
      </w:r>
    </w:p>
    <w:p w14:paraId="61CFE0BF">
      <w:pPr>
        <w:spacing w:line="640" w:lineRule="exact"/>
        <w:ind w:firstLine="640"/>
        <w:jc w:val="both"/>
        <w:outlineLvl w:val="2"/>
      </w:pPr>
      <w:r>
        <w:rPr>
          <w:rFonts w:ascii="黑体" w:hAnsi="黑体" w:eastAsia="黑体"/>
          <w:sz w:val="32"/>
        </w:rPr>
        <w:t>一、收入支出决算总体情况说明</w:t>
      </w:r>
    </w:p>
    <w:p w14:paraId="1B3EA794">
      <w:pPr>
        <w:spacing w:line="580" w:lineRule="exact"/>
        <w:ind w:firstLine="640"/>
        <w:jc w:val="both"/>
      </w:pPr>
      <w:r>
        <w:rPr>
          <w:rFonts w:ascii="仿宋_GB2312" w:hAnsi="仿宋_GB2312" w:eastAsia="仿宋_GB2312"/>
          <w:b/>
          <w:sz w:val="32"/>
        </w:rPr>
        <w:t>2024年度收入总计5,461.92万元，</w:t>
      </w:r>
      <w:r>
        <w:rPr>
          <w:rFonts w:ascii="仿宋_GB2312" w:hAnsi="仿宋_GB2312" w:eastAsia="仿宋_GB2312"/>
          <w:b w:val="0"/>
          <w:sz w:val="32"/>
        </w:rPr>
        <w:t>其中：本年收入合计5,461.92万元，使用非财政拨款结余（含专用结余）0.00万元，年初结转和结余0.00万元。</w:t>
      </w:r>
    </w:p>
    <w:p w14:paraId="53685586">
      <w:pPr>
        <w:spacing w:line="580" w:lineRule="exact"/>
        <w:ind w:firstLine="640"/>
        <w:jc w:val="both"/>
      </w:pPr>
      <w:r>
        <w:rPr>
          <w:rFonts w:ascii="仿宋_GB2312" w:hAnsi="仿宋_GB2312" w:eastAsia="仿宋_GB2312"/>
          <w:b/>
          <w:sz w:val="32"/>
        </w:rPr>
        <w:t>2024年度支出总计5,461.92万元，</w:t>
      </w:r>
      <w:r>
        <w:rPr>
          <w:rFonts w:ascii="仿宋_GB2312" w:hAnsi="仿宋_GB2312" w:eastAsia="仿宋_GB2312"/>
          <w:b w:val="0"/>
          <w:sz w:val="32"/>
        </w:rPr>
        <w:t>其中：本年支出合计5,461.92万元，结余分配0.00万元，年末结转和结余0.00万元。</w:t>
      </w:r>
    </w:p>
    <w:p w14:paraId="787DE68D">
      <w:pPr>
        <w:spacing w:line="580" w:lineRule="exact"/>
        <w:ind w:firstLine="640"/>
        <w:jc w:val="both"/>
        <w:rPr>
          <w:rFonts w:hint="eastAsia" w:eastAsia="仿宋_GB2312"/>
          <w:lang w:val="en-US" w:eastAsia="zh-CN"/>
        </w:rPr>
      </w:pPr>
      <w:r>
        <w:rPr>
          <w:rFonts w:ascii="仿宋_GB2312" w:hAnsi="仿宋_GB2312" w:eastAsia="仿宋_GB2312"/>
          <w:b w:val="0"/>
          <w:sz w:val="32"/>
        </w:rPr>
        <w:t>收入支出总体与上年相比，减少6,171.00万元，下降53.05%，主要原因是：本年减少疏勒县2022年度为民办实事项目、疏勒县职业技能培训实训基地项目工程款。</w:t>
      </w:r>
      <w:r>
        <w:rPr>
          <w:rFonts w:hint="eastAsia" w:ascii="仿宋_GB2312" w:hAnsi="仿宋_GB2312" w:eastAsia="仿宋_GB2312"/>
          <w:b w:val="0"/>
          <w:sz w:val="32"/>
          <w:lang w:val="en-US" w:eastAsia="zh-CN"/>
        </w:rPr>
        <w:t>减少</w:t>
      </w:r>
      <w:r>
        <w:rPr>
          <w:rFonts w:hint="eastAsia" w:ascii="仿宋_GB2312" w:hAnsi="仿宋_GB2312" w:eastAsia="仿宋_GB2312"/>
          <w:b w:val="0"/>
          <w:sz w:val="32"/>
        </w:rPr>
        <w:t>援疆资金项目</w:t>
      </w:r>
      <w:r>
        <w:rPr>
          <w:rFonts w:hint="eastAsia" w:ascii="仿宋_GB2312" w:hAnsi="仿宋_GB2312" w:eastAsia="仿宋_GB2312"/>
          <w:b w:val="0"/>
          <w:sz w:val="32"/>
          <w:lang w:val="en-US" w:eastAsia="zh-CN"/>
        </w:rPr>
        <w:t>用于</w:t>
      </w:r>
      <w:r>
        <w:rPr>
          <w:rFonts w:hint="eastAsia" w:ascii="仿宋_GB2312" w:hAnsi="仿宋_GB2312" w:eastAsia="仿宋_GB2312"/>
          <w:b w:val="0"/>
          <w:sz w:val="32"/>
        </w:rPr>
        <w:t>疏勒县工业强基增效园区提升项目</w:t>
      </w:r>
      <w:r>
        <w:rPr>
          <w:rFonts w:hint="eastAsia" w:ascii="仿宋_GB2312" w:hAnsi="仿宋_GB2312" w:eastAsia="仿宋_GB2312"/>
          <w:b w:val="0"/>
          <w:sz w:val="32"/>
          <w:lang w:eastAsia="zh-CN"/>
        </w:rPr>
        <w:t>、</w:t>
      </w:r>
      <w:r>
        <w:rPr>
          <w:rFonts w:hint="eastAsia" w:ascii="仿宋_GB2312" w:hAnsi="仿宋_GB2312" w:eastAsia="仿宋_GB2312"/>
          <w:b w:val="0"/>
          <w:sz w:val="32"/>
        </w:rPr>
        <w:t>工业招商引资及服务保障项目</w:t>
      </w:r>
      <w:r>
        <w:rPr>
          <w:rFonts w:hint="eastAsia" w:ascii="仿宋_GB2312" w:hAnsi="仿宋_GB2312" w:eastAsia="仿宋_GB2312"/>
          <w:b w:val="0"/>
          <w:sz w:val="32"/>
          <w:lang w:eastAsia="zh-CN"/>
        </w:rPr>
        <w:t>、</w:t>
      </w:r>
      <w:r>
        <w:rPr>
          <w:rFonts w:hint="eastAsia" w:ascii="仿宋_GB2312" w:hAnsi="仿宋_GB2312" w:eastAsia="仿宋_GB2312"/>
          <w:b w:val="0"/>
          <w:sz w:val="32"/>
        </w:rPr>
        <w:t>疏勒县干部人才选派项目</w:t>
      </w:r>
      <w:r>
        <w:rPr>
          <w:rFonts w:hint="eastAsia" w:ascii="仿宋_GB2312" w:hAnsi="仿宋_GB2312" w:eastAsia="仿宋_GB2312"/>
          <w:b w:val="0"/>
          <w:sz w:val="32"/>
          <w:lang w:val="en-US" w:eastAsia="zh-CN"/>
        </w:rPr>
        <w:t>等。</w:t>
      </w:r>
    </w:p>
    <w:p w14:paraId="3F915772">
      <w:pPr>
        <w:spacing w:line="640" w:lineRule="exact"/>
        <w:ind w:firstLine="640"/>
        <w:jc w:val="both"/>
        <w:outlineLvl w:val="2"/>
      </w:pPr>
      <w:r>
        <w:rPr>
          <w:rFonts w:ascii="黑体" w:hAnsi="黑体" w:eastAsia="黑体"/>
          <w:sz w:val="32"/>
        </w:rPr>
        <w:t>二、收入决算情况说明</w:t>
      </w:r>
    </w:p>
    <w:p w14:paraId="28310861">
      <w:pPr>
        <w:spacing w:line="580" w:lineRule="exact"/>
        <w:ind w:firstLine="640"/>
        <w:jc w:val="both"/>
      </w:pPr>
      <w:r>
        <w:rPr>
          <w:rFonts w:ascii="仿宋_GB2312" w:hAnsi="仿宋_GB2312" w:eastAsia="仿宋_GB2312"/>
          <w:b/>
          <w:sz w:val="32"/>
        </w:rPr>
        <w:t>本年收入5,461.92万元，</w:t>
      </w:r>
      <w:r>
        <w:rPr>
          <w:rFonts w:ascii="仿宋_GB2312" w:hAnsi="仿宋_GB2312" w:eastAsia="仿宋_GB2312"/>
          <w:b w:val="0"/>
          <w:sz w:val="32"/>
        </w:rPr>
        <w:t>其中：财政拨款收入4,296.28万元，占78.66%；上级补助收入0.00万元，占0.00%；事业收入0.00万元，占0.00%；经营收入0.00万元，占0.00%；附属单位上缴收入0.00万元，占0.00%；其他收入1,165.64万元，占21.34%。</w:t>
      </w:r>
    </w:p>
    <w:p w14:paraId="476856B9">
      <w:pPr>
        <w:spacing w:line="640" w:lineRule="exact"/>
        <w:ind w:firstLine="640"/>
        <w:jc w:val="both"/>
        <w:outlineLvl w:val="2"/>
      </w:pPr>
      <w:r>
        <w:rPr>
          <w:rFonts w:ascii="黑体" w:hAnsi="黑体" w:eastAsia="黑体"/>
          <w:sz w:val="32"/>
        </w:rPr>
        <w:t>三、支出决算情况说明</w:t>
      </w:r>
    </w:p>
    <w:p w14:paraId="1E40935B">
      <w:pPr>
        <w:spacing w:line="580" w:lineRule="exact"/>
        <w:ind w:firstLine="640"/>
        <w:jc w:val="both"/>
      </w:pPr>
      <w:r>
        <w:rPr>
          <w:rFonts w:ascii="仿宋_GB2312" w:hAnsi="仿宋_GB2312" w:eastAsia="仿宋_GB2312"/>
          <w:b/>
          <w:sz w:val="32"/>
        </w:rPr>
        <w:t>本年支出5,461.92万元，</w:t>
      </w:r>
      <w:r>
        <w:rPr>
          <w:rFonts w:ascii="仿宋_GB2312" w:hAnsi="仿宋_GB2312" w:eastAsia="仿宋_GB2312"/>
          <w:b w:val="0"/>
          <w:sz w:val="32"/>
        </w:rPr>
        <w:t>其中：基本支出552.50万元，占10.12%；项目支出4,909.42万元，占89.88%；上缴上级支出0.00万元，占0.00%；经营支出0.00万元，占0.00%；对附属单位补助支出0.00万元，占0.00%。</w:t>
      </w:r>
    </w:p>
    <w:p w14:paraId="194DF296">
      <w:pPr>
        <w:spacing w:line="640" w:lineRule="exact"/>
        <w:ind w:firstLine="640"/>
        <w:jc w:val="both"/>
        <w:outlineLvl w:val="2"/>
      </w:pPr>
      <w:r>
        <w:rPr>
          <w:rFonts w:ascii="黑体" w:hAnsi="黑体" w:eastAsia="黑体"/>
          <w:sz w:val="32"/>
        </w:rPr>
        <w:t>四、财政拨款收入支出决算总体情况说明</w:t>
      </w:r>
    </w:p>
    <w:p w14:paraId="040EB9FB">
      <w:pPr>
        <w:spacing w:line="580" w:lineRule="exact"/>
        <w:ind w:firstLine="640"/>
        <w:jc w:val="both"/>
      </w:pPr>
      <w:r>
        <w:rPr>
          <w:rFonts w:ascii="仿宋_GB2312" w:hAnsi="仿宋_GB2312" w:eastAsia="仿宋_GB2312"/>
          <w:b/>
          <w:sz w:val="32"/>
        </w:rPr>
        <w:t>2024年度财政拨款收入总计4,296.28万元，</w:t>
      </w:r>
      <w:r>
        <w:rPr>
          <w:rFonts w:ascii="仿宋_GB2312" w:hAnsi="仿宋_GB2312" w:eastAsia="仿宋_GB2312"/>
          <w:b w:val="0"/>
          <w:sz w:val="32"/>
        </w:rPr>
        <w:t>其中：年初财政拨款结转和结余0.00万元，本年财政拨款收入4,296.28万元。</w:t>
      </w:r>
      <w:r>
        <w:rPr>
          <w:rFonts w:ascii="仿宋_GB2312" w:hAnsi="仿宋_GB2312" w:eastAsia="仿宋_GB2312"/>
          <w:b/>
          <w:sz w:val="32"/>
        </w:rPr>
        <w:t>财政拨款支出总计4,296.28万元，</w:t>
      </w:r>
      <w:r>
        <w:rPr>
          <w:rFonts w:ascii="仿宋_GB2312" w:hAnsi="仿宋_GB2312" w:eastAsia="仿宋_GB2312"/>
          <w:b w:val="0"/>
          <w:sz w:val="32"/>
        </w:rPr>
        <w:t>其中：年末财政拨款结转和结余0.00万元，本年财政拨款支出4,296.28万元。</w:t>
      </w:r>
    </w:p>
    <w:p w14:paraId="507CAE3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减少1,900.40万元，下降30.67%，主要原因是：本年减少疏勒县2022年度为民办实事项目、疏勒县职业技能培训实训基地项目工程款。</w:t>
      </w:r>
      <w:r>
        <w:rPr>
          <w:rFonts w:ascii="仿宋_GB2312" w:hAnsi="仿宋_GB2312" w:eastAsia="仿宋_GB2312"/>
          <w:b/>
          <w:sz w:val="32"/>
        </w:rPr>
        <w:t>与年初预算相比，</w:t>
      </w:r>
      <w:r>
        <w:rPr>
          <w:rFonts w:ascii="仿宋_GB2312" w:hAnsi="仿宋_GB2312" w:eastAsia="仿宋_GB2312"/>
          <w:b w:val="0"/>
          <w:sz w:val="32"/>
        </w:rPr>
        <w:t>年初预算数26,979.02万元，决算数4,296.28万元，预决算差异率-84.08%，主要原因是：年中调减疏勒县多式联运物流港（一期）项目</w:t>
      </w:r>
      <w:r>
        <w:rPr>
          <w:rFonts w:hint="eastAsia" w:ascii="仿宋_GB2312" w:hAnsi="仿宋_GB2312" w:eastAsia="仿宋_GB2312"/>
          <w:b w:val="0"/>
          <w:sz w:val="32"/>
          <w:lang w:eastAsia="zh-CN"/>
        </w:rPr>
        <w:t>、</w:t>
      </w:r>
      <w:r>
        <w:rPr>
          <w:rFonts w:ascii="仿宋_GB2312" w:hAnsi="仿宋_GB2312" w:eastAsia="仿宋_GB2312"/>
          <w:b w:val="0"/>
          <w:sz w:val="32"/>
        </w:rPr>
        <w:t>疏勒工业园区管委会工作经费项目资金。</w:t>
      </w:r>
    </w:p>
    <w:p w14:paraId="2D117696">
      <w:pPr>
        <w:spacing w:line="640" w:lineRule="exact"/>
        <w:ind w:firstLine="640"/>
        <w:jc w:val="both"/>
        <w:outlineLvl w:val="2"/>
      </w:pPr>
      <w:r>
        <w:rPr>
          <w:rFonts w:ascii="黑体" w:hAnsi="黑体" w:eastAsia="黑体"/>
          <w:sz w:val="32"/>
        </w:rPr>
        <w:t>五、一般公共预算财政拨款支出决算情况说明</w:t>
      </w:r>
    </w:p>
    <w:p w14:paraId="493B7BF5">
      <w:pPr>
        <w:spacing w:line="640" w:lineRule="exact"/>
        <w:ind w:firstLine="640"/>
        <w:jc w:val="both"/>
        <w:outlineLvl w:val="3"/>
      </w:pPr>
      <w:r>
        <w:rPr>
          <w:rFonts w:ascii="楷体_GB2312" w:hAnsi="楷体_GB2312" w:eastAsia="楷体_GB2312"/>
          <w:b/>
          <w:sz w:val="32"/>
        </w:rPr>
        <w:t>（一）一般公共预算财政拨款支出决算总体情况</w:t>
      </w:r>
    </w:p>
    <w:p w14:paraId="625463DE">
      <w:pPr>
        <w:spacing w:line="580" w:lineRule="exact"/>
        <w:ind w:firstLine="640"/>
        <w:jc w:val="both"/>
      </w:pPr>
      <w:r>
        <w:rPr>
          <w:rFonts w:ascii="仿宋_GB2312" w:hAnsi="仿宋_GB2312" w:eastAsia="仿宋_GB2312"/>
          <w:b/>
          <w:sz w:val="32"/>
        </w:rPr>
        <w:t>2024年度一般公共预算财政拨款支出858.91万元，</w:t>
      </w:r>
      <w:r>
        <w:rPr>
          <w:rFonts w:ascii="仿宋_GB2312" w:hAnsi="仿宋_GB2312" w:eastAsia="仿宋_GB2312"/>
          <w:b w:val="0"/>
          <w:sz w:val="32"/>
        </w:rPr>
        <w:t>占本年支出合计的15.73%。</w:t>
      </w:r>
      <w:r>
        <w:rPr>
          <w:rFonts w:ascii="仿宋_GB2312" w:hAnsi="仿宋_GB2312" w:eastAsia="仿宋_GB2312"/>
          <w:b/>
          <w:sz w:val="32"/>
        </w:rPr>
        <w:t>与上年相比，</w:t>
      </w:r>
      <w:r>
        <w:rPr>
          <w:rFonts w:ascii="仿宋_GB2312" w:hAnsi="仿宋_GB2312" w:eastAsia="仿宋_GB2312"/>
          <w:b w:val="0"/>
          <w:sz w:val="32"/>
        </w:rPr>
        <w:t>增加326.08万元，增长61.20%，主要原因是：本年在职人员工资调增，社保、公积金基数调增，人员经费增加。本年增加喀什经济开发区疏勒县产业园基础设施建设项目。</w:t>
      </w:r>
      <w:r>
        <w:rPr>
          <w:rFonts w:ascii="仿宋_GB2312" w:hAnsi="仿宋_GB2312" w:eastAsia="仿宋_GB2312"/>
          <w:b/>
          <w:sz w:val="32"/>
        </w:rPr>
        <w:t>与年初预算相比,</w:t>
      </w:r>
      <w:r>
        <w:rPr>
          <w:rFonts w:ascii="仿宋_GB2312" w:hAnsi="仿宋_GB2312" w:eastAsia="仿宋_GB2312"/>
          <w:b w:val="0"/>
          <w:sz w:val="32"/>
        </w:rPr>
        <w:t>年初预算数1,239.47万元，决算数858.91万元，预决算差异率-30.70%，主要原因是：年中调减疏勒工业园区管委会工作经费项目资金。</w:t>
      </w:r>
    </w:p>
    <w:p w14:paraId="49C3C7B9">
      <w:pPr>
        <w:spacing w:line="640" w:lineRule="exact"/>
        <w:ind w:firstLine="640"/>
        <w:jc w:val="both"/>
        <w:outlineLvl w:val="3"/>
      </w:pPr>
      <w:r>
        <w:rPr>
          <w:rFonts w:ascii="楷体_GB2312" w:hAnsi="楷体_GB2312" w:eastAsia="楷体_GB2312"/>
          <w:b/>
          <w:sz w:val="32"/>
        </w:rPr>
        <w:t>（二）一般公共预算财政拨款支出决算结构情况</w:t>
      </w:r>
    </w:p>
    <w:p w14:paraId="153834EF">
      <w:pPr>
        <w:spacing w:line="580" w:lineRule="exact"/>
        <w:ind w:firstLine="640"/>
        <w:jc w:val="both"/>
      </w:pPr>
      <w:r>
        <w:rPr>
          <w:rFonts w:ascii="仿宋_GB2312" w:hAnsi="仿宋_GB2312" w:eastAsia="仿宋_GB2312"/>
          <w:b w:val="0"/>
          <w:sz w:val="32"/>
        </w:rPr>
        <w:t>1.一般公共服务支出(类)719.13万元,占83.73%。</w:t>
      </w:r>
    </w:p>
    <w:p w14:paraId="69A1DA25">
      <w:pPr>
        <w:spacing w:line="580" w:lineRule="exact"/>
        <w:ind w:firstLine="640"/>
        <w:jc w:val="both"/>
      </w:pPr>
      <w:r>
        <w:rPr>
          <w:rFonts w:ascii="仿宋_GB2312" w:hAnsi="仿宋_GB2312" w:eastAsia="仿宋_GB2312"/>
          <w:b w:val="0"/>
          <w:sz w:val="32"/>
        </w:rPr>
        <w:t>2.社会保障和就业支出(类)51.63万元,占6.01%。</w:t>
      </w:r>
    </w:p>
    <w:p w14:paraId="2A3C80A4">
      <w:pPr>
        <w:spacing w:line="580" w:lineRule="exact"/>
        <w:ind w:firstLine="640"/>
        <w:jc w:val="both"/>
      </w:pPr>
      <w:r>
        <w:rPr>
          <w:rFonts w:ascii="仿宋_GB2312" w:hAnsi="仿宋_GB2312" w:eastAsia="仿宋_GB2312"/>
          <w:b w:val="0"/>
          <w:sz w:val="32"/>
        </w:rPr>
        <w:t>3.卫生健康支出(类)20.90万元,占2.43%。</w:t>
      </w:r>
    </w:p>
    <w:p w14:paraId="02A4C90B">
      <w:pPr>
        <w:spacing w:line="580" w:lineRule="exact"/>
        <w:ind w:firstLine="640"/>
        <w:jc w:val="both"/>
      </w:pPr>
      <w:r>
        <w:rPr>
          <w:rFonts w:ascii="仿宋_GB2312" w:hAnsi="仿宋_GB2312" w:eastAsia="仿宋_GB2312"/>
          <w:b w:val="0"/>
          <w:sz w:val="32"/>
        </w:rPr>
        <w:t>4.商业服务业等支出(类)28.65万元,占3.34%。</w:t>
      </w:r>
    </w:p>
    <w:p w14:paraId="114E6649">
      <w:pPr>
        <w:spacing w:line="580" w:lineRule="exact"/>
        <w:ind w:firstLine="640"/>
        <w:jc w:val="both"/>
      </w:pPr>
      <w:r>
        <w:rPr>
          <w:rFonts w:ascii="仿宋_GB2312" w:hAnsi="仿宋_GB2312" w:eastAsia="仿宋_GB2312"/>
          <w:b w:val="0"/>
          <w:sz w:val="32"/>
        </w:rPr>
        <w:t>5.住房保障支出(类)38.61万元,占4.50%。</w:t>
      </w:r>
    </w:p>
    <w:p w14:paraId="725C6BC3">
      <w:pPr>
        <w:spacing w:line="640" w:lineRule="exact"/>
        <w:ind w:firstLine="640"/>
        <w:jc w:val="both"/>
        <w:outlineLvl w:val="3"/>
      </w:pPr>
      <w:r>
        <w:rPr>
          <w:rFonts w:ascii="楷体_GB2312" w:hAnsi="楷体_GB2312" w:eastAsia="楷体_GB2312"/>
          <w:b/>
          <w:sz w:val="32"/>
        </w:rPr>
        <w:t>（三）一般公共预算财政拨款支出决算具体情况</w:t>
      </w:r>
    </w:p>
    <w:p w14:paraId="2C3B8CFB">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支出决算数为277.76万元，比上年决算增加273.76万元，增长6,844.00%,主要原因是：本年增加喀什经济开发区疏勒县产业园基础设施建设项目。</w:t>
      </w:r>
    </w:p>
    <w:p w14:paraId="1B6E7786">
      <w:pPr>
        <w:spacing w:line="580" w:lineRule="exact"/>
        <w:ind w:firstLine="640"/>
        <w:jc w:val="both"/>
      </w:pPr>
      <w:r>
        <w:rPr>
          <w:rFonts w:ascii="仿宋_GB2312" w:hAnsi="仿宋_GB2312" w:eastAsia="仿宋_GB2312"/>
          <w:b w:val="0"/>
          <w:sz w:val="32"/>
        </w:rPr>
        <w:t>2.一般公共服务支出(类)商贸事务(款)事业运行(项):支出决算数为441.37万元，比上年决算增加51.87万元，增长13.32%,主要原因是：本年在职人员工资调增，导致相关人员经费较上年有所增加。</w:t>
      </w:r>
    </w:p>
    <w:p w14:paraId="7B32121F">
      <w:pPr>
        <w:spacing w:line="580" w:lineRule="exact"/>
        <w:ind w:firstLine="640"/>
        <w:jc w:val="both"/>
      </w:pPr>
      <w:r>
        <w:rPr>
          <w:rFonts w:ascii="仿宋_GB2312" w:hAnsi="仿宋_GB2312" w:eastAsia="仿宋_GB2312"/>
          <w:b w:val="0"/>
          <w:sz w:val="32"/>
        </w:rPr>
        <w:t>3.一般公共服务支出(类)组织事务(款)其他组织事务支出(项):支出决算数为0.00万元，比上年决算减少18.18万元，下降100.00%,主要原因是：本年减少疏勒县2022年度为民办实事项目。</w:t>
      </w:r>
    </w:p>
    <w:p w14:paraId="0731DEF0">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4.社会保障和就业支出(类)行政事业单位养老支出(款)事业单位离退休(项):支出决算数为2.46万元，比上年决算增加0.79万元，增长47.31%,主要原因是：本年增加退休人员基础绩效奖，退休费支出增加。</w:t>
      </w:r>
    </w:p>
    <w:p w14:paraId="03AE4D25">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49.17万元，比上年决算增加15.04万元，增长44.07%,主要原因是：本年在职人员增加，养老保险缴费较上年增加。</w:t>
      </w:r>
    </w:p>
    <w:p w14:paraId="546C8AB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7.14万元，下降100.00%,主要原因是：本年新增退休人员较上年减少，职业年金缴费较上年减少。</w:t>
      </w:r>
    </w:p>
    <w:p w14:paraId="4FA407D0">
      <w:pPr>
        <w:spacing w:line="580" w:lineRule="exact"/>
        <w:ind w:firstLine="640"/>
        <w:jc w:val="both"/>
      </w:pPr>
      <w:r>
        <w:rPr>
          <w:rFonts w:ascii="仿宋_GB2312" w:hAnsi="仿宋_GB2312" w:eastAsia="仿宋_GB2312"/>
          <w:b w:val="0"/>
          <w:sz w:val="32"/>
        </w:rPr>
        <w:t>7.卫生健康支出(类)行政事业单位医疗(款)事业单位医疗(项):支出决算数为20.90万元，比上年决算增加6.17万元，增长41.89%,主要原因是：本年在职人员增加，事业单位医疗支出较上年增加。</w:t>
      </w:r>
    </w:p>
    <w:p w14:paraId="3182AA7C">
      <w:pPr>
        <w:spacing w:line="580" w:lineRule="exact"/>
        <w:ind w:firstLine="640"/>
        <w:jc w:val="both"/>
      </w:pPr>
      <w:r>
        <w:rPr>
          <w:rFonts w:ascii="仿宋_GB2312" w:hAnsi="仿宋_GB2312" w:eastAsia="仿宋_GB2312"/>
          <w:b w:val="0"/>
          <w:sz w:val="32"/>
        </w:rPr>
        <w:t>8.卫生健康支出(类)行政事业单位医疗(款)公务员医疗补助(项):支出决算数为0.00万元，比上年决算减少0.12万元，下降100.00%,主要原因是：2023年公务员退休，单位无公务员，公务员医疗补助减少。</w:t>
      </w:r>
    </w:p>
    <w:p w14:paraId="792D0C1A">
      <w:pPr>
        <w:spacing w:line="580" w:lineRule="exact"/>
        <w:ind w:firstLine="640"/>
        <w:jc w:val="both"/>
      </w:pPr>
      <w:r>
        <w:rPr>
          <w:rFonts w:ascii="仿宋_GB2312" w:hAnsi="仿宋_GB2312" w:eastAsia="仿宋_GB2312"/>
          <w:b w:val="0"/>
          <w:sz w:val="32"/>
        </w:rPr>
        <w:t>9.城乡社区支出(类)城乡社区公共设施(款)小城镇基础设施建设(项):支出决算数为0.00万元，比上年决算减少30.00万元，下降100.00%,主要原因是：本年减少疏勒县职业技能培训实训基地项目工程款。</w:t>
      </w:r>
    </w:p>
    <w:p w14:paraId="1D56C115">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10.农林水支出(类)农业农村(款)其他农业农村支出(项):支出决算数为0.00万元，比上年决算减少6.31万元，下降100.00%,主要原因是：本年减少疏勒县2023年度为民办实事项目。</w:t>
      </w:r>
    </w:p>
    <w:p w14:paraId="14E73094">
      <w:pPr>
        <w:spacing w:line="580" w:lineRule="exact"/>
        <w:ind w:firstLine="640"/>
        <w:jc w:val="both"/>
      </w:pPr>
      <w:r>
        <w:rPr>
          <w:rFonts w:ascii="仿宋_GB2312" w:hAnsi="仿宋_GB2312" w:eastAsia="仿宋_GB2312"/>
          <w:b w:val="0"/>
          <w:sz w:val="32"/>
        </w:rPr>
        <w:t>11.商业服务业等支出(类)其他商业服务业等支出(款)其他商业服务业等支出(项):支出决算数为28.65万元，比上年决算增加28.65万元，增长100.00%,主要原因是：本年增加2024年喀什经济开发区疏勒县产业园运行保障项目。</w:t>
      </w:r>
    </w:p>
    <w:p w14:paraId="2D9074F7">
      <w:pPr>
        <w:spacing w:line="580" w:lineRule="exact"/>
        <w:ind w:firstLine="640"/>
        <w:jc w:val="both"/>
      </w:pPr>
      <w:r>
        <w:rPr>
          <w:rFonts w:ascii="仿宋_GB2312" w:hAnsi="仿宋_GB2312" w:eastAsia="仿宋_GB2312"/>
          <w:b w:val="0"/>
          <w:sz w:val="32"/>
        </w:rPr>
        <w:t>12.住房保障支出(类)住房改革支出(款)住房公积金(项):支出决算数为38.61万元，比上年决算增加11.57万元，增长42.79%,主要原因是：本年在职人员增加，住房公积金支出较上年增加。</w:t>
      </w:r>
    </w:p>
    <w:p w14:paraId="7A0B6CE6">
      <w:pPr>
        <w:spacing w:line="640" w:lineRule="exact"/>
        <w:ind w:firstLine="640"/>
        <w:jc w:val="both"/>
        <w:outlineLvl w:val="2"/>
      </w:pPr>
      <w:r>
        <w:rPr>
          <w:rFonts w:ascii="黑体" w:hAnsi="黑体" w:eastAsia="黑体"/>
          <w:sz w:val="32"/>
        </w:rPr>
        <w:t>六、一般公共预算财政拨款基本支出决算情况说明</w:t>
      </w:r>
    </w:p>
    <w:p w14:paraId="1A4456E7">
      <w:pPr>
        <w:spacing w:line="580" w:lineRule="exact"/>
        <w:ind w:firstLine="640"/>
        <w:jc w:val="both"/>
      </w:pPr>
      <w:r>
        <w:rPr>
          <w:rFonts w:ascii="仿宋_GB2312" w:hAnsi="仿宋_GB2312" w:eastAsia="仿宋_GB2312"/>
          <w:b w:val="0"/>
          <w:sz w:val="32"/>
        </w:rPr>
        <w:t>2024年度一般公共预算财政拨款基本支出552.50万元，其中：</w:t>
      </w:r>
      <w:r>
        <w:rPr>
          <w:rFonts w:ascii="仿宋_GB2312" w:hAnsi="仿宋_GB2312" w:eastAsia="仿宋_GB2312"/>
          <w:b/>
          <w:sz w:val="32"/>
        </w:rPr>
        <w:t>人员经费543.21万元，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0F0C163B">
      <w:pPr>
        <w:spacing w:line="580" w:lineRule="exact"/>
        <w:ind w:firstLine="640"/>
        <w:jc w:val="both"/>
      </w:pPr>
      <w:r>
        <w:rPr>
          <w:rFonts w:ascii="仿宋_GB2312" w:hAnsi="仿宋_GB2312" w:eastAsia="仿宋_GB2312"/>
          <w:b/>
          <w:sz w:val="32"/>
        </w:rPr>
        <w:t>公用经费9.29万元，</w:t>
      </w:r>
      <w:r>
        <w:rPr>
          <w:rFonts w:ascii="仿宋_GB2312" w:hAnsi="仿宋_GB2312" w:eastAsia="仿宋_GB2312"/>
          <w:b w:val="0"/>
          <w:sz w:val="32"/>
        </w:rPr>
        <w:t>包括：办公费、电费、邮电费、差旅费、公务用车运行维护费。</w:t>
      </w:r>
    </w:p>
    <w:p w14:paraId="3E001022">
      <w:pPr>
        <w:spacing w:line="640" w:lineRule="exact"/>
        <w:ind w:firstLine="640"/>
        <w:jc w:val="both"/>
        <w:outlineLvl w:val="2"/>
      </w:pPr>
      <w:r>
        <w:rPr>
          <w:rFonts w:ascii="黑体" w:hAnsi="黑体" w:eastAsia="黑体"/>
          <w:sz w:val="32"/>
        </w:rPr>
        <w:t>七、政府性基金预算财政拨款收入支出决算情况说明</w:t>
      </w:r>
    </w:p>
    <w:p w14:paraId="6ABF8950">
      <w:pPr>
        <w:spacing w:line="580" w:lineRule="exact"/>
        <w:ind w:firstLine="640"/>
        <w:jc w:val="both"/>
      </w:pPr>
      <w:r>
        <w:rPr>
          <w:rFonts w:ascii="仿宋_GB2312" w:hAnsi="仿宋_GB2312" w:eastAsia="仿宋_GB2312"/>
          <w:b/>
          <w:sz w:val="32"/>
        </w:rPr>
        <w:t>2024年度政府性基金预算财政拨款收入总计3,437.37万元，</w:t>
      </w:r>
      <w:r>
        <w:rPr>
          <w:rFonts w:ascii="仿宋_GB2312" w:hAnsi="仿宋_GB2312" w:eastAsia="仿宋_GB2312"/>
          <w:b w:val="0"/>
          <w:sz w:val="32"/>
        </w:rPr>
        <w:t>其中：年初结转和结余0.00万元，本年收入3,437.37万元。</w:t>
      </w:r>
      <w:r>
        <w:rPr>
          <w:rFonts w:ascii="仿宋_GB2312" w:hAnsi="仿宋_GB2312" w:eastAsia="仿宋_GB2312"/>
          <w:b/>
          <w:sz w:val="32"/>
        </w:rPr>
        <w:t>政府性基金预算财政拨款支出总计3,437.37万元，</w:t>
      </w:r>
      <w:r>
        <w:rPr>
          <w:rFonts w:ascii="仿宋_GB2312" w:hAnsi="仿宋_GB2312" w:eastAsia="仿宋_GB2312"/>
          <w:b w:val="0"/>
          <w:sz w:val="32"/>
        </w:rPr>
        <w:t>其中：年末结转和结余0.00万元，本年支出3,437.37万元。</w:t>
      </w:r>
    </w:p>
    <w:p w14:paraId="59823A6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减少2,226.48万元，下降39.31%，主要原因是：本年减少疏勒县2023年化债类项目、疏勒县多式联运物流港（一期）项目。</w:t>
      </w:r>
      <w:r>
        <w:rPr>
          <w:rFonts w:ascii="仿宋_GB2312" w:hAnsi="仿宋_GB2312" w:eastAsia="仿宋_GB2312"/>
          <w:b/>
          <w:sz w:val="32"/>
        </w:rPr>
        <w:t>与年初预算相比，</w:t>
      </w:r>
      <w:r>
        <w:rPr>
          <w:rFonts w:ascii="仿宋_GB2312" w:hAnsi="仿宋_GB2312" w:eastAsia="仿宋_GB2312"/>
          <w:b w:val="0"/>
          <w:sz w:val="32"/>
        </w:rPr>
        <w:t>年初预算数25,739.55万元，决算数3,437.37万元，预决算差异率-86.65%，主要原因是：年中调减疏勒县多式联运物流港（一期）项目。</w:t>
      </w:r>
    </w:p>
    <w:p w14:paraId="2BBB976A">
      <w:pPr>
        <w:spacing w:line="580" w:lineRule="exact"/>
        <w:ind w:firstLine="640"/>
        <w:jc w:val="both"/>
      </w:pPr>
      <w:r>
        <w:rPr>
          <w:rFonts w:ascii="仿宋_GB2312" w:hAnsi="仿宋_GB2312" w:eastAsia="仿宋_GB2312"/>
          <w:b w:val="0"/>
          <w:sz w:val="32"/>
        </w:rPr>
        <w:t>政府性基金预算财政拨款支出3,437.37万元。</w:t>
      </w:r>
    </w:p>
    <w:p w14:paraId="4B9F44DD">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1.城乡社区支出(类)国有土地使用权出让收入安排的支出(款)农村基础设施建设支出(项):支出决算数为0.00万元，比上年决算减少403.40万元，下降100.00%,主要原因是：本年减少疏勒县2023年化债类项目。</w:t>
      </w:r>
    </w:p>
    <w:p w14:paraId="6AA95F15">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3,437.37万元，比上年决算减少1,823.08万元，下降34.66%,主要原因是：本年减少疏勒县多式联运物流港（一期）项目。</w:t>
      </w:r>
    </w:p>
    <w:p w14:paraId="60EBDB57">
      <w:pPr>
        <w:spacing w:line="640" w:lineRule="exact"/>
        <w:ind w:firstLine="640"/>
        <w:jc w:val="both"/>
        <w:outlineLvl w:val="2"/>
      </w:pPr>
      <w:r>
        <w:rPr>
          <w:rFonts w:ascii="黑体" w:hAnsi="黑体" w:eastAsia="黑体"/>
          <w:sz w:val="32"/>
        </w:rPr>
        <w:t>八、国有资本经营预算财政拨款收入支出决算情况说明</w:t>
      </w:r>
    </w:p>
    <w:p w14:paraId="36EB0D9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1AC52D">
      <w:pPr>
        <w:spacing w:line="640" w:lineRule="exact"/>
        <w:ind w:firstLine="640"/>
        <w:jc w:val="both"/>
        <w:outlineLvl w:val="2"/>
      </w:pPr>
      <w:r>
        <w:rPr>
          <w:rFonts w:ascii="黑体" w:hAnsi="黑体" w:eastAsia="黑体"/>
          <w:sz w:val="32"/>
        </w:rPr>
        <w:t>九、财政拨款“三公”经费支出决算情况说明</w:t>
      </w:r>
    </w:p>
    <w:p w14:paraId="1E997E5D">
      <w:pPr>
        <w:spacing w:line="580" w:lineRule="exact"/>
        <w:ind w:firstLine="640"/>
        <w:jc w:val="both"/>
      </w:pPr>
      <w:r>
        <w:rPr>
          <w:rFonts w:ascii="仿宋_GB2312" w:hAnsi="仿宋_GB2312" w:eastAsia="仿宋_GB2312"/>
          <w:b/>
          <w:sz w:val="32"/>
        </w:rPr>
        <w:t>2024年度财政拨款“三公”经费支出5.84万元，</w:t>
      </w:r>
      <w:r>
        <w:rPr>
          <w:rFonts w:ascii="仿宋_GB2312" w:hAnsi="仿宋_GB2312" w:eastAsia="仿宋_GB2312"/>
          <w:b w:val="0"/>
          <w:sz w:val="32"/>
        </w:rPr>
        <w:t>比上年减少0.38万元，下降6.11%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5.84万元，占100.00%，比上年减少0.38万元，下降6.11%，主要原因是：严格落实中央八项规定精神，厉行节约，减少公务用车运行维护费。公务接待费支出0.00万元，占0.00%，比上年增加0.00万元，增长0.00%，主要原因是：2023年与2024年均未安排公务接待费支出。</w:t>
      </w:r>
    </w:p>
    <w:p w14:paraId="4FD77EF2">
      <w:pPr>
        <w:spacing w:line="580" w:lineRule="exact"/>
        <w:ind w:firstLine="640"/>
        <w:jc w:val="both"/>
      </w:pPr>
      <w:r>
        <w:rPr>
          <w:rFonts w:ascii="仿宋_GB2312" w:hAnsi="仿宋_GB2312" w:eastAsia="仿宋_GB2312"/>
          <w:b/>
          <w:sz w:val="32"/>
        </w:rPr>
        <w:t>具体情况如下：</w:t>
      </w:r>
    </w:p>
    <w:p w14:paraId="10A87C2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BB56F4">
      <w:pPr>
        <w:spacing w:line="580" w:lineRule="exact"/>
        <w:ind w:firstLine="640"/>
        <w:jc w:val="both"/>
      </w:pPr>
      <w:r>
        <w:rPr>
          <w:rFonts w:ascii="仿宋_GB2312" w:hAnsi="仿宋_GB2312" w:eastAsia="仿宋_GB2312"/>
          <w:b w:val="0"/>
          <w:sz w:val="32"/>
        </w:rPr>
        <w:t>公务用车购置及运行维护费5.84万元，其中：公务用车购置费0.00万元，公务用车运行维护费5.84万元。公务用车运行维护费开支内容包括车辆加油费、维修费、保险费、审车费。公务用车购置数0辆，公务用车保有量5辆。国有资产占用情况中固定资产车辆5辆，与公务用车保有量差异原因是：本单位固定资产车辆与公务用车保有量一致无差异。</w:t>
      </w:r>
    </w:p>
    <w:p w14:paraId="515BEDC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DA40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6.22万元，决算数5.84万元，预决算差异率-6.11%，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6.22万元，决算数5.84万元，预决算差异率-6.11%，主要原因是：严格落实中央八项规定精神，厉行节约，减少公务用车使用频次，燃油费减少。公务接待费全年预算数0.00万元，决算数0.00万元，预决算差异率0.00%，主要原因是：本单位无公务接待费。</w:t>
      </w:r>
    </w:p>
    <w:p w14:paraId="33AA64E4">
      <w:pPr>
        <w:spacing w:line="640" w:lineRule="exact"/>
        <w:ind w:firstLine="640"/>
        <w:jc w:val="both"/>
        <w:outlineLvl w:val="2"/>
      </w:pPr>
      <w:r>
        <w:rPr>
          <w:rFonts w:ascii="黑体" w:hAnsi="黑体" w:eastAsia="黑体"/>
          <w:sz w:val="32"/>
        </w:rPr>
        <w:t>十、其他重要事项的情况说明</w:t>
      </w:r>
    </w:p>
    <w:p w14:paraId="19151A2A">
      <w:pPr>
        <w:spacing w:line="640" w:lineRule="exact"/>
        <w:ind w:firstLine="640"/>
        <w:jc w:val="both"/>
        <w:outlineLvl w:val="3"/>
      </w:pPr>
      <w:r>
        <w:rPr>
          <w:rFonts w:ascii="楷体_GB2312" w:hAnsi="楷体_GB2312" w:eastAsia="楷体_GB2312"/>
          <w:b/>
          <w:sz w:val="32"/>
        </w:rPr>
        <w:t>（一）机关运行经费及公用经费支出情况</w:t>
      </w:r>
    </w:p>
    <w:p w14:paraId="4A11DF91">
      <w:pPr>
        <w:spacing w:line="580" w:lineRule="exact"/>
        <w:ind w:firstLine="640"/>
        <w:jc w:val="both"/>
      </w:pPr>
      <w:r>
        <w:rPr>
          <w:rFonts w:ascii="仿宋_GB2312" w:hAnsi="仿宋_GB2312" w:eastAsia="仿宋_GB2312"/>
          <w:b w:val="0"/>
          <w:sz w:val="32"/>
        </w:rPr>
        <w:t>2024年度疏勒南疆齐鲁工业园区管理委员会（事业单位）公用经费支出9.29万元，比上年减少7.19万元，下降43.63%，主要原因是：严格控制</w:t>
      </w:r>
      <w:bookmarkStart w:id="0" w:name="_GoBack"/>
      <w:r>
        <w:rPr>
          <w:rFonts w:ascii="仿宋_GB2312" w:hAnsi="仿宋_GB2312" w:eastAsia="仿宋_GB2312"/>
          <w:b w:val="0"/>
          <w:sz w:val="32"/>
        </w:rPr>
        <w:t>公用经费，合理节约办公用品，减少不必要开支。</w:t>
      </w:r>
    </w:p>
    <w:bookmarkEnd w:id="0"/>
    <w:p w14:paraId="5AE5E76D">
      <w:pPr>
        <w:spacing w:line="640" w:lineRule="exact"/>
        <w:ind w:firstLine="640"/>
        <w:jc w:val="both"/>
        <w:outlineLvl w:val="3"/>
      </w:pPr>
      <w:r>
        <w:rPr>
          <w:rFonts w:ascii="楷体_GB2312" w:hAnsi="楷体_GB2312" w:eastAsia="楷体_GB2312"/>
          <w:b/>
          <w:sz w:val="32"/>
        </w:rPr>
        <w:t>（二）政府采购情况</w:t>
      </w:r>
    </w:p>
    <w:p w14:paraId="263ABDCF">
      <w:pPr>
        <w:spacing w:line="580" w:lineRule="exact"/>
        <w:ind w:firstLine="640"/>
        <w:jc w:val="both"/>
      </w:pPr>
      <w:r>
        <w:rPr>
          <w:rFonts w:ascii="仿宋_GB2312" w:hAnsi="仿宋_GB2312" w:eastAsia="仿宋_GB2312"/>
          <w:b w:val="0"/>
          <w:sz w:val="32"/>
        </w:rPr>
        <w:t>2024年度政府采购支出总额1,176.90万元，其中：政府采购货物支出190.73万元、政府采购工程支出605.40万元、政府采购服务支出380.78万元。</w:t>
      </w:r>
    </w:p>
    <w:p w14:paraId="3F7F4AAB">
      <w:pPr>
        <w:spacing w:line="580" w:lineRule="exact"/>
        <w:ind w:firstLine="640"/>
        <w:jc w:val="both"/>
      </w:pPr>
      <w:r>
        <w:rPr>
          <w:rFonts w:ascii="仿宋_GB2312" w:hAnsi="仿宋_GB2312" w:eastAsia="仿宋_GB2312"/>
          <w:b w:val="0"/>
          <w:sz w:val="32"/>
        </w:rPr>
        <w:t>授予中小企业合同金额961.43万元，占政府采购支出总额的81.69%，其中：授予小微企业合同金额191.65万元，占政府采购支出总额的16.28%。</w:t>
      </w:r>
    </w:p>
    <w:p w14:paraId="4090132A">
      <w:pPr>
        <w:spacing w:line="640" w:lineRule="exact"/>
        <w:ind w:firstLine="640"/>
        <w:jc w:val="both"/>
        <w:outlineLvl w:val="3"/>
      </w:pPr>
      <w:r>
        <w:rPr>
          <w:rFonts w:ascii="楷体_GB2312" w:hAnsi="楷体_GB2312" w:eastAsia="楷体_GB2312"/>
          <w:b/>
          <w:sz w:val="32"/>
        </w:rPr>
        <w:t>（三）国有资产占用情况说明</w:t>
      </w:r>
    </w:p>
    <w:p w14:paraId="0A30C63A">
      <w:pPr>
        <w:spacing w:line="580" w:lineRule="exact"/>
        <w:ind w:firstLine="640"/>
        <w:jc w:val="both"/>
      </w:pPr>
      <w:r>
        <w:rPr>
          <w:rFonts w:ascii="仿宋_GB2312" w:hAnsi="仿宋_GB2312" w:eastAsia="仿宋_GB2312"/>
          <w:b w:val="0"/>
          <w:sz w:val="32"/>
        </w:rPr>
        <w:t>截至2024年12月31日，房屋3,670.00平方米，价值522.38万元。车辆5辆，价值165.70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6台（套）。</w:t>
      </w:r>
    </w:p>
    <w:p w14:paraId="51B1FA2B">
      <w:pPr>
        <w:spacing w:line="640" w:lineRule="exact"/>
        <w:ind w:firstLine="640"/>
        <w:jc w:val="both"/>
        <w:outlineLvl w:val="2"/>
      </w:pPr>
      <w:r>
        <w:rPr>
          <w:rFonts w:ascii="黑体" w:hAnsi="黑体" w:eastAsia="黑体"/>
          <w:sz w:val="32"/>
        </w:rPr>
        <w:t>十一、预算绩效的情况说明</w:t>
      </w:r>
    </w:p>
    <w:p w14:paraId="599802C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根据预算绩效管理要求，本单位2024年度预算绩效管理形成整体支出绩效自评表1个，全年预算总额5,461.92万元，实际执行总额5,461.92万元；预算绩效评价项目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22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569.08</w:t>
      </w:r>
      <w:r>
        <w:rPr>
          <w:rFonts w:ascii="仿宋_GB2312" w:hAnsi="仿宋_GB2312" w:eastAsia="仿宋_GB2312"/>
          <w:b w:val="0"/>
          <w:sz w:val="32"/>
        </w:rPr>
        <w:t>万元，全年执行数</w:t>
      </w:r>
      <w:r>
        <w:rPr>
          <w:rFonts w:hint="eastAsia" w:ascii="仿宋_GB2312" w:hAnsi="仿宋_GB2312" w:eastAsia="仿宋_GB2312"/>
          <w:b w:val="0"/>
          <w:sz w:val="32"/>
        </w:rPr>
        <w:t>19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414.6</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部门绩效管理不够科学。单位对项目绩效目标的设定和各项指标的理解、认识不到位，导致项目绩效目标不够明确、不够细化、不够量化、缺乏可衡量性和可实现性。二是目标设定不够合理。部门在设定绩效目标时，往往是把年度工作计划或总结中的重点内容直接用来作为绩效目标，或者在设定绩效目标时沿用工作计划或总结中的语言模式，指标设定不科学，依据不充分。三是绩效管理经验不足。部分业务人员绩效管理意识有待增强，未能全面深入认识理解绩效管理工作的意义。绩效管理经验不足，预算绩效管理工作有待进一步落实。下一步改进措施：一是提高对预算绩效管理的认识，充分理解财政绩效评价指标体系、注重绩效目标，评价指标的关联性，更加科学合理地确定部门绩效目标和评价目标。二是强化全过程预算绩效管理理念，突出绩效指标的重要性和综合性。三是强化部门预算约束细化预算编制，严格预算执行，合理制定项目方案和计划，减少预算执行中的项目预算调整和结余。四是加大绩效工作宣传力度，强化绩效理念。五是完善绩效指标，提高整体绩效目标质量。提升预算精细化管理水平。六是继续完善预算绩效管理相关工作制度，建立全过程预算绩效管理链条，有效贯彻落实全面实施绩效管理的精神。具体附整体支出绩效自评表，项目支出绩效自评表和评价报告。</w:t>
      </w:r>
    </w:p>
    <w:p w14:paraId="53D07A2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F4B3E3">
        <w:tblPrEx>
          <w:tblCellMar>
            <w:top w:w="0" w:type="dxa"/>
            <w:left w:w="108" w:type="dxa"/>
            <w:bottom w:w="0" w:type="dxa"/>
            <w:right w:w="108" w:type="dxa"/>
          </w:tblCellMar>
        </w:tblPrEx>
        <w:tc>
          <w:tcPr>
            <w:tcW w:w="8847" w:type="dxa"/>
            <w:gridSpan w:val="9"/>
            <w:vAlign w:val="center"/>
          </w:tcPr>
          <w:p w14:paraId="265BA073">
            <w:pPr>
              <w:jc w:val="center"/>
            </w:pPr>
            <w:r>
              <w:rPr>
                <w:rFonts w:ascii="宋体" w:hAnsi="宋体" w:eastAsia="宋体"/>
                <w:sz w:val="24"/>
              </w:rPr>
              <w:t>单位整体支出绩效自评表</w:t>
            </w:r>
          </w:p>
        </w:tc>
      </w:tr>
      <w:tr w14:paraId="1E1E4E2E">
        <w:tblPrEx>
          <w:tblCellMar>
            <w:top w:w="0" w:type="dxa"/>
            <w:left w:w="108" w:type="dxa"/>
            <w:bottom w:w="0" w:type="dxa"/>
            <w:right w:w="108" w:type="dxa"/>
          </w:tblCellMar>
        </w:tblPrEx>
        <w:tc>
          <w:tcPr>
            <w:tcW w:w="8847" w:type="dxa"/>
            <w:gridSpan w:val="9"/>
            <w:vAlign w:val="center"/>
          </w:tcPr>
          <w:p w14:paraId="6BC48CF6">
            <w:pPr>
              <w:jc w:val="center"/>
            </w:pPr>
            <w:r>
              <w:rPr>
                <w:rFonts w:ascii="宋体" w:hAnsi="宋体" w:eastAsia="宋体"/>
                <w:sz w:val="24"/>
              </w:rPr>
              <w:t>（2024年度）</w:t>
            </w:r>
          </w:p>
        </w:tc>
      </w:tr>
      <w:tr w14:paraId="52EC6E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352D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5206FC">
            <w:pPr>
              <w:jc w:val="center"/>
            </w:pPr>
            <w:r>
              <w:rPr>
                <w:rFonts w:ascii="宋体" w:hAnsi="宋体" w:eastAsia="宋体"/>
                <w:sz w:val="16"/>
              </w:rPr>
              <w:t>疏勒南疆齐鲁工业园区管理委员会</w:t>
            </w:r>
          </w:p>
        </w:tc>
      </w:tr>
      <w:tr w14:paraId="5D421C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6977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10AD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5313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C913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3C3E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086E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3A43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D1494">
            <w:pPr>
              <w:jc w:val="center"/>
            </w:pPr>
            <w:r>
              <w:rPr>
                <w:rFonts w:ascii="宋体" w:hAnsi="宋体" w:eastAsia="宋体"/>
                <w:sz w:val="16"/>
              </w:rPr>
              <w:t>得分</w:t>
            </w:r>
          </w:p>
        </w:tc>
      </w:tr>
      <w:tr w14:paraId="23E05F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262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A446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D03D5">
            <w:pPr>
              <w:jc w:val="center"/>
            </w:pPr>
            <w:r>
              <w:rPr>
                <w:rFonts w:ascii="宋体" w:hAnsi="宋体" w:eastAsia="宋体"/>
                <w:sz w:val="16"/>
              </w:rPr>
              <w:t>26,979.02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F7373">
            <w:pPr>
              <w:jc w:val="center"/>
            </w:pPr>
            <w:r>
              <w:rPr>
                <w:rFonts w:ascii="宋体" w:hAnsi="宋体" w:eastAsia="宋体"/>
                <w:sz w:val="16"/>
              </w:rPr>
              <w:t>5,461.92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13E85">
            <w:pPr>
              <w:jc w:val="center"/>
            </w:pPr>
            <w:r>
              <w:rPr>
                <w:rFonts w:ascii="宋体" w:hAnsi="宋体" w:eastAsia="宋体"/>
                <w:sz w:val="16"/>
              </w:rPr>
              <w:t>5,461.92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A03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13F7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C0124">
            <w:pPr>
              <w:jc w:val="center"/>
            </w:pPr>
            <w:r>
              <w:rPr>
                <w:rFonts w:ascii="宋体" w:hAnsi="宋体" w:eastAsia="宋体"/>
                <w:sz w:val="16"/>
              </w:rPr>
              <w:t>10</w:t>
            </w:r>
          </w:p>
        </w:tc>
      </w:tr>
      <w:tr w14:paraId="3473FA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8F4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18E3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7CC07">
            <w:pPr>
              <w:jc w:val="center"/>
            </w:pPr>
            <w:r>
              <w:rPr>
                <w:rFonts w:ascii="宋体" w:hAnsi="宋体" w:eastAsia="宋体"/>
                <w:sz w:val="16"/>
              </w:rPr>
              <w:t>25,739.55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453D3">
            <w:pPr>
              <w:jc w:val="center"/>
            </w:pPr>
            <w:r>
              <w:rPr>
                <w:rFonts w:ascii="宋体" w:hAnsi="宋体" w:eastAsia="宋体"/>
                <w:sz w:val="16"/>
              </w:rPr>
              <w:t>3,437.37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B97EA">
            <w:pPr>
              <w:jc w:val="center"/>
            </w:pPr>
            <w:r>
              <w:rPr>
                <w:rFonts w:ascii="宋体" w:hAnsi="宋体" w:eastAsia="宋体"/>
                <w:sz w:val="16"/>
              </w:rPr>
              <w:t>3,437.37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2D0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A2DE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9B85">
            <w:pPr>
              <w:jc w:val="center"/>
            </w:pPr>
            <w:r>
              <w:rPr>
                <w:rFonts w:ascii="宋体" w:hAnsi="宋体" w:eastAsia="宋体"/>
                <w:sz w:val="16"/>
              </w:rPr>
              <w:t>—</w:t>
            </w:r>
          </w:p>
        </w:tc>
      </w:tr>
      <w:tr w14:paraId="73D9FD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EC9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4E60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27FF8">
            <w:pPr>
              <w:jc w:val="center"/>
            </w:pPr>
            <w:r>
              <w:rPr>
                <w:rFonts w:ascii="宋体" w:hAnsi="宋体" w:eastAsia="宋体"/>
                <w:sz w:val="16"/>
              </w:rPr>
              <w:t>1,239.47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E262C">
            <w:pPr>
              <w:jc w:val="center"/>
            </w:pPr>
            <w:r>
              <w:rPr>
                <w:rFonts w:ascii="宋体" w:hAnsi="宋体" w:eastAsia="宋体"/>
                <w:sz w:val="16"/>
              </w:rPr>
              <w:t>858.92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A1804">
            <w:pPr>
              <w:jc w:val="center"/>
            </w:pPr>
            <w:r>
              <w:rPr>
                <w:rFonts w:ascii="宋体" w:hAnsi="宋体" w:eastAsia="宋体"/>
                <w:sz w:val="16"/>
              </w:rPr>
              <w:t>858.92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7B0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79E7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4286">
            <w:pPr>
              <w:jc w:val="center"/>
            </w:pPr>
            <w:r>
              <w:rPr>
                <w:rFonts w:ascii="宋体" w:hAnsi="宋体" w:eastAsia="宋体"/>
                <w:sz w:val="16"/>
              </w:rPr>
              <w:t>—</w:t>
            </w:r>
          </w:p>
        </w:tc>
      </w:tr>
      <w:tr w14:paraId="3207C6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ECA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273F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02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ACB8">
            <w:pPr>
              <w:jc w:val="center"/>
            </w:pPr>
            <w:r>
              <w:rPr>
                <w:rFonts w:ascii="宋体" w:hAnsi="宋体" w:eastAsia="宋体"/>
                <w:sz w:val="16"/>
              </w:rPr>
              <w:t>1,165.63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DDDC9">
            <w:pPr>
              <w:jc w:val="center"/>
            </w:pPr>
            <w:r>
              <w:rPr>
                <w:rFonts w:ascii="宋体" w:hAnsi="宋体" w:eastAsia="宋体"/>
                <w:sz w:val="16"/>
              </w:rPr>
              <w:t>1,165.63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7DC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4F2A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C5FCE">
            <w:pPr>
              <w:jc w:val="center"/>
            </w:pPr>
            <w:r>
              <w:rPr>
                <w:rFonts w:ascii="宋体" w:hAnsi="宋体" w:eastAsia="宋体"/>
                <w:sz w:val="16"/>
              </w:rPr>
              <w:t>—</w:t>
            </w:r>
          </w:p>
        </w:tc>
      </w:tr>
      <w:tr w14:paraId="711E5E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852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C6AE0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C8428">
            <w:pPr>
              <w:jc w:val="center"/>
            </w:pPr>
            <w:r>
              <w:rPr>
                <w:rFonts w:ascii="宋体" w:hAnsi="宋体" w:eastAsia="宋体"/>
                <w:sz w:val="16"/>
              </w:rPr>
              <w:t>实际完成情况</w:t>
            </w:r>
          </w:p>
        </w:tc>
      </w:tr>
      <w:tr w14:paraId="638C3F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3F28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D72520">
            <w:pPr>
              <w:jc w:val="both"/>
            </w:pPr>
            <w:r>
              <w:rPr>
                <w:rFonts w:hint="eastAsia" w:ascii="宋体" w:hAnsi="宋体"/>
                <w:sz w:val="16"/>
                <w:lang w:eastAsia="zh-CN"/>
              </w:rPr>
              <w:t>1.</w:t>
            </w:r>
            <w:r>
              <w:rPr>
                <w:rFonts w:ascii="宋体" w:hAnsi="宋体" w:eastAsia="宋体"/>
                <w:sz w:val="16"/>
              </w:rPr>
              <w:t>明确重点任务，加快推进重点项目。一是推进疏勒高新技术产业开发区“以升促建”争创国家级高新技术产业开发区。二是实施化工产业集聚区建设项目。三是实施表面处理园区建设项目。四是推进兵地合作产业示范园建设。五是实施喀什南国际陆港项目。六是实施生物医药产业园项目</w:t>
            </w:r>
            <w:r>
              <w:rPr>
                <w:rFonts w:hint="eastAsia" w:ascii="宋体" w:hAnsi="宋体"/>
                <w:sz w:val="16"/>
                <w:lang w:eastAsia="zh-CN"/>
              </w:rPr>
              <w:t>，</w:t>
            </w:r>
            <w:r>
              <w:rPr>
                <w:rFonts w:ascii="宋体" w:hAnsi="宋体" w:eastAsia="宋体"/>
                <w:sz w:val="16"/>
              </w:rPr>
              <w:t>七是实施数字经济产业园建设项目。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2、明确主攻方向，增强招</w:t>
            </w:r>
            <w:r>
              <w:rPr>
                <w:rFonts w:hint="eastAsia" w:ascii="宋体" w:hAnsi="宋体"/>
                <w:sz w:val="16"/>
                <w:lang w:eastAsia="zh-CN"/>
              </w:rPr>
              <w:t>商引资</w:t>
            </w:r>
            <w:r>
              <w:rPr>
                <w:rFonts w:ascii="宋体" w:hAnsi="宋体" w:eastAsia="宋体"/>
                <w:sz w:val="16"/>
              </w:rPr>
              <w:t>成效。一是聚焦化工、钢铁、医药、新材料等重点区域全力突破，努力把好的项目和企业引进来。二是强化延链补链。以喀钢等龙头企业为链头，使产业链尽可能在园区内向上下游延伸，努力在园区内构建大中小企业密切配合、吸引企业进驻园区。三是加大招商力度。强化招商业务培训，开展多种方式招商，力争在引进大项目、好项目上取得重大突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强化服务保障，营造一流营商环境。加大服务支持力度，切实完善工作协调机制。一是着力帮扶企业发展。二是着力化解融资难题。完善政、银、企三方协调机制，着力破解工业企业融资瓶颈。三是着力开展人才工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大企业的培育孵化，增强内生动力。一是大力推进“小升规”工作制定园区企业年度培育目标任务，做好企业服务。二是积极开展高新技术企业培训、加大对企业科技扶持资金的投入，增加企业创新干事的热情；三是推进</w:t>
            </w:r>
            <w:r>
              <w:rPr>
                <w:rFonts w:hint="eastAsia" w:ascii="宋体" w:hAnsi="宋体"/>
                <w:sz w:val="16"/>
                <w:lang w:eastAsia="zh-CN"/>
              </w:rPr>
              <w:t>几个</w:t>
            </w:r>
            <w:r>
              <w:rPr>
                <w:rFonts w:ascii="宋体" w:hAnsi="宋体" w:eastAsia="宋体"/>
                <w:sz w:val="16"/>
              </w:rPr>
              <w:t>重点项目。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CCE9AF">
            <w:pPr>
              <w:jc w:val="both"/>
            </w:pPr>
            <w:r>
              <w:rPr>
                <w:rFonts w:ascii="宋体" w:hAnsi="宋体" w:eastAsia="宋体"/>
                <w:sz w:val="16"/>
              </w:rPr>
              <w:t>1、一是强化产业培育。装备制造及配套产业占全县规上工业经济总量的39.18%、金属冶炼产业占37.73%、化工医药产业占1.6%、其他产业占21.48%。二是强化企业培育。积极培育8家潜力企业入规，三是加强经济运行调度。强化经济运行指导，园区工业经济仍保持较好的发展势头。2024年1</w:t>
            </w:r>
            <w:r>
              <w:rPr>
                <w:rFonts w:hint="eastAsia" w:ascii="宋体" w:hAnsi="宋体"/>
                <w:sz w:val="16"/>
                <w:lang w:eastAsia="zh-CN"/>
              </w:rPr>
              <w:t>—</w:t>
            </w:r>
            <w:r>
              <w:rPr>
                <w:rFonts w:ascii="宋体" w:hAnsi="宋体" w:eastAsia="宋体"/>
                <w:sz w:val="16"/>
              </w:rPr>
              <w:t>11月完成规上工业增加值7.35亿元；今年完成工业总产值70亿元，工业增加值10亿元，其中，规模以上工业总产值58.75亿元，工业增加值8.8亿元；园区营业收入115亿元以上；2024年规模以上工业企业达到70家。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一是加强招商引资。2024年落地项目66个，其中新建项目38个，续建项目28个，招商引资到位资金44.11亿元、同比增长300%，完成工业固定投资19.8亿元、同比增长155%。二是抓好外贸工作。吸引了一批对外贸易企业在疏勒注册落户，园区外向型企业达到45家，全年外贸额实现3.6亿元、增长166.67%，其中，地产品出口企业14家，进口资源加工企业2家，进口资源转换加工实现零的突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一是强化科技创新。建立80家高新技术企业培育后备库，联合县科技、工信、人社、税务、统计举办科技政策解读培训班，2024年获批知识产权93项，其中，发明专利3项，实用型专利88项，外观型专利2项，累计获批知识产权299项，发明专利17项，实用性专利260项，外观型专利17项，软件著作权5项；2024年新增高新技术企业33家、达到41家、增长412.5%，新增科技型中小企业24家、达到43家、增长126.3%，新增创新型中小企业4家、达到11家、增长57.14%，新增“专精特新”企业2家、达到4家、增长33.3%，新增自治区级企业技术中心2家、达到3家、增长200%，现有科技创新平台1个。二是推进兵地融合发展。组织草湖项目区开展园区产品推介会2场次，新疆喀钢集团与草湖项目区签订了供货框架协议，同时积极动员县域在建项目使用园区产品，签订合同订单9910.8万元，达成意向合同订单1亿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一是推进历史遗留问题解决。结合园区255家企业的消防验收审核工作，做好对企服务工作，同步进行企业规划验收、房屋安全鉴定、不动产证办理等历史遗留问题解决。二是有效解决拖欠中小企业欠款问题。多次召开党工委会议研究，积极争取县委、县政府支持，多措化解，2024年已解决拖欠欠款800余万元。三是稳用工保就业。联合人社局等部门共同整合资源，通过专场招聘、送岗下乡、劳务协作等多种方式，为劳动者求职就业和企业招聘用人提供及时有效的常态化、精细化、专业化服务，2024年通过专场招聘会为企业提供1000余名工人，累计吸纳就业3万余人。</w:t>
            </w:r>
          </w:p>
        </w:tc>
      </w:tr>
      <w:tr w14:paraId="26609D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6527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E037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9362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5109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E195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7996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9DF0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A7F9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F8EB9">
            <w:pPr>
              <w:jc w:val="center"/>
            </w:pPr>
            <w:r>
              <w:rPr>
                <w:rFonts w:ascii="宋体" w:hAnsi="宋体" w:eastAsia="宋体"/>
                <w:sz w:val="16"/>
              </w:rPr>
              <w:t>得分</w:t>
            </w:r>
          </w:p>
        </w:tc>
      </w:tr>
      <w:tr w14:paraId="7F0881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D14A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FEFC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63413">
            <w:pPr>
              <w:jc w:val="center"/>
            </w:pPr>
            <w:r>
              <w:rPr>
                <w:rFonts w:ascii="宋体" w:hAnsi="宋体" w:eastAsia="宋体"/>
                <w:sz w:val="16"/>
              </w:rPr>
              <w:t>召开规范生产会议次数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22AA6">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973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ED2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F6B94">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50D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23DBD">
            <w:pPr>
              <w:jc w:val="center"/>
            </w:pPr>
            <w:r>
              <w:rPr>
                <w:rFonts w:ascii="宋体" w:hAnsi="宋体" w:eastAsia="宋体"/>
                <w:sz w:val="16"/>
              </w:rPr>
              <w:t>20</w:t>
            </w:r>
          </w:p>
        </w:tc>
      </w:tr>
      <w:tr w14:paraId="5FA6F5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043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9F3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A354C">
            <w:pPr>
              <w:jc w:val="center"/>
            </w:pPr>
            <w:r>
              <w:rPr>
                <w:rFonts w:ascii="宋体" w:hAnsi="宋体" w:eastAsia="宋体"/>
                <w:sz w:val="16"/>
              </w:rPr>
              <w:t>服务企业数量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6E74E">
            <w:pPr>
              <w:jc w:val="center"/>
            </w:pPr>
            <w:r>
              <w:rPr>
                <w:rFonts w:ascii="宋体" w:hAnsi="宋体" w:eastAsia="宋体"/>
                <w:sz w:val="16"/>
              </w:rPr>
              <w:t>&gt;=800家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8D29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6F36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DD748">
            <w:pPr>
              <w:jc w:val="center"/>
            </w:pPr>
            <w:r>
              <w:rPr>
                <w:rFonts w:ascii="宋体" w:hAnsi="宋体" w:eastAsia="宋体"/>
                <w:sz w:val="16"/>
              </w:rPr>
              <w:t>800家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E22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37492">
            <w:pPr>
              <w:jc w:val="center"/>
            </w:pPr>
            <w:r>
              <w:rPr>
                <w:rFonts w:ascii="宋体" w:hAnsi="宋体" w:eastAsia="宋体"/>
                <w:sz w:val="16"/>
              </w:rPr>
              <w:t>20</w:t>
            </w:r>
          </w:p>
        </w:tc>
      </w:tr>
      <w:tr w14:paraId="7D0CF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0AD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64FD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5F940">
            <w:pPr>
              <w:jc w:val="center"/>
            </w:pPr>
            <w:r>
              <w:rPr>
                <w:rFonts w:ascii="宋体" w:hAnsi="宋体" w:eastAsia="宋体"/>
                <w:sz w:val="16"/>
              </w:rPr>
              <w:t>整治僵尸企业个数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C04C6">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461A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2C83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8EF1E">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CDB0C">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F627A">
            <w:pPr>
              <w:jc w:val="center"/>
            </w:pPr>
            <w:r>
              <w:rPr>
                <w:rFonts w:ascii="宋体" w:hAnsi="宋体" w:eastAsia="宋体"/>
                <w:sz w:val="16"/>
              </w:rPr>
              <w:t>5</w:t>
            </w:r>
          </w:p>
        </w:tc>
      </w:tr>
      <w:tr w14:paraId="7329DC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5AD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B98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31F51">
            <w:pPr>
              <w:jc w:val="center"/>
            </w:pPr>
            <w:r>
              <w:rPr>
                <w:rFonts w:ascii="宋体" w:hAnsi="宋体" w:eastAsia="宋体"/>
                <w:sz w:val="16"/>
              </w:rPr>
              <w:t>招商活动的签约项目个数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89E4A">
            <w:pPr>
              <w:jc w:val="center"/>
            </w:pPr>
            <w:r>
              <w:rPr>
                <w:rFonts w:ascii="宋体" w:hAnsi="宋体" w:eastAsia="宋体"/>
                <w:sz w:val="16"/>
              </w:rPr>
              <w:t>&gt;=5个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24ED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0CC1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72606">
            <w:pPr>
              <w:jc w:val="center"/>
            </w:pPr>
            <w:r>
              <w:rPr>
                <w:rFonts w:ascii="宋体" w:hAnsi="宋体" w:eastAsia="宋体"/>
                <w:sz w:val="16"/>
              </w:rPr>
              <w:t>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ED8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B63DB">
            <w:pPr>
              <w:jc w:val="center"/>
            </w:pPr>
            <w:r>
              <w:rPr>
                <w:rFonts w:ascii="宋体" w:hAnsi="宋体" w:eastAsia="宋体"/>
                <w:sz w:val="16"/>
              </w:rPr>
              <w:t>5</w:t>
            </w:r>
          </w:p>
        </w:tc>
      </w:tr>
      <w:tr w14:paraId="519B89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686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4A9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A148F">
            <w:pPr>
              <w:jc w:val="center"/>
            </w:pPr>
            <w:r>
              <w:rPr>
                <w:rFonts w:ascii="宋体" w:hAnsi="宋体" w:eastAsia="宋体"/>
                <w:sz w:val="16"/>
              </w:rPr>
              <w:t>规模以上企业数量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ADA31">
            <w:pPr>
              <w:jc w:val="center"/>
            </w:pPr>
            <w:r>
              <w:rPr>
                <w:rFonts w:ascii="宋体" w:hAnsi="宋体" w:eastAsia="宋体"/>
                <w:sz w:val="16"/>
              </w:rPr>
              <w:t>&gt;=60家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EA33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EBFF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93BB8">
            <w:pPr>
              <w:jc w:val="center"/>
            </w:pPr>
            <w:r>
              <w:rPr>
                <w:rFonts w:ascii="宋体" w:hAnsi="宋体" w:eastAsia="宋体"/>
                <w:sz w:val="16"/>
              </w:rPr>
              <w:t>61家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090CC">
            <w:pPr>
              <w:jc w:val="center"/>
            </w:pPr>
            <w:r>
              <w:rPr>
                <w:rFonts w:ascii="宋体" w:hAnsi="宋体" w:eastAsia="宋体"/>
                <w:sz w:val="16"/>
              </w:rPr>
              <w:t>101.67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4E413">
            <w:pPr>
              <w:jc w:val="center"/>
            </w:pPr>
            <w:r>
              <w:rPr>
                <w:rFonts w:ascii="宋体" w:hAnsi="宋体" w:eastAsia="宋体"/>
                <w:sz w:val="16"/>
              </w:rPr>
              <w:t>15</w:t>
            </w:r>
          </w:p>
        </w:tc>
      </w:tr>
      <w:tr w14:paraId="4898FB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743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ED0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8521D">
            <w:pPr>
              <w:jc w:val="center"/>
            </w:pPr>
            <w:r>
              <w:rPr>
                <w:rFonts w:ascii="宋体" w:hAnsi="宋体" w:eastAsia="宋体"/>
                <w:sz w:val="16"/>
              </w:rPr>
              <w:t>新增就业人数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0BC62">
            <w:pPr>
              <w:jc w:val="center"/>
            </w:pPr>
            <w:r>
              <w:rPr>
                <w:rFonts w:ascii="宋体" w:hAnsi="宋体" w:eastAsia="宋体"/>
                <w:sz w:val="16"/>
              </w:rPr>
              <w:t>&gt;=1600人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CE3D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164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B46DB">
            <w:pPr>
              <w:jc w:val="center"/>
            </w:pPr>
            <w:r>
              <w:rPr>
                <w:rFonts w:ascii="宋体" w:hAnsi="宋体" w:eastAsia="宋体"/>
                <w:sz w:val="16"/>
              </w:rPr>
              <w:t>1600人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989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9D9A7">
            <w:pPr>
              <w:jc w:val="center"/>
            </w:pPr>
            <w:r>
              <w:rPr>
                <w:rFonts w:ascii="宋体" w:hAnsi="宋体" w:eastAsia="宋体"/>
                <w:sz w:val="16"/>
              </w:rPr>
              <w:t>20</w:t>
            </w:r>
          </w:p>
        </w:tc>
      </w:tr>
      <w:tr w14:paraId="29F7AB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446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74C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FAE4D">
            <w:pPr>
              <w:jc w:val="center"/>
            </w:pPr>
            <w:r>
              <w:rPr>
                <w:rFonts w:ascii="宋体" w:hAnsi="宋体" w:eastAsia="宋体"/>
                <w:sz w:val="16"/>
              </w:rPr>
              <w:t>开展高新技术企业培训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17C3">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E766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CC2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04C8E">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540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5D7D5">
            <w:pPr>
              <w:jc w:val="center"/>
            </w:pPr>
            <w:r>
              <w:rPr>
                <w:rFonts w:ascii="宋体" w:hAnsi="宋体" w:eastAsia="宋体"/>
                <w:sz w:val="16"/>
              </w:rPr>
              <w:t>5</w:t>
            </w:r>
          </w:p>
        </w:tc>
      </w:tr>
    </w:tbl>
    <w:p w14:paraId="03FA70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83E6EA0">
        <w:tblPrEx>
          <w:tblCellMar>
            <w:top w:w="0" w:type="dxa"/>
            <w:left w:w="108" w:type="dxa"/>
            <w:bottom w:w="0" w:type="dxa"/>
            <w:right w:w="108" w:type="dxa"/>
          </w:tblCellMar>
        </w:tblPrEx>
        <w:tc>
          <w:tcPr>
            <w:tcW w:w="8848" w:type="dxa"/>
            <w:gridSpan w:val="14"/>
            <w:vAlign w:val="center"/>
          </w:tcPr>
          <w:p w14:paraId="2DBF000A">
            <w:pPr>
              <w:jc w:val="center"/>
            </w:pPr>
            <w:r>
              <w:rPr>
                <w:rFonts w:ascii="宋体" w:hAnsi="宋体" w:eastAsia="宋体"/>
                <w:sz w:val="24"/>
              </w:rPr>
              <w:t>项目支出绩效自评表</w:t>
            </w:r>
          </w:p>
        </w:tc>
      </w:tr>
      <w:tr w14:paraId="24096DB7">
        <w:tblPrEx>
          <w:tblCellMar>
            <w:top w:w="0" w:type="dxa"/>
            <w:left w:w="108" w:type="dxa"/>
            <w:bottom w:w="0" w:type="dxa"/>
            <w:right w:w="108" w:type="dxa"/>
          </w:tblCellMar>
        </w:tblPrEx>
        <w:tc>
          <w:tcPr>
            <w:tcW w:w="8848" w:type="dxa"/>
            <w:gridSpan w:val="14"/>
            <w:vAlign w:val="center"/>
          </w:tcPr>
          <w:p w14:paraId="2929CF31">
            <w:pPr>
              <w:jc w:val="center"/>
            </w:pPr>
            <w:r>
              <w:rPr>
                <w:rFonts w:ascii="宋体" w:hAnsi="宋体" w:eastAsia="宋体"/>
                <w:sz w:val="24"/>
              </w:rPr>
              <w:t>(2024年度)</w:t>
            </w:r>
          </w:p>
        </w:tc>
      </w:tr>
      <w:tr w14:paraId="2AF658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DB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86B664">
            <w:pPr>
              <w:jc w:val="center"/>
            </w:pPr>
            <w:r>
              <w:rPr>
                <w:rFonts w:ascii="宋体" w:hAnsi="宋体" w:eastAsia="宋体"/>
                <w:sz w:val="16"/>
              </w:rPr>
              <w:t>2023年自治区创新环境（人才、基地）建设专项</w:t>
            </w:r>
            <w:r>
              <w:rPr>
                <w:rFonts w:hint="eastAsia" w:ascii="宋体" w:hAnsi="宋体"/>
                <w:sz w:val="16"/>
                <w:lang w:eastAsia="zh-CN"/>
              </w:rPr>
              <w:t>——</w:t>
            </w:r>
            <w:r>
              <w:rPr>
                <w:rFonts w:ascii="宋体" w:hAnsi="宋体" w:eastAsia="宋体"/>
                <w:sz w:val="16"/>
              </w:rPr>
              <w:t>科技创新基地建设项目</w:t>
            </w:r>
          </w:p>
        </w:tc>
      </w:tr>
      <w:tr w14:paraId="33CBFC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F4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512623">
            <w:pPr>
              <w:jc w:val="center"/>
            </w:pPr>
            <w:r>
              <w:rPr>
                <w:rFonts w:ascii="宋体" w:hAnsi="宋体" w:eastAsia="宋体"/>
                <w:sz w:val="16"/>
              </w:rPr>
              <w:t>疏勒南疆齐鲁工业园区管理委员会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11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EC18D4">
            <w:pPr>
              <w:jc w:val="center"/>
            </w:pPr>
            <w:r>
              <w:rPr>
                <w:rFonts w:ascii="宋体" w:hAnsi="宋体" w:eastAsia="宋体"/>
                <w:sz w:val="16"/>
              </w:rPr>
              <w:t>疏勒南疆齐鲁工业园区管理委员会</w:t>
            </w:r>
          </w:p>
        </w:tc>
      </w:tr>
      <w:tr w14:paraId="467B71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F45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8A5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09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64C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16F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BC2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886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FC54">
            <w:pPr>
              <w:jc w:val="center"/>
            </w:pPr>
            <w:r>
              <w:rPr>
                <w:rFonts w:ascii="宋体" w:hAnsi="宋体" w:eastAsia="宋体"/>
                <w:sz w:val="16"/>
              </w:rPr>
              <w:t>得分</w:t>
            </w:r>
          </w:p>
        </w:tc>
      </w:tr>
      <w:tr w14:paraId="104EA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646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56D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12CB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E542">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701A">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99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A13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74B3">
            <w:pPr>
              <w:jc w:val="center"/>
            </w:pPr>
            <w:r>
              <w:rPr>
                <w:rFonts w:ascii="宋体" w:hAnsi="宋体" w:eastAsia="宋体"/>
                <w:sz w:val="16"/>
              </w:rPr>
              <w:t>10.00分</w:t>
            </w:r>
          </w:p>
        </w:tc>
      </w:tr>
      <w:tr w14:paraId="5F62E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1F1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232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B5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F04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100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117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3E2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918C">
            <w:pPr>
              <w:jc w:val="center"/>
            </w:pPr>
            <w:r>
              <w:rPr>
                <w:rFonts w:ascii="宋体" w:hAnsi="宋体" w:eastAsia="宋体"/>
                <w:sz w:val="16"/>
              </w:rPr>
              <w:t>—</w:t>
            </w:r>
          </w:p>
        </w:tc>
      </w:tr>
      <w:tr w14:paraId="62326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516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F59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4906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63632">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3BBC">
            <w:pPr>
              <w:jc w:val="center"/>
            </w:pPr>
            <w:r>
              <w:rPr>
                <w:rFonts w:ascii="宋体" w:hAnsi="宋体" w:eastAsia="宋体"/>
                <w:sz w:val="16"/>
              </w:rPr>
              <w:t>11.18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535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9E2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A7E6">
            <w:pPr>
              <w:jc w:val="center"/>
            </w:pPr>
            <w:r>
              <w:rPr>
                <w:rFonts w:ascii="宋体" w:hAnsi="宋体" w:eastAsia="宋体"/>
                <w:sz w:val="16"/>
              </w:rPr>
              <w:t>—</w:t>
            </w:r>
          </w:p>
        </w:tc>
      </w:tr>
      <w:tr w14:paraId="46DA80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CC2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66E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03CF6C">
            <w:pPr>
              <w:jc w:val="center"/>
            </w:pPr>
            <w:r>
              <w:rPr>
                <w:rFonts w:ascii="宋体" w:hAnsi="宋体" w:eastAsia="宋体"/>
                <w:sz w:val="16"/>
              </w:rPr>
              <w:t>实际完成情况</w:t>
            </w:r>
          </w:p>
        </w:tc>
      </w:tr>
      <w:tr w14:paraId="57DA8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BC7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B5F23">
            <w:pPr>
              <w:jc w:val="both"/>
            </w:pPr>
            <w:r>
              <w:rPr>
                <w:rFonts w:ascii="宋体" w:hAnsi="宋体" w:eastAsia="宋体"/>
                <w:sz w:val="16"/>
              </w:rPr>
              <w:t>项目计划投资总额为11.18万元，主要用于支付园区产品宣传手册印刷费1.38万元，开展业务咨询服务费3.3万元，会议设备购置费4万元和园区档案资料柜采购费2.5万元，同时开展外出考察活动和园区大型活动各1次。预计项目实施后，有效提高政府良好形象，有效推动工业园区实现经济高质量发展的引领带动作用，受益企业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89B45">
            <w:pPr>
              <w:jc w:val="both"/>
            </w:pPr>
            <w:r>
              <w:rPr>
                <w:rFonts w:hint="eastAsia" w:ascii="宋体" w:hAnsi="宋体"/>
                <w:sz w:val="16"/>
                <w:lang w:eastAsia="zh-CN"/>
              </w:rPr>
              <w:t>截至</w:t>
            </w:r>
            <w:r>
              <w:rPr>
                <w:rFonts w:ascii="宋体" w:hAnsi="宋体" w:eastAsia="宋体"/>
                <w:sz w:val="16"/>
              </w:rPr>
              <w:t>2024年12月31日，项目投资总金额为11.18万元，用于支付园区产品宣传手册印刷费1.38万元，开展业务咨询服务费3.3万元，会议设备购置费4万元和园区档案资料柜采购费2.5万元，同时开展外出考察活动和园区大型活动各1次。项目实施后，有效提高了政府的良好形象，有效推动了工业园区实现经济高质量发展的引领带动作用，受益企业满意度100%。</w:t>
            </w:r>
          </w:p>
        </w:tc>
      </w:tr>
      <w:tr w14:paraId="30B6AE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2D5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6C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80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E4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8F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91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73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5E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0A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50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CB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E3F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3C338">
            <w:pPr>
              <w:jc w:val="center"/>
            </w:pPr>
            <w:r>
              <w:rPr>
                <w:rFonts w:ascii="宋体" w:hAnsi="宋体" w:eastAsia="宋体"/>
                <w:sz w:val="16"/>
              </w:rPr>
              <w:t>偏差原因分析及改进措施</w:t>
            </w:r>
          </w:p>
        </w:tc>
      </w:tr>
      <w:tr w14:paraId="28E792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671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2F1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388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635B">
            <w:pPr>
              <w:jc w:val="center"/>
            </w:pPr>
            <w:r>
              <w:rPr>
                <w:rFonts w:ascii="宋体" w:hAnsi="宋体" w:eastAsia="宋体"/>
                <w:sz w:val="16"/>
              </w:rPr>
              <w:t>开展外出考察活动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2E96">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7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21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3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6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22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6771">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76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4036A">
            <w:pPr>
              <w:jc w:val="center"/>
            </w:pPr>
          </w:p>
        </w:tc>
      </w:tr>
      <w:tr w14:paraId="715FF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BE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D6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E1C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0094">
            <w:pPr>
              <w:jc w:val="center"/>
            </w:pPr>
            <w:r>
              <w:rPr>
                <w:rFonts w:ascii="宋体" w:hAnsi="宋体" w:eastAsia="宋体"/>
                <w:sz w:val="16"/>
              </w:rPr>
              <w:t>开展园区大型活动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A115">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3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AC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3D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8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35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9588">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D8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9D13">
            <w:pPr>
              <w:jc w:val="center"/>
            </w:pPr>
          </w:p>
        </w:tc>
      </w:tr>
      <w:tr w14:paraId="31F2F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DD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D4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19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FAF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1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94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0A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4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42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4C8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4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53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C71B">
            <w:pPr>
              <w:jc w:val="center"/>
            </w:pPr>
          </w:p>
        </w:tc>
      </w:tr>
      <w:tr w14:paraId="750FFC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2B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4D0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0C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6E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7EAA">
            <w:pPr>
              <w:jc w:val="center"/>
            </w:pPr>
            <w:r>
              <w:rPr>
                <w:rFonts w:ascii="宋体" w:hAnsi="宋体" w:eastAsia="宋体"/>
                <w:sz w:val="16"/>
              </w:rPr>
              <w:t>=2024年9月26日前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D8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BD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79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2C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77E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4CB9">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B7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BF81">
            <w:pPr>
              <w:jc w:val="center"/>
            </w:pPr>
          </w:p>
        </w:tc>
      </w:tr>
      <w:tr w14:paraId="5C0F2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BB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995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905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7739">
            <w:pPr>
              <w:jc w:val="center"/>
            </w:pPr>
            <w:r>
              <w:rPr>
                <w:rFonts w:ascii="宋体" w:hAnsi="宋体" w:eastAsia="宋体"/>
                <w:sz w:val="16"/>
              </w:rPr>
              <w:t>园区宣传手册等资料印刷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D999">
            <w:pPr>
              <w:jc w:val="center"/>
            </w:pPr>
            <w:r>
              <w:rPr>
                <w:rFonts w:ascii="宋体" w:hAnsi="宋体" w:eastAsia="宋体"/>
                <w:sz w:val="16"/>
              </w:rPr>
              <w:t>&lt;=1.38万元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C5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5C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16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1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E42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3987">
            <w:pPr>
              <w:jc w:val="center"/>
            </w:pPr>
            <w:r>
              <w:rPr>
                <w:rFonts w:ascii="宋体" w:hAnsi="宋体" w:eastAsia="宋体"/>
                <w:sz w:val="16"/>
              </w:rPr>
              <w:t>=1.38万元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0A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5452">
            <w:pPr>
              <w:jc w:val="center"/>
            </w:pPr>
          </w:p>
        </w:tc>
      </w:tr>
      <w:tr w14:paraId="7B42D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D5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F1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D99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7273">
            <w:pPr>
              <w:jc w:val="center"/>
            </w:pPr>
            <w:r>
              <w:rPr>
                <w:rFonts w:ascii="宋体" w:hAnsi="宋体" w:eastAsia="宋体"/>
                <w:sz w:val="16"/>
              </w:rPr>
              <w:t>档案资料设备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DDFB">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D0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50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B0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85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EBF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5A17">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3B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37AC9">
            <w:pPr>
              <w:jc w:val="center"/>
            </w:pPr>
          </w:p>
        </w:tc>
      </w:tr>
      <w:tr w14:paraId="122469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05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D4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A49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0DEB">
            <w:pPr>
              <w:jc w:val="center"/>
            </w:pPr>
            <w:r>
              <w:rPr>
                <w:rFonts w:ascii="宋体" w:hAnsi="宋体" w:eastAsia="宋体"/>
                <w:sz w:val="16"/>
              </w:rPr>
              <w:t>会议设备购置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4CD2">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6A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CD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35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F5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106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4F9D">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12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8D200">
            <w:pPr>
              <w:jc w:val="center"/>
            </w:pPr>
          </w:p>
        </w:tc>
      </w:tr>
      <w:tr w14:paraId="00401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E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C6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247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043B">
            <w:pPr>
              <w:jc w:val="center"/>
            </w:pPr>
            <w:r>
              <w:rPr>
                <w:rFonts w:ascii="宋体" w:hAnsi="宋体" w:eastAsia="宋体"/>
                <w:sz w:val="16"/>
              </w:rPr>
              <w:t>开展业务咨询服务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8D8D">
            <w:pPr>
              <w:jc w:val="center"/>
            </w:pPr>
            <w:r>
              <w:rPr>
                <w:rFonts w:ascii="宋体" w:hAnsi="宋体" w:eastAsia="宋体"/>
                <w:sz w:val="16"/>
              </w:rPr>
              <w:t>&lt;=3.3万元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92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DD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6B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A8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21F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BE2C">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1BA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4ECD">
            <w:pPr>
              <w:jc w:val="center"/>
            </w:pPr>
          </w:p>
        </w:tc>
      </w:tr>
      <w:tr w14:paraId="1691D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479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292E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D78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278B">
            <w:pPr>
              <w:jc w:val="center"/>
            </w:pPr>
            <w:r>
              <w:rPr>
                <w:rFonts w:ascii="宋体" w:hAnsi="宋体" w:eastAsia="宋体"/>
                <w:sz w:val="16"/>
              </w:rPr>
              <w:t>提高政府良好形象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E0C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59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A1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06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49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7A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D5F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46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2696">
            <w:pPr>
              <w:jc w:val="center"/>
            </w:pPr>
          </w:p>
        </w:tc>
      </w:tr>
      <w:tr w14:paraId="1BBB7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67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3F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E1C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5C63">
            <w:pPr>
              <w:jc w:val="center"/>
            </w:pPr>
            <w:r>
              <w:rPr>
                <w:rFonts w:ascii="宋体" w:hAnsi="宋体" w:eastAsia="宋体"/>
                <w:sz w:val="16"/>
              </w:rPr>
              <w:t>推动工业园区实现经济高质量发展的引领带动作用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4492">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87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FF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1E8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B3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9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C996">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A2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F24E">
            <w:pPr>
              <w:jc w:val="center"/>
            </w:pPr>
          </w:p>
        </w:tc>
      </w:tr>
      <w:tr w14:paraId="62698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FB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C8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74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2D47">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F5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0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1A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37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0D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D7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2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A0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5A788">
            <w:pPr>
              <w:jc w:val="center"/>
            </w:pPr>
            <w:r>
              <w:rPr>
                <w:rFonts w:ascii="宋体" w:hAnsi="宋体" w:eastAsia="宋体"/>
                <w:sz w:val="16"/>
              </w:rPr>
              <w:t>该项目指标受益企业满意度≥95%，因项目实际调查问卷满意度为100%，故指标偏差为5.26%；改进措施：根据项目实施情况，合理设置预期的指标，使完成值与预期目标值相一致。</w:t>
            </w:r>
          </w:p>
        </w:tc>
      </w:tr>
      <w:tr w14:paraId="0D6D3D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BE5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3E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412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3B5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9AE398"/>
        </w:tc>
      </w:tr>
    </w:tbl>
    <w:p w14:paraId="42959D09">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16"/>
        <w:gridCol w:w="856"/>
        <w:gridCol w:w="616"/>
        <w:gridCol w:w="616"/>
        <w:gridCol w:w="621"/>
        <w:gridCol w:w="616"/>
        <w:gridCol w:w="621"/>
        <w:gridCol w:w="776"/>
        <w:gridCol w:w="632"/>
        <w:gridCol w:w="601"/>
        <w:gridCol w:w="632"/>
      </w:tblGrid>
      <w:tr w14:paraId="35328CD8">
        <w:tc>
          <w:tcPr>
            <w:tcW w:w="8848" w:type="dxa"/>
            <w:gridSpan w:val="14"/>
            <w:vAlign w:val="center"/>
          </w:tcPr>
          <w:p w14:paraId="2D86F711">
            <w:pPr>
              <w:jc w:val="center"/>
            </w:pPr>
            <w:r>
              <w:rPr>
                <w:rFonts w:ascii="宋体" w:hAnsi="宋体" w:eastAsia="宋体"/>
                <w:sz w:val="24"/>
              </w:rPr>
              <w:t>项目支出绩效自评表</w:t>
            </w:r>
          </w:p>
        </w:tc>
      </w:tr>
      <w:tr w14:paraId="7A348EFF">
        <w:tblPrEx>
          <w:tblCellMar>
            <w:top w:w="0" w:type="dxa"/>
            <w:left w:w="108" w:type="dxa"/>
            <w:bottom w:w="0" w:type="dxa"/>
            <w:right w:w="108" w:type="dxa"/>
          </w:tblCellMar>
        </w:tblPrEx>
        <w:tc>
          <w:tcPr>
            <w:tcW w:w="8848" w:type="dxa"/>
            <w:gridSpan w:val="14"/>
            <w:vAlign w:val="center"/>
          </w:tcPr>
          <w:p w14:paraId="0F316F23">
            <w:pPr>
              <w:jc w:val="center"/>
            </w:pPr>
            <w:r>
              <w:rPr>
                <w:rFonts w:ascii="宋体" w:hAnsi="宋体" w:eastAsia="宋体"/>
                <w:sz w:val="24"/>
              </w:rPr>
              <w:t>(2024年度)</w:t>
            </w:r>
          </w:p>
        </w:tc>
      </w:tr>
      <w:tr w14:paraId="6328BE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47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F28FAF">
            <w:pPr>
              <w:jc w:val="center"/>
            </w:pPr>
            <w:r>
              <w:rPr>
                <w:rFonts w:ascii="宋体" w:hAnsi="宋体" w:eastAsia="宋体"/>
                <w:sz w:val="16"/>
              </w:rPr>
              <w:t>2024年化债类项目</w:t>
            </w:r>
          </w:p>
        </w:tc>
      </w:tr>
      <w:tr w14:paraId="358CB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C9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203F0">
            <w:pPr>
              <w:jc w:val="center"/>
            </w:pPr>
            <w:r>
              <w:rPr>
                <w:rFonts w:ascii="宋体" w:hAnsi="宋体" w:eastAsia="宋体"/>
                <w:sz w:val="16"/>
              </w:rPr>
              <w:t>疏勒南疆齐鲁工业园区管理委员会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AB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9ADBB7">
            <w:pPr>
              <w:jc w:val="center"/>
            </w:pPr>
            <w:r>
              <w:rPr>
                <w:rFonts w:ascii="宋体" w:hAnsi="宋体" w:eastAsia="宋体"/>
                <w:sz w:val="16"/>
              </w:rPr>
              <w:t>疏勒南疆齐鲁工业园区管理委员会</w:t>
            </w:r>
          </w:p>
        </w:tc>
      </w:tr>
      <w:tr w14:paraId="2E953A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FDF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24D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B5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B21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09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508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335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9C4F">
            <w:pPr>
              <w:jc w:val="center"/>
            </w:pPr>
            <w:r>
              <w:rPr>
                <w:rFonts w:ascii="宋体" w:hAnsi="宋体" w:eastAsia="宋体"/>
                <w:sz w:val="16"/>
              </w:rPr>
              <w:t>得分</w:t>
            </w:r>
          </w:p>
        </w:tc>
      </w:tr>
      <w:tr w14:paraId="17E9D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DD3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71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06FB2">
            <w:pPr>
              <w:jc w:val="center"/>
            </w:pPr>
            <w:r>
              <w:rPr>
                <w:rFonts w:ascii="宋体" w:hAnsi="宋体" w:eastAsia="宋体"/>
                <w:sz w:val="16"/>
              </w:rPr>
              <w:t>940.36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5FFF7">
            <w:pPr>
              <w:jc w:val="center"/>
            </w:pPr>
            <w:r>
              <w:rPr>
                <w:rFonts w:ascii="宋体" w:hAnsi="宋体" w:eastAsia="宋体"/>
                <w:sz w:val="16"/>
              </w:rPr>
              <w:t>885.98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AA787">
            <w:pPr>
              <w:jc w:val="center"/>
            </w:pPr>
            <w:r>
              <w:rPr>
                <w:rFonts w:ascii="宋体" w:hAnsi="宋体" w:eastAsia="宋体"/>
                <w:sz w:val="16"/>
              </w:rPr>
              <w:t>885.98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F5E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A577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934B">
            <w:pPr>
              <w:jc w:val="center"/>
            </w:pPr>
            <w:r>
              <w:rPr>
                <w:rFonts w:ascii="宋体" w:hAnsi="宋体" w:eastAsia="宋体"/>
                <w:sz w:val="16"/>
              </w:rPr>
              <w:t>10.00分</w:t>
            </w:r>
          </w:p>
        </w:tc>
      </w:tr>
      <w:tr w14:paraId="0CDAD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1D8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4AB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8558">
            <w:pPr>
              <w:jc w:val="center"/>
            </w:pPr>
            <w:r>
              <w:rPr>
                <w:rFonts w:ascii="宋体" w:hAnsi="宋体" w:eastAsia="宋体"/>
                <w:sz w:val="16"/>
              </w:rPr>
              <w:t>940.36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338F1">
            <w:pPr>
              <w:jc w:val="center"/>
            </w:pPr>
            <w:r>
              <w:rPr>
                <w:rFonts w:ascii="宋体" w:hAnsi="宋体" w:eastAsia="宋体"/>
                <w:sz w:val="16"/>
              </w:rPr>
              <w:t>885.98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2211">
            <w:pPr>
              <w:jc w:val="center"/>
            </w:pPr>
            <w:r>
              <w:rPr>
                <w:rFonts w:ascii="宋体" w:hAnsi="宋体" w:eastAsia="宋体"/>
                <w:sz w:val="16"/>
              </w:rPr>
              <w:t>885.98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1CE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E9C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1C1B">
            <w:pPr>
              <w:jc w:val="center"/>
            </w:pPr>
            <w:r>
              <w:rPr>
                <w:rFonts w:ascii="宋体" w:hAnsi="宋体" w:eastAsia="宋体"/>
                <w:sz w:val="16"/>
              </w:rPr>
              <w:t>—</w:t>
            </w:r>
          </w:p>
        </w:tc>
      </w:tr>
      <w:tr w14:paraId="6F00A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BA9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E77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E9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093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61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6DD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EEA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AA7B">
            <w:pPr>
              <w:jc w:val="center"/>
            </w:pPr>
            <w:r>
              <w:rPr>
                <w:rFonts w:ascii="宋体" w:hAnsi="宋体" w:eastAsia="宋体"/>
                <w:sz w:val="16"/>
              </w:rPr>
              <w:t>—</w:t>
            </w:r>
          </w:p>
        </w:tc>
      </w:tr>
      <w:tr w14:paraId="72B52F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446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8EB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CDC5C7">
            <w:pPr>
              <w:jc w:val="center"/>
            </w:pPr>
            <w:r>
              <w:rPr>
                <w:rFonts w:ascii="宋体" w:hAnsi="宋体" w:eastAsia="宋体"/>
                <w:sz w:val="16"/>
              </w:rPr>
              <w:t>实际完成情况</w:t>
            </w:r>
          </w:p>
        </w:tc>
      </w:tr>
      <w:tr w14:paraId="59753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255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222D2">
            <w:pPr>
              <w:jc w:val="both"/>
            </w:pPr>
            <w:r>
              <w:rPr>
                <w:rFonts w:ascii="宋体" w:hAnsi="宋体" w:eastAsia="宋体"/>
                <w:sz w:val="16"/>
              </w:rPr>
              <w:t>项目计划投资总额为885.984762万元，主要用于化解</w:t>
            </w:r>
            <w:r>
              <w:rPr>
                <w:rFonts w:hint="eastAsia" w:ascii="宋体" w:hAnsi="宋体"/>
                <w:sz w:val="16"/>
                <w:lang w:eastAsia="zh-CN"/>
              </w:rPr>
              <w:t>本单位</w:t>
            </w:r>
            <w:r>
              <w:rPr>
                <w:rFonts w:ascii="宋体" w:hAnsi="宋体" w:eastAsia="宋体"/>
                <w:sz w:val="16"/>
              </w:rPr>
              <w:t>29个项目债务，偿债企业数量29家，其中：化解设计、监理、招标代理费类等项目前期费债务项目20个，涉及资金135.984762万元；化解施工类债务项目9个，涉及资金750万元。通过实施本项目贯彻落实国家债务管理政策，有效缓解政府资金不足的现状，有效规范地方政府债务管理程度，使债权人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1B1C05">
            <w:pPr>
              <w:jc w:val="both"/>
            </w:pPr>
            <w:r>
              <w:rPr>
                <w:rFonts w:hint="eastAsia" w:ascii="宋体" w:hAnsi="宋体"/>
                <w:sz w:val="16"/>
                <w:lang w:eastAsia="zh-CN"/>
              </w:rPr>
              <w:t>截至</w:t>
            </w:r>
            <w:r>
              <w:rPr>
                <w:rFonts w:ascii="宋体" w:hAnsi="宋体" w:eastAsia="宋体"/>
                <w:sz w:val="16"/>
              </w:rPr>
              <w:t>2024年12月31日，项目投资总金额为885.984762万元，用于化解</w:t>
            </w:r>
            <w:r>
              <w:rPr>
                <w:rFonts w:hint="eastAsia" w:ascii="宋体" w:hAnsi="宋体"/>
                <w:sz w:val="16"/>
                <w:lang w:eastAsia="zh-CN"/>
              </w:rPr>
              <w:t>本单位</w:t>
            </w:r>
            <w:r>
              <w:rPr>
                <w:rFonts w:ascii="宋体" w:hAnsi="宋体" w:eastAsia="宋体"/>
                <w:sz w:val="16"/>
              </w:rPr>
              <w:t>29个项目债务，偿债企业数量29家，其中：化解设计、监理、招标代理费类等项目前期费债务项目20个，涉及资金135.984762万元；化解施工类债务项目9个，涉及资金750万元。通过实施本项目贯彻落实了国家债务管理政策，有效缓解政府资金不足的现状，有效规范地方政府债务管理程度，使债权人满意度达97.5%。</w:t>
            </w:r>
          </w:p>
        </w:tc>
      </w:tr>
      <w:tr w14:paraId="2687EA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96C7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3F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0E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BF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70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23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70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37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D6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24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D7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B3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3F78C">
            <w:pPr>
              <w:jc w:val="center"/>
            </w:pPr>
            <w:r>
              <w:rPr>
                <w:rFonts w:ascii="宋体" w:hAnsi="宋体" w:eastAsia="宋体"/>
                <w:sz w:val="16"/>
              </w:rPr>
              <w:t>偏差原因分析及改进措施</w:t>
            </w:r>
          </w:p>
        </w:tc>
      </w:tr>
      <w:tr w14:paraId="363E8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2CED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DFB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963D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AE7D">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37E4">
            <w:pPr>
              <w:jc w:val="center"/>
            </w:pPr>
            <w:r>
              <w:rPr>
                <w:rFonts w:ascii="宋体" w:hAnsi="宋体" w:eastAsia="宋体"/>
                <w:sz w:val="16"/>
              </w:rPr>
              <w:t>=29个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D7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C2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42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19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0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269B">
            <w:pPr>
              <w:jc w:val="center"/>
            </w:pPr>
            <w:r>
              <w:rPr>
                <w:rFonts w:ascii="宋体" w:hAnsi="宋体" w:eastAsia="宋体"/>
                <w:sz w:val="16"/>
              </w:rPr>
              <w:t>=29个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C9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DA567">
            <w:pPr>
              <w:jc w:val="center"/>
            </w:pPr>
          </w:p>
        </w:tc>
      </w:tr>
      <w:tr w14:paraId="38FC6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F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F9B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37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A059">
            <w:pPr>
              <w:jc w:val="center"/>
            </w:pPr>
            <w:r>
              <w:rPr>
                <w:rFonts w:ascii="宋体" w:hAnsi="宋体" w:eastAsia="宋体"/>
                <w:sz w:val="16"/>
              </w:rPr>
              <w:t>涉及偿债企业数量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CD13">
            <w:pPr>
              <w:jc w:val="center"/>
            </w:pPr>
            <w:r>
              <w:rPr>
                <w:rFonts w:ascii="宋体" w:hAnsi="宋体" w:eastAsia="宋体"/>
                <w:sz w:val="16"/>
              </w:rPr>
              <w:t>=29家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D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E7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64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C5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160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EED4">
            <w:pPr>
              <w:jc w:val="center"/>
            </w:pPr>
            <w:r>
              <w:rPr>
                <w:rFonts w:ascii="宋体" w:hAnsi="宋体" w:eastAsia="宋体"/>
                <w:sz w:val="16"/>
              </w:rPr>
              <w:t>=29家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6FD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D9A26">
            <w:pPr>
              <w:jc w:val="center"/>
            </w:pPr>
          </w:p>
        </w:tc>
      </w:tr>
      <w:tr w14:paraId="26E9A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12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D67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F2C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777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8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7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0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6F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8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9A5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A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1D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67F55">
            <w:pPr>
              <w:jc w:val="center"/>
            </w:pPr>
          </w:p>
        </w:tc>
      </w:tr>
      <w:tr w14:paraId="3A1DD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C8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17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5A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3386">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0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93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A9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EC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3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897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AE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2A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306DF">
            <w:pPr>
              <w:jc w:val="center"/>
            </w:pPr>
          </w:p>
        </w:tc>
      </w:tr>
      <w:tr w14:paraId="78152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DF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F5D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2B9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25E4">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AC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C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21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93E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3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129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0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739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35D01">
            <w:pPr>
              <w:jc w:val="center"/>
            </w:pPr>
          </w:p>
        </w:tc>
      </w:tr>
      <w:tr w14:paraId="2D6FF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8D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AC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F7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F8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6110">
            <w:pPr>
              <w:jc w:val="center"/>
            </w:pPr>
            <w:r>
              <w:rPr>
                <w:rFonts w:ascii="宋体" w:hAnsi="宋体" w:eastAsia="宋体"/>
                <w:sz w:val="16"/>
              </w:rPr>
              <w:t>=2024年10月28日前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B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0D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65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B9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411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C035">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F74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3DB8">
            <w:pPr>
              <w:jc w:val="center"/>
            </w:pPr>
          </w:p>
        </w:tc>
      </w:tr>
      <w:tr w14:paraId="7D407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F5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4C5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5B7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47F5">
            <w:pPr>
              <w:jc w:val="center"/>
            </w:pPr>
            <w:r>
              <w:rPr>
                <w:rFonts w:ascii="宋体" w:hAnsi="宋体" w:eastAsia="宋体"/>
                <w:sz w:val="16"/>
              </w:rPr>
              <w:t>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8CF4">
            <w:pPr>
              <w:jc w:val="center"/>
            </w:pPr>
            <w:r>
              <w:rPr>
                <w:rFonts w:ascii="宋体" w:hAnsi="宋体" w:eastAsia="宋体"/>
                <w:sz w:val="16"/>
              </w:rPr>
              <w:t>&lt;=135.98万元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6A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76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18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9B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1B2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F920">
            <w:pPr>
              <w:jc w:val="center"/>
            </w:pPr>
            <w:r>
              <w:rPr>
                <w:rFonts w:ascii="宋体" w:hAnsi="宋体" w:eastAsia="宋体"/>
                <w:sz w:val="16"/>
              </w:rPr>
              <w:t>=135.98万元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D4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DE9FB">
            <w:pPr>
              <w:jc w:val="center"/>
            </w:pPr>
          </w:p>
        </w:tc>
      </w:tr>
      <w:tr w14:paraId="16636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F9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D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57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905D">
            <w:pPr>
              <w:jc w:val="center"/>
            </w:pPr>
            <w:r>
              <w:rPr>
                <w:rFonts w:ascii="宋体" w:hAnsi="宋体" w:eastAsia="宋体"/>
                <w:sz w:val="16"/>
              </w:rPr>
              <w:t>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DD5B">
            <w:pPr>
              <w:jc w:val="center"/>
            </w:pPr>
            <w:r>
              <w:rPr>
                <w:rFonts w:ascii="宋体" w:hAnsi="宋体" w:eastAsia="宋体"/>
                <w:sz w:val="16"/>
              </w:rPr>
              <w:t>&lt;=750万元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08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D8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3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153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648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1C6A">
            <w:pPr>
              <w:jc w:val="center"/>
            </w:pPr>
            <w:r>
              <w:rPr>
                <w:rFonts w:ascii="宋体" w:hAnsi="宋体" w:eastAsia="宋体"/>
                <w:sz w:val="16"/>
              </w:rPr>
              <w: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0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55331">
            <w:pPr>
              <w:jc w:val="center"/>
            </w:pPr>
          </w:p>
        </w:tc>
      </w:tr>
      <w:tr w14:paraId="1AF55E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AE0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734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9FD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3F0C">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F6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7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A4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B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4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A24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D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9F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E6FC">
            <w:pPr>
              <w:jc w:val="center"/>
            </w:pPr>
          </w:p>
        </w:tc>
      </w:tr>
      <w:tr w14:paraId="70FE4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29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56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3C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6260">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AB57">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F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AC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2B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80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AF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3F11">
            <w:pPr>
              <w:jc w:val="center"/>
            </w:pPr>
            <w:r>
              <w:rPr>
                <w:rFonts w:ascii="宋体" w:hAnsi="宋体" w:eastAsia="宋体"/>
                <w:sz w:val="16"/>
              </w:rPr>
              <w:t>有效优化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D3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AB57">
            <w:pPr>
              <w:jc w:val="center"/>
            </w:pPr>
          </w:p>
        </w:tc>
      </w:tr>
      <w:tr w14:paraId="62BB9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F3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49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D7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FCF2">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23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4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89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86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0F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A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D707">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CE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DA543">
            <w:pPr>
              <w:jc w:val="center"/>
            </w:pPr>
            <w:r>
              <w:rPr>
                <w:rFonts w:ascii="宋体" w:hAnsi="宋体" w:eastAsia="宋体"/>
                <w:sz w:val="16"/>
              </w:rPr>
              <w:t>该项目指标受益企业满意度≥95%，因项目实际调查问卷满意度为97.5%，故指标偏差为2.63%；改进措施：根据项目实施情况，合理设置预期的指标，使完成值与预期目标值相一致。</w:t>
            </w:r>
          </w:p>
        </w:tc>
      </w:tr>
      <w:tr w14:paraId="51CEB9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C06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54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0B1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868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D2FB0D"/>
        </w:tc>
      </w:tr>
    </w:tbl>
    <w:p w14:paraId="59FD1814">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936"/>
        <w:gridCol w:w="599"/>
        <w:gridCol w:w="599"/>
        <w:gridCol w:w="610"/>
        <w:gridCol w:w="599"/>
        <w:gridCol w:w="610"/>
        <w:gridCol w:w="856"/>
        <w:gridCol w:w="632"/>
        <w:gridCol w:w="570"/>
        <w:gridCol w:w="632"/>
      </w:tblGrid>
      <w:tr w14:paraId="142CE223">
        <w:tblPrEx>
          <w:tblCellMar>
            <w:top w:w="0" w:type="dxa"/>
            <w:left w:w="108" w:type="dxa"/>
            <w:bottom w:w="0" w:type="dxa"/>
            <w:right w:w="108" w:type="dxa"/>
          </w:tblCellMar>
        </w:tblPrEx>
        <w:tc>
          <w:tcPr>
            <w:tcW w:w="8848" w:type="dxa"/>
            <w:gridSpan w:val="14"/>
            <w:vAlign w:val="center"/>
          </w:tcPr>
          <w:p w14:paraId="59B404EC">
            <w:pPr>
              <w:jc w:val="center"/>
            </w:pPr>
            <w:r>
              <w:rPr>
                <w:rFonts w:ascii="宋体" w:hAnsi="宋体" w:eastAsia="宋体"/>
                <w:sz w:val="24"/>
              </w:rPr>
              <w:t>项目支出绩效自评表</w:t>
            </w:r>
          </w:p>
        </w:tc>
      </w:tr>
      <w:tr w14:paraId="1478F119">
        <w:tblPrEx>
          <w:tblCellMar>
            <w:top w:w="0" w:type="dxa"/>
            <w:left w:w="108" w:type="dxa"/>
            <w:bottom w:w="0" w:type="dxa"/>
            <w:right w:w="108" w:type="dxa"/>
          </w:tblCellMar>
        </w:tblPrEx>
        <w:tc>
          <w:tcPr>
            <w:tcW w:w="8848" w:type="dxa"/>
            <w:gridSpan w:val="14"/>
            <w:vAlign w:val="center"/>
          </w:tcPr>
          <w:p w14:paraId="47B43E11">
            <w:pPr>
              <w:jc w:val="center"/>
            </w:pPr>
            <w:r>
              <w:rPr>
                <w:rFonts w:ascii="宋体" w:hAnsi="宋体" w:eastAsia="宋体"/>
                <w:sz w:val="24"/>
              </w:rPr>
              <w:t>(2024年度)</w:t>
            </w:r>
          </w:p>
        </w:tc>
      </w:tr>
      <w:tr w14:paraId="31155F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41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732F16">
            <w:pPr>
              <w:jc w:val="center"/>
            </w:pPr>
            <w:r>
              <w:rPr>
                <w:rFonts w:ascii="宋体" w:hAnsi="宋体" w:eastAsia="宋体"/>
                <w:sz w:val="16"/>
              </w:rPr>
              <w:t>疏勒县产业园运行保障经费</w:t>
            </w:r>
          </w:p>
        </w:tc>
      </w:tr>
      <w:tr w14:paraId="713DFC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ED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605729">
            <w:pPr>
              <w:jc w:val="center"/>
            </w:pPr>
            <w:r>
              <w:rPr>
                <w:rFonts w:ascii="宋体" w:hAnsi="宋体" w:eastAsia="宋体"/>
                <w:sz w:val="16"/>
              </w:rPr>
              <w:t>疏勒南疆齐鲁工业园区管理委员会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11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6556CA">
            <w:pPr>
              <w:jc w:val="center"/>
            </w:pPr>
            <w:r>
              <w:rPr>
                <w:rFonts w:ascii="宋体" w:hAnsi="宋体" w:eastAsia="宋体"/>
                <w:sz w:val="16"/>
              </w:rPr>
              <w:t>疏勒南疆齐鲁工业园区管理委员会</w:t>
            </w:r>
          </w:p>
        </w:tc>
      </w:tr>
      <w:tr w14:paraId="4CB902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51B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B52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77D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E87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878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A8B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CE7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5AA8">
            <w:pPr>
              <w:jc w:val="center"/>
            </w:pPr>
            <w:r>
              <w:rPr>
                <w:rFonts w:ascii="宋体" w:hAnsi="宋体" w:eastAsia="宋体"/>
                <w:sz w:val="16"/>
              </w:rPr>
              <w:t>得分</w:t>
            </w:r>
          </w:p>
        </w:tc>
      </w:tr>
      <w:tr w14:paraId="1336B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100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BB9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E6FD5">
            <w:pPr>
              <w:jc w:val="center"/>
            </w:pPr>
            <w:r>
              <w:rPr>
                <w:rFonts w:ascii="宋体" w:hAnsi="宋体" w:eastAsia="宋体"/>
                <w:sz w:val="16"/>
              </w:rPr>
              <w:t>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8DB19">
            <w:pPr>
              <w:jc w:val="center"/>
            </w:pPr>
            <w:r>
              <w:rPr>
                <w:rFonts w:ascii="宋体" w:hAnsi="宋体" w:eastAsia="宋体"/>
                <w:sz w:val="16"/>
              </w:rPr>
              <w:t>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70552">
            <w:pPr>
              <w:jc w:val="center"/>
            </w:pPr>
            <w:r>
              <w:rPr>
                <w:rFonts w:ascii="宋体" w:hAnsi="宋体" w:eastAsia="宋体"/>
                <w:sz w:val="16"/>
              </w:rPr>
              <w:t>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33C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D748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DA58">
            <w:pPr>
              <w:jc w:val="center"/>
            </w:pPr>
            <w:r>
              <w:rPr>
                <w:rFonts w:ascii="宋体" w:hAnsi="宋体" w:eastAsia="宋体"/>
                <w:sz w:val="16"/>
              </w:rPr>
              <w:t>10.00分</w:t>
            </w:r>
          </w:p>
        </w:tc>
      </w:tr>
      <w:tr w14:paraId="317CC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0C4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317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0F788">
            <w:pPr>
              <w:jc w:val="center"/>
            </w:pPr>
            <w:r>
              <w:rPr>
                <w:rFonts w:ascii="宋体" w:hAnsi="宋体" w:eastAsia="宋体"/>
                <w:sz w:val="16"/>
              </w:rPr>
              <w:t>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8E2EF">
            <w:pPr>
              <w:jc w:val="center"/>
            </w:pPr>
            <w:r>
              <w:rPr>
                <w:rFonts w:ascii="宋体" w:hAnsi="宋体" w:eastAsia="宋体"/>
                <w:sz w:val="16"/>
              </w:rPr>
              <w:t>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CB547">
            <w:pPr>
              <w:jc w:val="center"/>
            </w:pPr>
            <w:r>
              <w:rPr>
                <w:rFonts w:ascii="宋体" w:hAnsi="宋体" w:eastAsia="宋体"/>
                <w:sz w:val="16"/>
              </w:rPr>
              <w:t>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8AF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74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B325">
            <w:pPr>
              <w:jc w:val="center"/>
            </w:pPr>
            <w:r>
              <w:rPr>
                <w:rFonts w:ascii="宋体" w:hAnsi="宋体" w:eastAsia="宋体"/>
                <w:sz w:val="16"/>
              </w:rPr>
              <w:t>—</w:t>
            </w:r>
          </w:p>
        </w:tc>
      </w:tr>
      <w:tr w14:paraId="1EE49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45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53C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3CE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9B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D5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9E3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E3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4E82">
            <w:pPr>
              <w:jc w:val="center"/>
            </w:pPr>
            <w:r>
              <w:rPr>
                <w:rFonts w:ascii="宋体" w:hAnsi="宋体" w:eastAsia="宋体"/>
                <w:sz w:val="16"/>
              </w:rPr>
              <w:t>—</w:t>
            </w:r>
          </w:p>
        </w:tc>
      </w:tr>
      <w:tr w14:paraId="577C0D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62BB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7A5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813E7E">
            <w:pPr>
              <w:jc w:val="center"/>
            </w:pPr>
            <w:r>
              <w:rPr>
                <w:rFonts w:ascii="宋体" w:hAnsi="宋体" w:eastAsia="宋体"/>
                <w:sz w:val="16"/>
              </w:rPr>
              <w:t>实际完成情况</w:t>
            </w:r>
          </w:p>
        </w:tc>
      </w:tr>
      <w:tr w14:paraId="45DBC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B21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8D0FB">
            <w:pPr>
              <w:jc w:val="both"/>
            </w:pPr>
            <w:r>
              <w:rPr>
                <w:rFonts w:ascii="宋体" w:hAnsi="宋体" w:eastAsia="宋体"/>
                <w:sz w:val="16"/>
              </w:rPr>
              <w:t>项目预算安排资金28.6535万元，保障监控视频接入公安网数量49个，保障产业园用水人数7人，绿化中水浇灌面积38451平方米，通过项目的实施有效维护产业园正常运转，有效维护产业园社会稳定。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E59CE0">
            <w:pPr>
              <w:jc w:val="both"/>
            </w:pPr>
            <w:r>
              <w:rPr>
                <w:rFonts w:hint="eastAsia" w:ascii="宋体" w:hAnsi="宋体"/>
                <w:sz w:val="16"/>
                <w:lang w:eastAsia="zh-CN"/>
              </w:rPr>
              <w:t>截至</w:t>
            </w:r>
            <w:r>
              <w:rPr>
                <w:rFonts w:ascii="宋体" w:hAnsi="宋体" w:eastAsia="宋体"/>
                <w:sz w:val="16"/>
              </w:rPr>
              <w:t>2024年12月31日，项目投资总金额28.6535万元，用于保障监控视频接入公安网数量49个，保障产业园用水人数7人，绿化中水浇灌面积38451平方米，通过项目的实施有效维护产业园正常运转，有效维护产业园社会稳定，受益企业满意度100%。</w:t>
            </w:r>
          </w:p>
        </w:tc>
      </w:tr>
      <w:tr w14:paraId="3C6F72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A0F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0F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11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6CC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16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73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76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A3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37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67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32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C9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B2DFA">
            <w:pPr>
              <w:jc w:val="center"/>
            </w:pPr>
            <w:r>
              <w:rPr>
                <w:rFonts w:ascii="宋体" w:hAnsi="宋体" w:eastAsia="宋体"/>
                <w:sz w:val="16"/>
              </w:rPr>
              <w:t>偏差原因分析及改进措施</w:t>
            </w:r>
          </w:p>
        </w:tc>
      </w:tr>
      <w:tr w14:paraId="6321BB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66B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190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40D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1B35">
            <w:pPr>
              <w:jc w:val="center"/>
            </w:pPr>
            <w:r>
              <w:rPr>
                <w:rFonts w:ascii="宋体" w:hAnsi="宋体" w:eastAsia="宋体"/>
                <w:sz w:val="16"/>
              </w:rPr>
              <w:t>监控视频接入公安网数量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D827">
            <w:pPr>
              <w:jc w:val="center"/>
            </w:pPr>
            <w:r>
              <w:rPr>
                <w:rFonts w:ascii="宋体" w:hAnsi="宋体" w:eastAsia="宋体"/>
                <w:sz w:val="16"/>
              </w:rPr>
              <w:t>&gt;=49个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A8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A5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B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C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85A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1B94">
            <w:pPr>
              <w:jc w:val="center"/>
            </w:pPr>
            <w:r>
              <w:rPr>
                <w:rFonts w:ascii="宋体" w:hAnsi="宋体" w:eastAsia="宋体"/>
                <w:sz w:val="16"/>
              </w:rPr>
              <w:t>=49个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67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E8328">
            <w:pPr>
              <w:jc w:val="center"/>
            </w:pPr>
          </w:p>
        </w:tc>
      </w:tr>
      <w:tr w14:paraId="70EB6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36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F2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8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A3FA">
            <w:pPr>
              <w:jc w:val="center"/>
            </w:pPr>
            <w:r>
              <w:rPr>
                <w:rFonts w:ascii="宋体" w:hAnsi="宋体" w:eastAsia="宋体"/>
                <w:sz w:val="16"/>
              </w:rPr>
              <w:t>保障产业园用水人数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7907">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8E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1C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83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0A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9F9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6BD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9D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CB67D">
            <w:pPr>
              <w:jc w:val="center"/>
            </w:pPr>
          </w:p>
        </w:tc>
      </w:tr>
      <w:tr w14:paraId="27D60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1CA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DA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10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C415">
            <w:pPr>
              <w:jc w:val="center"/>
            </w:pPr>
            <w:r>
              <w:rPr>
                <w:rFonts w:ascii="宋体" w:hAnsi="宋体" w:eastAsia="宋体"/>
                <w:sz w:val="16"/>
              </w:rPr>
              <w:t>绿化中水浇灌面积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D32E">
            <w:pPr>
              <w:jc w:val="center"/>
            </w:pPr>
            <w:r>
              <w:rPr>
                <w:rFonts w:ascii="宋体" w:hAnsi="宋体" w:eastAsia="宋体"/>
                <w:sz w:val="16"/>
              </w:rPr>
              <w:t>&gt;=38451平方米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0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24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7E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EF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6152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7A63">
            <w:pPr>
              <w:jc w:val="center"/>
            </w:pPr>
            <w:r>
              <w:rPr>
                <w:rFonts w:ascii="宋体" w:hAnsi="宋体" w:eastAsia="宋体"/>
                <w:sz w:val="16"/>
              </w:rPr>
              <w:t>=38451平方米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62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6260">
            <w:pPr>
              <w:jc w:val="center"/>
            </w:pPr>
          </w:p>
        </w:tc>
      </w:tr>
      <w:tr w14:paraId="23CD3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D8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5A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5F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6B0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1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C2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4B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6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B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8C8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8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A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D9ED">
            <w:pPr>
              <w:jc w:val="center"/>
            </w:pPr>
          </w:p>
        </w:tc>
      </w:tr>
      <w:tr w14:paraId="3B645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10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FEC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70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16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6630">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47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6D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8F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79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929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094A">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45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2EF35">
            <w:pPr>
              <w:jc w:val="center"/>
            </w:pPr>
          </w:p>
        </w:tc>
      </w:tr>
      <w:tr w14:paraId="2B60B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FAE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A82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856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C501">
            <w:pPr>
              <w:jc w:val="center"/>
            </w:pPr>
            <w:r>
              <w:rPr>
                <w:rFonts w:ascii="宋体" w:hAnsi="宋体" w:eastAsia="宋体"/>
                <w:sz w:val="16"/>
              </w:rPr>
              <w:t>产业园电费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BC06">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20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B4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E3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A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B6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ED30">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5D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5447">
            <w:pPr>
              <w:jc w:val="center"/>
            </w:pPr>
          </w:p>
        </w:tc>
      </w:tr>
      <w:tr w14:paraId="51661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106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E82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965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CD76">
            <w:pPr>
              <w:jc w:val="center"/>
            </w:pPr>
            <w:r>
              <w:rPr>
                <w:rFonts w:ascii="宋体" w:hAnsi="宋体" w:eastAsia="宋体"/>
                <w:sz w:val="16"/>
              </w:rPr>
              <w:t>产业园自来水水费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3581">
            <w:pPr>
              <w:jc w:val="center"/>
            </w:pPr>
            <w:r>
              <w:rPr>
                <w:rFonts w:ascii="宋体" w:hAnsi="宋体" w:eastAsia="宋体"/>
                <w:sz w:val="16"/>
              </w:rPr>
              <w:t>&lt;=10.8455万元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F0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A6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2A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8F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E07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C368">
            <w:pPr>
              <w:jc w:val="center"/>
            </w:pPr>
            <w:r>
              <w:rPr>
                <w:rFonts w:ascii="宋体" w:hAnsi="宋体" w:eastAsia="宋体"/>
                <w:sz w:val="16"/>
              </w:rPr>
              <w:t>=10.8455万元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0B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5ABB">
            <w:pPr>
              <w:jc w:val="center"/>
            </w:pPr>
          </w:p>
        </w:tc>
      </w:tr>
      <w:tr w14:paraId="5B16E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4C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08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771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E5F5">
            <w:pPr>
              <w:jc w:val="center"/>
            </w:pPr>
            <w:r>
              <w:rPr>
                <w:rFonts w:ascii="宋体" w:hAnsi="宋体" w:eastAsia="宋体"/>
                <w:sz w:val="16"/>
              </w:rPr>
              <w:t>产业园中水水费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BCA9">
            <w:pPr>
              <w:jc w:val="center"/>
            </w:pPr>
            <w:r>
              <w:rPr>
                <w:rFonts w:ascii="宋体" w:hAnsi="宋体" w:eastAsia="宋体"/>
                <w:sz w:val="16"/>
              </w:rPr>
              <w:t>&lt;=9.232万元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E3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20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DF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B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377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8F1F">
            <w:pPr>
              <w:jc w:val="center"/>
            </w:pPr>
            <w:r>
              <w:rPr>
                <w:rFonts w:ascii="宋体" w:hAnsi="宋体" w:eastAsia="宋体"/>
                <w:sz w:val="16"/>
              </w:rPr>
              <w:t>=9.232万元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0B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A02D0">
            <w:pPr>
              <w:jc w:val="center"/>
            </w:pPr>
          </w:p>
        </w:tc>
      </w:tr>
      <w:tr w14:paraId="7569F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7D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C1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47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8D38">
            <w:pPr>
              <w:jc w:val="center"/>
            </w:pPr>
            <w:r>
              <w:rPr>
                <w:rFonts w:ascii="宋体" w:hAnsi="宋体" w:eastAsia="宋体"/>
                <w:sz w:val="16"/>
              </w:rPr>
              <w:t>监控视频接入公安网服务费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4533">
            <w:pPr>
              <w:jc w:val="center"/>
            </w:pPr>
            <w:r>
              <w:rPr>
                <w:rFonts w:ascii="宋体" w:hAnsi="宋体" w:eastAsia="宋体"/>
                <w:sz w:val="16"/>
              </w:rPr>
              <w:t>&lt;=5760元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4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94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18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1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97C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0D68">
            <w:pPr>
              <w:jc w:val="center"/>
            </w:pPr>
            <w:r>
              <w:rPr>
                <w:rFonts w:ascii="宋体" w:hAnsi="宋体" w:eastAsia="宋体"/>
                <w:sz w:val="16"/>
              </w:rPr>
              <w:t>=5760元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81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CFE9">
            <w:pPr>
              <w:jc w:val="center"/>
            </w:pPr>
          </w:p>
        </w:tc>
      </w:tr>
      <w:tr w14:paraId="65673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149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4BE8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858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CE89">
            <w:pPr>
              <w:jc w:val="center"/>
            </w:pPr>
            <w:r>
              <w:rPr>
                <w:rFonts w:ascii="宋体" w:hAnsi="宋体" w:eastAsia="宋体"/>
                <w:sz w:val="16"/>
              </w:rPr>
              <w:t>有效维护产业园正常运转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0EF7">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3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90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B1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E4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63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A7BE">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E4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BADD">
            <w:pPr>
              <w:jc w:val="center"/>
            </w:pPr>
          </w:p>
        </w:tc>
      </w:tr>
      <w:tr w14:paraId="532E0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75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87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0E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F96F">
            <w:pPr>
              <w:jc w:val="center"/>
            </w:pPr>
            <w:r>
              <w:rPr>
                <w:rFonts w:ascii="宋体" w:hAnsi="宋体" w:eastAsia="宋体"/>
                <w:sz w:val="16"/>
              </w:rPr>
              <w:t>有效维护产业园社会稳定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6F86">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7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1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14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07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C8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35D2">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D3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12BB">
            <w:pPr>
              <w:jc w:val="center"/>
            </w:pPr>
          </w:p>
        </w:tc>
      </w:tr>
      <w:tr w14:paraId="40C4E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A4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BD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CB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DC7D">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073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CB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E9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F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1C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C6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C0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8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2612D">
            <w:pPr>
              <w:jc w:val="center"/>
            </w:pPr>
            <w:r>
              <w:rPr>
                <w:rFonts w:ascii="宋体" w:hAnsi="宋体" w:eastAsia="宋体"/>
                <w:sz w:val="16"/>
              </w:rPr>
              <w:t>该项目指标受益企业满意度≥95%，因项目实际调查问卷满意度为100%，故指标偏差为5.26%；改进措施：根据项目实施情况，合理设置预期的指标，使完成值与预期目标值相一致。</w:t>
            </w:r>
          </w:p>
        </w:tc>
      </w:tr>
      <w:tr w14:paraId="48AE0E9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D376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392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FB3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7D8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F8DA8F"/>
        </w:tc>
      </w:tr>
    </w:tbl>
    <w:p w14:paraId="4C4DF7D3">
      <w:r>
        <w:br w:type="page"/>
      </w:r>
    </w:p>
    <w:tbl>
      <w:tblPr>
        <w:tblStyle w:val="9"/>
        <w:tblW w:w="5000" w:type="pct"/>
        <w:jc w:val="center"/>
        <w:tblLayout w:type="autofit"/>
        <w:tblCellMar>
          <w:top w:w="40" w:type="dxa"/>
          <w:left w:w="64" w:type="dxa"/>
          <w:bottom w:w="40" w:type="dxa"/>
          <w:right w:w="64" w:type="dxa"/>
        </w:tblCellMar>
      </w:tblPr>
      <w:tblGrid>
        <w:gridCol w:w="541"/>
        <w:gridCol w:w="449"/>
        <w:gridCol w:w="483"/>
        <w:gridCol w:w="991"/>
        <w:gridCol w:w="868"/>
        <w:gridCol w:w="515"/>
        <w:gridCol w:w="486"/>
        <w:gridCol w:w="431"/>
        <w:gridCol w:w="684"/>
        <w:gridCol w:w="781"/>
        <w:gridCol w:w="947"/>
        <w:gridCol w:w="743"/>
        <w:gridCol w:w="1053"/>
      </w:tblGrid>
      <w:tr w14:paraId="0FDF2048">
        <w:tblPrEx>
          <w:tblCellMar>
            <w:top w:w="40" w:type="dxa"/>
            <w:left w:w="64" w:type="dxa"/>
            <w:bottom w:w="40" w:type="dxa"/>
            <w:right w:w="64" w:type="dxa"/>
          </w:tblCellMar>
        </w:tblPrEx>
        <w:trPr>
          <w:trHeight w:val="0" w:hRule="atLeast"/>
          <w:jc w:val="center"/>
        </w:trPr>
        <w:tc>
          <w:tcPr>
            <w:tcW w:w="5000" w:type="pct"/>
            <w:gridSpan w:val="13"/>
            <w:vAlign w:val="center"/>
          </w:tcPr>
          <w:p w14:paraId="7E3CC442">
            <w:pPr>
              <w:snapToGrid w:val="0"/>
              <w:jc w:val="center"/>
            </w:pPr>
            <w:r>
              <w:rPr>
                <w:rFonts w:ascii="宋体" w:hAnsi="宋体" w:eastAsia="宋体"/>
                <w:sz w:val="24"/>
              </w:rPr>
              <w:t>项目支出绩效自评表</w:t>
            </w:r>
          </w:p>
        </w:tc>
      </w:tr>
      <w:tr w14:paraId="375C9CBE">
        <w:tblPrEx>
          <w:tblCellMar>
            <w:top w:w="40" w:type="dxa"/>
            <w:left w:w="64" w:type="dxa"/>
            <w:bottom w:w="40" w:type="dxa"/>
            <w:right w:w="64" w:type="dxa"/>
          </w:tblCellMar>
        </w:tblPrEx>
        <w:trPr>
          <w:trHeight w:val="0" w:hRule="atLeast"/>
          <w:jc w:val="center"/>
        </w:trPr>
        <w:tc>
          <w:tcPr>
            <w:tcW w:w="5000" w:type="pct"/>
            <w:gridSpan w:val="13"/>
            <w:vAlign w:val="center"/>
          </w:tcPr>
          <w:p w14:paraId="243217E9">
            <w:pPr>
              <w:snapToGrid w:val="0"/>
              <w:jc w:val="center"/>
            </w:pPr>
            <w:r>
              <w:rPr>
                <w:rFonts w:ascii="宋体" w:hAnsi="宋体" w:eastAsia="宋体"/>
                <w:sz w:val="24"/>
              </w:rPr>
              <w:t>(2024年度)</w:t>
            </w:r>
          </w:p>
        </w:tc>
      </w:tr>
      <w:tr w14:paraId="100F1BCF">
        <w:tblPrEx>
          <w:tblCellMar>
            <w:top w:w="40" w:type="dxa"/>
            <w:left w:w="64" w:type="dxa"/>
            <w:bottom w:w="40" w:type="dxa"/>
            <w:right w:w="64" w:type="dxa"/>
          </w:tblCellMar>
        </w:tblPrEx>
        <w:trPr>
          <w:trHeight w:val="0" w:hRule="atLeast"/>
          <w:jc w:val="center"/>
        </w:trPr>
        <w:tc>
          <w:tcPr>
            <w:tcW w:w="302" w:type="pct"/>
            <w:tcBorders>
              <w:top w:val="single" w:color="auto" w:sz="10" w:space="0"/>
              <w:left w:val="single" w:color="auto" w:sz="10" w:space="0"/>
              <w:bottom w:val="single" w:color="auto" w:sz="10" w:space="0"/>
              <w:right w:val="single" w:color="auto" w:sz="10" w:space="0"/>
              <w:insideV w:val="single" w:sz="10" w:space="0"/>
            </w:tcBorders>
            <w:vAlign w:val="center"/>
          </w:tcPr>
          <w:p w14:paraId="1EBF5123">
            <w:pPr>
              <w:snapToGrid w:val="0"/>
              <w:jc w:val="center"/>
            </w:pPr>
            <w:r>
              <w:rPr>
                <w:rFonts w:ascii="宋体" w:hAnsi="宋体" w:eastAsia="宋体"/>
                <w:sz w:val="16"/>
              </w:rPr>
              <w:t>项目名称</w:t>
            </w:r>
          </w:p>
        </w:tc>
        <w:tc>
          <w:tcPr>
            <w:tcW w:w="4697" w:type="pct"/>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695D561">
            <w:pPr>
              <w:snapToGrid w:val="0"/>
              <w:jc w:val="center"/>
            </w:pPr>
            <w:r>
              <w:rPr>
                <w:rFonts w:ascii="宋体" w:hAnsi="宋体" w:eastAsia="宋体"/>
                <w:sz w:val="16"/>
              </w:rPr>
              <w:t>疏勒工业园区管委会工作经费</w:t>
            </w:r>
          </w:p>
        </w:tc>
      </w:tr>
      <w:tr w14:paraId="30E11BE1">
        <w:tblPrEx>
          <w:tblCellMar>
            <w:top w:w="40" w:type="dxa"/>
            <w:left w:w="64" w:type="dxa"/>
            <w:bottom w:w="40" w:type="dxa"/>
            <w:right w:w="64" w:type="dxa"/>
          </w:tblCellMar>
        </w:tblPrEx>
        <w:trPr>
          <w:trHeight w:val="0" w:hRule="atLeast"/>
          <w:jc w:val="center"/>
        </w:trPr>
        <w:tc>
          <w:tcPr>
            <w:tcW w:w="302" w:type="pct"/>
            <w:tcBorders>
              <w:top w:val="single" w:color="auto" w:sz="10" w:space="0"/>
              <w:left w:val="single" w:color="auto" w:sz="10" w:space="0"/>
              <w:bottom w:val="single" w:color="auto" w:sz="10" w:space="0"/>
              <w:right w:val="single" w:color="auto" w:sz="10" w:space="0"/>
              <w:insideV w:val="single" w:sz="10" w:space="0"/>
            </w:tcBorders>
            <w:vAlign w:val="center"/>
          </w:tcPr>
          <w:p w14:paraId="5177519E">
            <w:pPr>
              <w:snapToGrid w:val="0"/>
              <w:jc w:val="center"/>
            </w:pPr>
            <w:r>
              <w:rPr>
                <w:rFonts w:ascii="宋体" w:hAnsi="宋体" w:eastAsia="宋体"/>
                <w:sz w:val="16"/>
              </w:rPr>
              <w:t>主管部门</w:t>
            </w:r>
          </w:p>
        </w:tc>
        <w:tc>
          <w:tcPr>
            <w:tcW w:w="2352"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8D83AC">
            <w:pPr>
              <w:snapToGrid w:val="0"/>
              <w:jc w:val="center"/>
            </w:pPr>
            <w:r>
              <w:rPr>
                <w:rFonts w:ascii="宋体" w:hAnsi="宋体" w:eastAsia="宋体"/>
                <w:sz w:val="16"/>
              </w:rPr>
              <w:t>疏勒南疆齐鲁工业园区管理委员会</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466960AD">
            <w:pPr>
              <w:snapToGrid w:val="0"/>
              <w:jc w:val="center"/>
            </w:pPr>
            <w:r>
              <w:rPr>
                <w:rFonts w:ascii="宋体" w:hAnsi="宋体" w:eastAsia="宋体"/>
                <w:sz w:val="16"/>
              </w:rPr>
              <w:t>实施单位</w:t>
            </w:r>
          </w:p>
        </w:tc>
        <w:tc>
          <w:tcPr>
            <w:tcW w:w="1963"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19D37D">
            <w:pPr>
              <w:snapToGrid w:val="0"/>
              <w:jc w:val="center"/>
            </w:pPr>
            <w:r>
              <w:rPr>
                <w:rFonts w:ascii="宋体" w:hAnsi="宋体" w:eastAsia="宋体"/>
                <w:sz w:val="16"/>
              </w:rPr>
              <w:t>疏勒南疆齐鲁工业园区管理委员会</w:t>
            </w:r>
          </w:p>
        </w:tc>
      </w:tr>
      <w:tr w14:paraId="1EA5538B">
        <w:tblPrEx>
          <w:tblCellMar>
            <w:top w:w="40" w:type="dxa"/>
            <w:left w:w="64" w:type="dxa"/>
            <w:bottom w:w="40" w:type="dxa"/>
            <w:right w:w="64" w:type="dxa"/>
          </w:tblCellMar>
        </w:tblPrEx>
        <w:trPr>
          <w:trHeight w:val="0" w:hRule="atLeast"/>
          <w:jc w:val="center"/>
        </w:trPr>
        <w:tc>
          <w:tcPr>
            <w:tcW w:w="30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13F06">
            <w:pPr>
              <w:snapToGrid w:val="0"/>
              <w:jc w:val="center"/>
            </w:pPr>
            <w:r>
              <w:rPr>
                <w:rFonts w:ascii="宋体" w:hAnsi="宋体" w:eastAsia="宋体"/>
                <w:sz w:val="16"/>
              </w:rPr>
              <w:t>项目资金 （万元）</w:t>
            </w:r>
          </w:p>
        </w:tc>
        <w:tc>
          <w:tcPr>
            <w:tcW w:w="51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2B66">
            <w:pPr>
              <w:snapToGrid w:val="0"/>
              <w:jc w:val="center"/>
            </w:pPr>
          </w:p>
        </w:tc>
        <w:tc>
          <w:tcPr>
            <w:tcW w:w="103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B31E">
            <w:pPr>
              <w:snapToGrid w:val="0"/>
              <w:jc w:val="center"/>
            </w:pPr>
            <w:r>
              <w:rPr>
                <w:rFonts w:ascii="宋体" w:hAnsi="宋体" w:eastAsia="宋体"/>
                <w:sz w:val="16"/>
              </w:rPr>
              <w:t>年初预算数</w:t>
            </w:r>
          </w:p>
        </w:tc>
        <w:tc>
          <w:tcPr>
            <w:tcW w:w="55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D5C35">
            <w:pPr>
              <w:snapToGrid w:val="0"/>
              <w:jc w:val="center"/>
            </w:pPr>
            <w:r>
              <w:rPr>
                <w:rFonts w:ascii="宋体" w:hAnsi="宋体" w:eastAsia="宋体"/>
                <w:sz w:val="16"/>
              </w:rPr>
              <w:t>全年预算数</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213D0">
            <w:pPr>
              <w:snapToGrid w:val="0"/>
              <w:jc w:val="center"/>
            </w:pPr>
            <w:r>
              <w:rPr>
                <w:rFonts w:ascii="宋体" w:hAnsi="宋体" w:eastAsia="宋体"/>
                <w:sz w:val="16"/>
              </w:rPr>
              <w:t>全年执行数</w:t>
            </w:r>
          </w:p>
        </w:tc>
        <w:tc>
          <w:tcPr>
            <w:tcW w:w="96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966D1">
            <w:pPr>
              <w:snapToGrid w:val="0"/>
              <w:jc w:val="center"/>
            </w:pPr>
            <w:r>
              <w:rPr>
                <w:rFonts w:ascii="宋体" w:hAnsi="宋体" w:eastAsia="宋体"/>
                <w:sz w:val="16"/>
              </w:rPr>
              <w:t>分值</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7EE75571">
            <w:pPr>
              <w:snapToGrid w:val="0"/>
              <w:jc w:val="center"/>
            </w:pPr>
            <w:r>
              <w:rPr>
                <w:rFonts w:ascii="宋体" w:hAnsi="宋体" w:eastAsia="宋体"/>
                <w:sz w:val="16"/>
              </w:rPr>
              <w:t>执行率</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61336328">
            <w:pPr>
              <w:snapToGrid w:val="0"/>
              <w:jc w:val="center"/>
            </w:pPr>
            <w:r>
              <w:rPr>
                <w:rFonts w:ascii="宋体" w:hAnsi="宋体" w:eastAsia="宋体"/>
                <w:sz w:val="16"/>
              </w:rPr>
              <w:t>得分</w:t>
            </w:r>
          </w:p>
        </w:tc>
      </w:tr>
      <w:tr w14:paraId="74FD6A17">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4DF3649E">
            <w:pPr>
              <w:snapToGrid w:val="0"/>
            </w:pPr>
          </w:p>
        </w:tc>
        <w:tc>
          <w:tcPr>
            <w:tcW w:w="51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CDC8D">
            <w:pPr>
              <w:snapToGrid w:val="0"/>
              <w:jc w:val="center"/>
            </w:pPr>
            <w:r>
              <w:rPr>
                <w:rFonts w:ascii="宋体" w:hAnsi="宋体" w:eastAsia="宋体"/>
                <w:sz w:val="16"/>
              </w:rPr>
              <w:t>年度资金总额</w:t>
            </w:r>
          </w:p>
        </w:tc>
        <w:tc>
          <w:tcPr>
            <w:tcW w:w="103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EFAC0">
            <w:pPr>
              <w:snapToGrid w:val="0"/>
              <w:jc w:val="center"/>
            </w:pPr>
            <w:r>
              <w:rPr>
                <w:rFonts w:ascii="宋体" w:hAnsi="宋体" w:eastAsia="宋体"/>
                <w:sz w:val="16"/>
              </w:rPr>
              <w:t>5.00</w:t>
            </w:r>
          </w:p>
        </w:tc>
        <w:tc>
          <w:tcPr>
            <w:tcW w:w="55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237DB">
            <w:pPr>
              <w:snapToGrid w:val="0"/>
              <w:jc w:val="center"/>
            </w:pPr>
            <w:r>
              <w:rPr>
                <w:rFonts w:ascii="宋体" w:hAnsi="宋体" w:eastAsia="宋体"/>
                <w:sz w:val="16"/>
              </w:rPr>
              <w:t>6.38</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1AC8">
            <w:pPr>
              <w:snapToGrid w:val="0"/>
              <w:jc w:val="center"/>
            </w:pPr>
            <w:r>
              <w:rPr>
                <w:rFonts w:ascii="宋体" w:hAnsi="宋体" w:eastAsia="宋体"/>
                <w:sz w:val="16"/>
              </w:rPr>
              <w:t>6.38</w:t>
            </w:r>
          </w:p>
        </w:tc>
        <w:tc>
          <w:tcPr>
            <w:tcW w:w="96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FEB83">
            <w:pPr>
              <w:snapToGrid w:val="0"/>
              <w:jc w:val="center"/>
            </w:pPr>
            <w:r>
              <w:rPr>
                <w:rFonts w:ascii="宋体" w:hAnsi="宋体" w:eastAsia="宋体"/>
                <w:sz w:val="16"/>
              </w:rPr>
              <w:t>10</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7BC964DC">
            <w:pPr>
              <w:snapToGrid w:val="0"/>
              <w:jc w:val="center"/>
            </w:pPr>
            <w:r>
              <w:rPr>
                <w:rFonts w:ascii="宋体" w:hAnsi="宋体" w:eastAsia="宋体"/>
                <w:sz w:val="16"/>
              </w:rPr>
              <w:t>100.0%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1A79FD55">
            <w:pPr>
              <w:snapToGrid w:val="0"/>
              <w:jc w:val="center"/>
            </w:pPr>
            <w:r>
              <w:rPr>
                <w:rFonts w:ascii="宋体" w:hAnsi="宋体" w:eastAsia="宋体"/>
                <w:sz w:val="16"/>
              </w:rPr>
              <w:t>10.00分</w:t>
            </w:r>
          </w:p>
        </w:tc>
      </w:tr>
      <w:tr w14:paraId="7AC00898">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79E8355F">
            <w:pPr>
              <w:snapToGrid w:val="0"/>
            </w:pPr>
          </w:p>
        </w:tc>
        <w:tc>
          <w:tcPr>
            <w:tcW w:w="51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5E410">
            <w:pPr>
              <w:snapToGrid w:val="0"/>
              <w:jc w:val="center"/>
            </w:pPr>
            <w:r>
              <w:rPr>
                <w:rFonts w:ascii="宋体" w:hAnsi="宋体" w:eastAsia="宋体"/>
                <w:sz w:val="16"/>
              </w:rPr>
              <w:t>其中：当年财政拨款</w:t>
            </w:r>
          </w:p>
        </w:tc>
        <w:tc>
          <w:tcPr>
            <w:tcW w:w="103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B279A">
            <w:pPr>
              <w:snapToGrid w:val="0"/>
              <w:jc w:val="center"/>
            </w:pPr>
            <w:r>
              <w:rPr>
                <w:rFonts w:ascii="宋体" w:hAnsi="宋体" w:eastAsia="宋体"/>
                <w:sz w:val="16"/>
              </w:rPr>
              <w:t>5.00</w:t>
            </w:r>
          </w:p>
        </w:tc>
        <w:tc>
          <w:tcPr>
            <w:tcW w:w="55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7BC49">
            <w:pPr>
              <w:snapToGrid w:val="0"/>
              <w:jc w:val="center"/>
            </w:pPr>
            <w:r>
              <w:rPr>
                <w:rFonts w:ascii="宋体" w:hAnsi="宋体" w:eastAsia="宋体"/>
                <w:sz w:val="16"/>
              </w:rPr>
              <w:t>6.38</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338FC">
            <w:pPr>
              <w:snapToGrid w:val="0"/>
              <w:jc w:val="center"/>
            </w:pPr>
            <w:r>
              <w:rPr>
                <w:rFonts w:ascii="宋体" w:hAnsi="宋体" w:eastAsia="宋体"/>
                <w:sz w:val="16"/>
              </w:rPr>
              <w:t>6.38</w:t>
            </w:r>
          </w:p>
        </w:tc>
        <w:tc>
          <w:tcPr>
            <w:tcW w:w="96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36D64">
            <w:pPr>
              <w:snapToGrid w:val="0"/>
              <w:jc w:val="center"/>
            </w:pPr>
            <w:r>
              <w:rPr>
                <w:rFonts w:ascii="宋体" w:hAnsi="宋体" w:eastAsia="宋体"/>
                <w:sz w:val="16"/>
              </w:rPr>
              <w:t>—</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5F89CC4F">
            <w:pPr>
              <w:snapToGrid w:val="0"/>
              <w:jc w:val="center"/>
            </w:pPr>
            <w:r>
              <w:rPr>
                <w:rFonts w:ascii="宋体" w:hAnsi="宋体" w:eastAsia="宋体"/>
                <w:sz w:val="16"/>
              </w:rPr>
              <w:t>—</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19A2DEE8">
            <w:pPr>
              <w:snapToGrid w:val="0"/>
              <w:jc w:val="center"/>
            </w:pPr>
            <w:r>
              <w:rPr>
                <w:rFonts w:ascii="宋体" w:hAnsi="宋体" w:eastAsia="宋体"/>
                <w:sz w:val="16"/>
              </w:rPr>
              <w:t>—</w:t>
            </w:r>
          </w:p>
        </w:tc>
      </w:tr>
      <w:tr w14:paraId="4D4440C9">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003F2F02">
            <w:pPr>
              <w:snapToGrid w:val="0"/>
            </w:pPr>
          </w:p>
        </w:tc>
        <w:tc>
          <w:tcPr>
            <w:tcW w:w="519"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230E">
            <w:pPr>
              <w:snapToGrid w:val="0"/>
              <w:jc w:val="center"/>
            </w:pPr>
            <w:r>
              <w:rPr>
                <w:rFonts w:ascii="宋体" w:hAnsi="宋体" w:eastAsia="宋体"/>
                <w:sz w:val="16"/>
              </w:rPr>
              <w:t xml:space="preserve">  其他资金</w:t>
            </w:r>
          </w:p>
        </w:tc>
        <w:tc>
          <w:tcPr>
            <w:tcW w:w="103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8A4BE">
            <w:pPr>
              <w:snapToGrid w:val="0"/>
              <w:jc w:val="center"/>
            </w:pPr>
            <w:r>
              <w:rPr>
                <w:rFonts w:ascii="宋体" w:hAnsi="宋体" w:eastAsia="宋体"/>
                <w:sz w:val="16"/>
              </w:rPr>
              <w:t>0.00</w:t>
            </w:r>
          </w:p>
        </w:tc>
        <w:tc>
          <w:tcPr>
            <w:tcW w:w="556"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CA509">
            <w:pPr>
              <w:snapToGrid w:val="0"/>
              <w:jc w:val="center"/>
            </w:pPr>
            <w:r>
              <w:rPr>
                <w:rFonts w:ascii="宋体" w:hAnsi="宋体" w:eastAsia="宋体"/>
                <w:sz w:val="16"/>
              </w:rPr>
              <w:t>0.00</w:t>
            </w:r>
          </w:p>
        </w:tc>
        <w:tc>
          <w:tcPr>
            <w:tcW w:w="621"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5E75">
            <w:pPr>
              <w:snapToGrid w:val="0"/>
              <w:jc w:val="center"/>
            </w:pPr>
            <w:r>
              <w:rPr>
                <w:rFonts w:ascii="宋体" w:hAnsi="宋体" w:eastAsia="宋体"/>
                <w:sz w:val="16"/>
              </w:rPr>
              <w:t>0.00</w:t>
            </w:r>
          </w:p>
        </w:tc>
        <w:tc>
          <w:tcPr>
            <w:tcW w:w="962" w:type="pct"/>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61CA">
            <w:pPr>
              <w:snapToGrid w:val="0"/>
              <w:jc w:val="center"/>
            </w:pPr>
            <w:r>
              <w:rPr>
                <w:rFonts w:ascii="宋体" w:hAnsi="宋体" w:eastAsia="宋体"/>
                <w:sz w:val="16"/>
              </w:rPr>
              <w:t>—</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4E0E2379">
            <w:pPr>
              <w:snapToGrid w:val="0"/>
              <w:jc w:val="center"/>
            </w:pPr>
            <w:r>
              <w:rPr>
                <w:rFonts w:ascii="宋体" w:hAnsi="宋体" w:eastAsia="宋体"/>
                <w:sz w:val="16"/>
              </w:rPr>
              <w:t>—</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70ACDBF0">
            <w:pPr>
              <w:snapToGrid w:val="0"/>
              <w:jc w:val="center"/>
            </w:pPr>
            <w:r>
              <w:rPr>
                <w:rFonts w:ascii="宋体" w:hAnsi="宋体" w:eastAsia="宋体"/>
                <w:sz w:val="16"/>
              </w:rPr>
              <w:t>—</w:t>
            </w:r>
          </w:p>
        </w:tc>
      </w:tr>
      <w:tr w14:paraId="2459F820">
        <w:tblPrEx>
          <w:tblCellMar>
            <w:top w:w="40" w:type="dxa"/>
            <w:left w:w="64" w:type="dxa"/>
            <w:bottom w:w="40" w:type="dxa"/>
            <w:right w:w="64" w:type="dxa"/>
          </w:tblCellMar>
        </w:tblPrEx>
        <w:trPr>
          <w:trHeight w:val="0" w:hRule="atLeast"/>
          <w:jc w:val="center"/>
        </w:trPr>
        <w:tc>
          <w:tcPr>
            <w:tcW w:w="30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26893">
            <w:pPr>
              <w:snapToGrid w:val="0"/>
              <w:jc w:val="center"/>
            </w:pPr>
            <w:r>
              <w:rPr>
                <w:rFonts w:ascii="宋体" w:hAnsi="宋体" w:eastAsia="宋体"/>
                <w:sz w:val="16"/>
              </w:rPr>
              <w:t>三、目标完成情况</w:t>
            </w:r>
          </w:p>
        </w:tc>
        <w:tc>
          <w:tcPr>
            <w:tcW w:w="2352"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0BCAFF">
            <w:pPr>
              <w:snapToGrid w:val="0"/>
              <w:jc w:val="center"/>
            </w:pPr>
            <w:r>
              <w:rPr>
                <w:rFonts w:ascii="宋体" w:hAnsi="宋体" w:eastAsia="宋体"/>
                <w:sz w:val="16"/>
              </w:rPr>
              <w:t>预期目标</w:t>
            </w:r>
          </w:p>
        </w:tc>
        <w:tc>
          <w:tcPr>
            <w:tcW w:w="2345"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AB1B6C">
            <w:pPr>
              <w:snapToGrid w:val="0"/>
              <w:jc w:val="center"/>
            </w:pPr>
            <w:r>
              <w:rPr>
                <w:rFonts w:ascii="宋体" w:hAnsi="宋体" w:eastAsia="宋体"/>
                <w:sz w:val="16"/>
              </w:rPr>
              <w:t>实际完成情况</w:t>
            </w:r>
          </w:p>
        </w:tc>
      </w:tr>
      <w:tr w14:paraId="59FA18C7">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7978EDE6">
            <w:pPr>
              <w:snapToGrid w:val="0"/>
            </w:pPr>
          </w:p>
        </w:tc>
        <w:tc>
          <w:tcPr>
            <w:tcW w:w="2352"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EDC1B">
            <w:pPr>
              <w:snapToGrid w:val="0"/>
              <w:jc w:val="both"/>
            </w:pPr>
            <w:r>
              <w:rPr>
                <w:rFonts w:ascii="宋体" w:hAnsi="宋体" w:eastAsia="宋体"/>
                <w:sz w:val="16"/>
              </w:rPr>
              <w:t>项目计划投资总额为6.38477万元，涉及服务企业数量800家，保障车辆数5</w:t>
            </w:r>
            <w:r>
              <w:rPr>
                <w:rFonts w:hint="eastAsia" w:ascii="宋体" w:hAnsi="宋体"/>
                <w:sz w:val="16"/>
                <w:lang w:eastAsia="zh-CN"/>
              </w:rPr>
              <w:t>辆</w:t>
            </w:r>
            <w:r>
              <w:rPr>
                <w:rFonts w:ascii="宋体" w:hAnsi="宋体" w:eastAsia="宋体"/>
                <w:sz w:val="16"/>
              </w:rPr>
              <w:t>，资金主要用于缴纳自治区园区会费1万元，各类办公用品1万元，车辆加油费1万元，0.5418万元用于支付车辆保险费，2.84297万元用于缴纳项目处罚金。预计项目实施后，有效推动工业园区实现经济高质量发展的引领带动作用，有效改善工业园区基础设施配套，受益企业满意度达95%及以上。</w:t>
            </w:r>
          </w:p>
        </w:tc>
        <w:tc>
          <w:tcPr>
            <w:tcW w:w="2345" w:type="pct"/>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7EBB0">
            <w:pPr>
              <w:snapToGrid w:val="0"/>
              <w:jc w:val="both"/>
            </w:pPr>
            <w:r>
              <w:rPr>
                <w:rFonts w:hint="eastAsia" w:ascii="宋体" w:hAnsi="宋体"/>
                <w:sz w:val="16"/>
                <w:lang w:eastAsia="zh-CN"/>
              </w:rPr>
              <w:t>截至</w:t>
            </w:r>
            <w:r>
              <w:rPr>
                <w:rFonts w:ascii="宋体" w:hAnsi="宋体" w:eastAsia="宋体"/>
                <w:sz w:val="16"/>
              </w:rPr>
              <w:t>2024年12月31日，项目实际投资总额为6.38477万元，涉及服务企业数量800家，保障车辆数5</w:t>
            </w:r>
            <w:r>
              <w:rPr>
                <w:rFonts w:hint="eastAsia" w:ascii="宋体" w:hAnsi="宋体"/>
                <w:sz w:val="16"/>
                <w:lang w:eastAsia="zh-CN"/>
              </w:rPr>
              <w:t>辆</w:t>
            </w:r>
            <w:r>
              <w:rPr>
                <w:rFonts w:ascii="宋体" w:hAnsi="宋体" w:eastAsia="宋体"/>
                <w:sz w:val="16"/>
              </w:rPr>
              <w:t>，资金用于缴纳自治区园区会费1万元，各类办公用品1万元，车辆加油费1万元，0.5418万元用于支付车辆保险费，2.84297万元用于缴纳项目处罚金。项目实施后，有效推动了工业园区实现经济高质量发展的引领带动作用，有效改善了工业园区基础设施配套，受益企业满意度95%。</w:t>
            </w:r>
          </w:p>
        </w:tc>
      </w:tr>
      <w:tr w14:paraId="0479B189">
        <w:tblPrEx>
          <w:tblCellMar>
            <w:top w:w="40" w:type="dxa"/>
            <w:left w:w="64" w:type="dxa"/>
            <w:bottom w:w="40" w:type="dxa"/>
            <w:right w:w="64" w:type="dxa"/>
          </w:tblCellMar>
        </w:tblPrEx>
        <w:trPr>
          <w:trHeight w:val="0" w:hRule="atLeast"/>
          <w:jc w:val="center"/>
        </w:trPr>
        <w:tc>
          <w:tcPr>
            <w:tcW w:w="302" w:type="pct"/>
            <w:tcBorders>
              <w:top w:val="single" w:color="auto" w:sz="10" w:space="0"/>
              <w:left w:val="single" w:color="auto" w:sz="10" w:space="0"/>
              <w:bottom w:val="single" w:color="auto" w:sz="10" w:space="0"/>
              <w:right w:val="single" w:color="auto" w:sz="10" w:space="0"/>
              <w:insideV w:val="single" w:sz="10" w:space="0"/>
            </w:tcBorders>
          </w:tcPr>
          <w:p w14:paraId="1EFE5D4C">
            <w:pPr>
              <w:snapToGrid w:val="0"/>
            </w:pPr>
          </w:p>
        </w:tc>
        <w:tc>
          <w:tcPr>
            <w:tcW w:w="250" w:type="pct"/>
            <w:tcBorders>
              <w:top w:val="single" w:color="auto" w:sz="10" w:space="0"/>
              <w:left w:val="single" w:color="auto" w:sz="10" w:space="0"/>
              <w:bottom w:val="single" w:color="auto" w:sz="10" w:space="0"/>
              <w:right w:val="single" w:color="auto" w:sz="10" w:space="0"/>
              <w:insideV w:val="single" w:sz="10" w:space="0"/>
            </w:tcBorders>
            <w:vAlign w:val="center"/>
          </w:tcPr>
          <w:p w14:paraId="3ADAF886">
            <w:pPr>
              <w:snapToGrid w:val="0"/>
              <w:jc w:val="center"/>
            </w:pPr>
            <w:r>
              <w:rPr>
                <w:rFonts w:ascii="宋体" w:hAnsi="宋体" w:eastAsia="宋体"/>
                <w:sz w:val="16"/>
              </w:rPr>
              <w:t>一级指标</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06A51E95">
            <w:pPr>
              <w:snapToGrid w:val="0"/>
              <w:jc w:val="center"/>
            </w:pPr>
            <w:r>
              <w:rPr>
                <w:rFonts w:ascii="宋体" w:hAnsi="宋体" w:eastAsia="宋体"/>
                <w:sz w:val="16"/>
              </w:rPr>
              <w:t>二级指标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1D2A3DE4">
            <w:pPr>
              <w:snapToGrid w:val="0"/>
              <w:jc w:val="center"/>
            </w:pPr>
            <w:r>
              <w:rPr>
                <w:rFonts w:ascii="宋体" w:hAnsi="宋体" w:eastAsia="宋体"/>
                <w:sz w:val="16"/>
              </w:rPr>
              <w:t>三级指标</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6ED771ED">
            <w:pPr>
              <w:snapToGrid w:val="0"/>
              <w:jc w:val="center"/>
            </w:pPr>
            <w:r>
              <w:rPr>
                <w:rFonts w:ascii="宋体" w:hAnsi="宋体" w:eastAsia="宋体"/>
                <w:sz w:val="16"/>
              </w:rPr>
              <w:t>年度指标值</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9520753">
            <w:pPr>
              <w:snapToGrid w:val="0"/>
              <w:jc w:val="center"/>
            </w:pPr>
            <w:r>
              <w:rPr>
                <w:rFonts w:ascii="宋体" w:hAnsi="宋体" w:eastAsia="宋体"/>
                <w:sz w:val="16"/>
              </w:rPr>
              <w:t>指标值设定依据</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130C1C69">
            <w:pPr>
              <w:snapToGrid w:val="0"/>
              <w:jc w:val="center"/>
            </w:pPr>
            <w:r>
              <w:rPr>
                <w:rFonts w:ascii="宋体" w:hAnsi="宋体" w:eastAsia="宋体"/>
                <w:sz w:val="16"/>
              </w:rPr>
              <w:t>上年完成情况</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0202B0BB">
            <w:pPr>
              <w:snapToGrid w:val="0"/>
              <w:jc w:val="center"/>
            </w:pPr>
            <w:r>
              <w:rPr>
                <w:rFonts w:ascii="宋体" w:hAnsi="宋体" w:eastAsia="宋体"/>
                <w:sz w:val="16"/>
              </w:rPr>
              <w:t>权重</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2A9E2C09">
            <w:pPr>
              <w:snapToGrid w:val="0"/>
              <w:jc w:val="center"/>
            </w:pPr>
            <w:r>
              <w:rPr>
                <w:rFonts w:ascii="宋体" w:hAnsi="宋体" w:eastAsia="宋体"/>
                <w:sz w:val="16"/>
              </w:rPr>
              <w:t>赋分规则</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7DF7C3B6">
            <w:pPr>
              <w:snapToGrid w:val="0"/>
              <w:jc w:val="center"/>
            </w:pPr>
            <w:r>
              <w:rPr>
                <w:rFonts w:ascii="宋体" w:hAnsi="宋体" w:eastAsia="宋体"/>
                <w:sz w:val="16"/>
              </w:rPr>
              <w:t>佐证资料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4E5F6860">
            <w:pPr>
              <w:snapToGrid w:val="0"/>
              <w:jc w:val="center"/>
            </w:pPr>
            <w:r>
              <w:rPr>
                <w:rFonts w:ascii="宋体" w:hAnsi="宋体" w:eastAsia="宋体"/>
                <w:sz w:val="16"/>
              </w:rPr>
              <w:t>实际完成值</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0D6CF0D6">
            <w:pPr>
              <w:snapToGrid w:val="0"/>
              <w:jc w:val="center"/>
            </w:pPr>
            <w:r>
              <w:rPr>
                <w:rFonts w:ascii="宋体" w:hAnsi="宋体" w:eastAsia="宋体"/>
                <w:sz w:val="16"/>
              </w:rPr>
              <w:t>得分</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2CB17EAE">
            <w:pPr>
              <w:snapToGrid w:val="0"/>
              <w:jc w:val="center"/>
            </w:pPr>
            <w:r>
              <w:rPr>
                <w:rFonts w:ascii="宋体" w:hAnsi="宋体" w:eastAsia="宋体"/>
                <w:sz w:val="16"/>
              </w:rPr>
              <w:t>偏差原因分析及改进措施</w:t>
            </w:r>
          </w:p>
        </w:tc>
      </w:tr>
      <w:tr w14:paraId="55470963">
        <w:tblPrEx>
          <w:tblCellMar>
            <w:top w:w="40" w:type="dxa"/>
            <w:left w:w="64" w:type="dxa"/>
            <w:bottom w:w="40" w:type="dxa"/>
            <w:right w:w="64" w:type="dxa"/>
          </w:tblCellMar>
        </w:tblPrEx>
        <w:trPr>
          <w:trHeight w:val="0" w:hRule="atLeast"/>
          <w:jc w:val="center"/>
        </w:trPr>
        <w:tc>
          <w:tcPr>
            <w:tcW w:w="302"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D49C4">
            <w:pPr>
              <w:snapToGrid w:val="0"/>
              <w:jc w:val="center"/>
            </w:pPr>
            <w:r>
              <w:rPr>
                <w:rFonts w:ascii="宋体" w:hAnsi="宋体" w:eastAsia="宋体"/>
                <w:sz w:val="16"/>
              </w:rPr>
              <w:t>年度绩效指标完成情况</w:t>
            </w:r>
          </w:p>
        </w:tc>
        <w:tc>
          <w:tcPr>
            <w:tcW w:w="25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1843E">
            <w:pPr>
              <w:snapToGrid w:val="0"/>
              <w:jc w:val="center"/>
            </w:pPr>
            <w:r>
              <w:rPr>
                <w:rFonts w:ascii="宋体" w:hAnsi="宋体" w:eastAsia="宋体"/>
                <w:sz w:val="16"/>
              </w:rPr>
              <w:t>产出指标</w:t>
            </w:r>
          </w:p>
        </w:tc>
        <w:tc>
          <w:tcPr>
            <w:tcW w:w="26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A758C">
            <w:pPr>
              <w:snapToGrid w:val="0"/>
              <w:jc w:val="center"/>
            </w:pPr>
            <w:r>
              <w:rPr>
                <w:rFonts w:ascii="宋体" w:hAnsi="宋体" w:eastAsia="宋体"/>
                <w:sz w:val="16"/>
              </w:rPr>
              <w:t>数量指标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51E87C95">
            <w:pPr>
              <w:snapToGrid w:val="0"/>
              <w:jc w:val="center"/>
            </w:pPr>
            <w:r>
              <w:rPr>
                <w:rFonts w:ascii="宋体" w:hAnsi="宋体" w:eastAsia="宋体"/>
                <w:sz w:val="16"/>
              </w:rPr>
              <w:t>保障车辆数</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2E2C34BF">
            <w:pPr>
              <w:snapToGrid w:val="0"/>
              <w:jc w:val="center"/>
            </w:pPr>
            <w:r>
              <w:rPr>
                <w:rFonts w:ascii="宋体" w:hAnsi="宋体" w:eastAsia="宋体"/>
                <w:sz w:val="16"/>
              </w:rPr>
              <w:t>&gt;=5辆</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4700F0F0">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3BF03077">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27CCD7A2">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648A2AD6">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4344353E">
            <w:pPr>
              <w:snapToGrid w:val="0"/>
              <w:jc w:val="center"/>
            </w:pPr>
            <w:r>
              <w:rPr>
                <w:rFonts w:ascii="宋体" w:hAnsi="宋体" w:eastAsia="宋体"/>
                <w:sz w:val="16"/>
              </w:rPr>
              <w:t>原始凭证,工作资料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3FB3CAC9">
            <w:pPr>
              <w:snapToGrid w:val="0"/>
              <w:jc w:val="center"/>
            </w:pPr>
            <w:r>
              <w:rPr>
                <w:rFonts w:ascii="宋体" w:hAnsi="宋体" w:eastAsia="宋体"/>
                <w:sz w:val="16"/>
              </w:rPr>
              <w:t>=5辆</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0CD697AB">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0683A73D">
            <w:pPr>
              <w:snapToGrid w:val="0"/>
              <w:jc w:val="center"/>
            </w:pPr>
          </w:p>
        </w:tc>
      </w:tr>
      <w:tr w14:paraId="50C1F7F3">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1ABEFDED">
            <w:pPr>
              <w:snapToGrid w:val="0"/>
            </w:pPr>
          </w:p>
        </w:tc>
        <w:tc>
          <w:tcPr>
            <w:tcW w:w="250" w:type="pct"/>
            <w:vMerge w:val="continue"/>
            <w:tcBorders>
              <w:top w:val="single" w:color="auto" w:sz="10" w:space="0"/>
              <w:left w:val="single" w:color="auto" w:sz="10" w:space="0"/>
              <w:bottom w:val="single" w:color="auto" w:sz="10" w:space="0"/>
              <w:right w:val="single" w:color="auto" w:sz="10" w:space="0"/>
              <w:insideV w:val="single" w:sz="10" w:space="0"/>
            </w:tcBorders>
          </w:tcPr>
          <w:p w14:paraId="71505153">
            <w:pPr>
              <w:snapToGrid w:val="0"/>
            </w:pPr>
          </w:p>
        </w:tc>
        <w:tc>
          <w:tcPr>
            <w:tcW w:w="269" w:type="pct"/>
            <w:vMerge w:val="continue"/>
            <w:tcBorders>
              <w:top w:val="single" w:color="auto" w:sz="10" w:space="0"/>
              <w:left w:val="single" w:color="auto" w:sz="10" w:space="0"/>
              <w:bottom w:val="single" w:color="auto" w:sz="10" w:space="0"/>
              <w:right w:val="single" w:color="auto" w:sz="10" w:space="0"/>
              <w:insideV w:val="single" w:sz="10" w:space="0"/>
            </w:tcBorders>
          </w:tcPr>
          <w:p w14:paraId="35D886DB">
            <w:pPr>
              <w:snapToGrid w:val="0"/>
            </w:pP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547BC1AC">
            <w:pPr>
              <w:snapToGrid w:val="0"/>
              <w:jc w:val="center"/>
            </w:pPr>
            <w:r>
              <w:rPr>
                <w:rFonts w:ascii="宋体" w:hAnsi="宋体" w:eastAsia="宋体"/>
                <w:sz w:val="16"/>
              </w:rPr>
              <w:t>服务企业数量</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63A3A7D4">
            <w:pPr>
              <w:snapToGrid w:val="0"/>
              <w:jc w:val="center"/>
            </w:pPr>
            <w:r>
              <w:rPr>
                <w:rFonts w:ascii="宋体" w:hAnsi="宋体" w:eastAsia="宋体"/>
                <w:sz w:val="16"/>
              </w:rPr>
              <w:t>&gt;=800家</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6C9A9F5">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344103D6">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37E08994">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073D13FA">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692A8620">
            <w:pPr>
              <w:snapToGrid w:val="0"/>
              <w:jc w:val="center"/>
            </w:pPr>
            <w:r>
              <w:rPr>
                <w:rFonts w:ascii="宋体" w:hAnsi="宋体" w:eastAsia="宋体"/>
                <w:sz w:val="16"/>
              </w:rPr>
              <w:t>工作资料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6E71E576">
            <w:pPr>
              <w:snapToGrid w:val="0"/>
              <w:jc w:val="center"/>
            </w:pPr>
            <w:r>
              <w:rPr>
                <w:rFonts w:ascii="宋体" w:hAnsi="宋体" w:eastAsia="宋体"/>
                <w:sz w:val="16"/>
              </w:rPr>
              <w:t>=800家</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75203FBD">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777DB667">
            <w:pPr>
              <w:snapToGrid w:val="0"/>
              <w:jc w:val="center"/>
            </w:pPr>
          </w:p>
        </w:tc>
      </w:tr>
      <w:tr w14:paraId="2CD4AE98">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54517502">
            <w:pPr>
              <w:snapToGrid w:val="0"/>
            </w:pPr>
          </w:p>
        </w:tc>
        <w:tc>
          <w:tcPr>
            <w:tcW w:w="250" w:type="pct"/>
            <w:vMerge w:val="continue"/>
            <w:tcBorders>
              <w:top w:val="single" w:color="auto" w:sz="10" w:space="0"/>
              <w:left w:val="single" w:color="auto" w:sz="10" w:space="0"/>
              <w:bottom w:val="single" w:color="auto" w:sz="10" w:space="0"/>
              <w:right w:val="single" w:color="auto" w:sz="10" w:space="0"/>
              <w:insideV w:val="single" w:sz="10" w:space="0"/>
            </w:tcBorders>
          </w:tcPr>
          <w:p w14:paraId="1D14198A">
            <w:pPr>
              <w:snapToGrid w:val="0"/>
            </w:pP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7F07E0B4">
            <w:pPr>
              <w:snapToGrid w:val="0"/>
              <w:jc w:val="center"/>
            </w:pPr>
            <w:r>
              <w:rPr>
                <w:rFonts w:ascii="宋体" w:hAnsi="宋体" w:eastAsia="宋体"/>
                <w:sz w:val="16"/>
              </w:rPr>
              <w:t>质量指标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16F0158B">
            <w:pPr>
              <w:snapToGrid w:val="0"/>
              <w:jc w:val="center"/>
            </w:pPr>
            <w:r>
              <w:rPr>
                <w:rFonts w:ascii="宋体" w:hAnsi="宋体" w:eastAsia="宋体"/>
                <w:sz w:val="16"/>
              </w:rPr>
              <w:t>资金使用合规率</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36F748DF">
            <w:pPr>
              <w:snapToGrid w:val="0"/>
              <w:jc w:val="center"/>
            </w:pPr>
            <w:r>
              <w:rPr>
                <w:rFonts w:ascii="宋体" w:hAnsi="宋体" w:eastAsia="宋体"/>
                <w:sz w:val="16"/>
              </w:rPr>
              <w:t>=100%</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6469B952">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0107B509">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74AE673A">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25DAD9C5">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2308971C">
            <w:pPr>
              <w:snapToGrid w:val="0"/>
              <w:jc w:val="center"/>
            </w:pPr>
            <w:r>
              <w:rPr>
                <w:rFonts w:ascii="宋体" w:hAnsi="宋体" w:eastAsia="宋体"/>
                <w:sz w:val="16"/>
              </w:rPr>
              <w:t>工作资料,原始凭证</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7234E5B5">
            <w:pPr>
              <w:snapToGrid w:val="0"/>
              <w:jc w:val="center"/>
            </w:pPr>
            <w:r>
              <w:rPr>
                <w:rFonts w:ascii="宋体" w:hAnsi="宋体" w:eastAsia="宋体"/>
                <w:sz w:val="16"/>
              </w:rPr>
              <w:t>=100%</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391E1B86">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2829468C">
            <w:pPr>
              <w:snapToGrid w:val="0"/>
              <w:jc w:val="center"/>
            </w:pPr>
          </w:p>
        </w:tc>
      </w:tr>
      <w:tr w14:paraId="5B9CE468">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3A412A81">
            <w:pPr>
              <w:snapToGrid w:val="0"/>
            </w:pPr>
          </w:p>
        </w:tc>
        <w:tc>
          <w:tcPr>
            <w:tcW w:w="250" w:type="pct"/>
            <w:vMerge w:val="continue"/>
            <w:tcBorders>
              <w:top w:val="single" w:color="auto" w:sz="10" w:space="0"/>
              <w:left w:val="single" w:color="auto" w:sz="10" w:space="0"/>
              <w:bottom w:val="single" w:color="auto" w:sz="10" w:space="0"/>
              <w:right w:val="single" w:color="auto" w:sz="10" w:space="0"/>
              <w:insideV w:val="single" w:sz="10" w:space="0"/>
            </w:tcBorders>
          </w:tcPr>
          <w:p w14:paraId="3E7F5E02">
            <w:pPr>
              <w:snapToGrid w:val="0"/>
            </w:pPr>
          </w:p>
        </w:tc>
        <w:tc>
          <w:tcPr>
            <w:tcW w:w="26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21DA3">
            <w:pPr>
              <w:snapToGrid w:val="0"/>
              <w:jc w:val="center"/>
            </w:pPr>
            <w:r>
              <w:rPr>
                <w:rFonts w:ascii="宋体" w:hAnsi="宋体" w:eastAsia="宋体"/>
                <w:sz w:val="16"/>
              </w:rPr>
              <w:t>时效指标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7846B8C7">
            <w:pPr>
              <w:snapToGrid w:val="0"/>
              <w:jc w:val="center"/>
            </w:pPr>
            <w:r>
              <w:rPr>
                <w:rFonts w:ascii="宋体" w:hAnsi="宋体" w:eastAsia="宋体"/>
                <w:sz w:val="16"/>
              </w:rPr>
              <w:t>资金支付及时率</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529BDBD7">
            <w:pPr>
              <w:snapToGrid w:val="0"/>
              <w:jc w:val="center"/>
            </w:pPr>
            <w:r>
              <w:rPr>
                <w:rFonts w:ascii="宋体" w:hAnsi="宋体" w:eastAsia="宋体"/>
                <w:sz w:val="16"/>
              </w:rPr>
              <w:t>=100%</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034CD26">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484C12AA">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5B31A175">
            <w:pPr>
              <w:snapToGrid w:val="0"/>
              <w:jc w:val="center"/>
            </w:pPr>
            <w:r>
              <w:rPr>
                <w:rFonts w:ascii="宋体" w:hAnsi="宋体" w:eastAsia="宋体"/>
                <w:sz w:val="16"/>
              </w:rPr>
              <w:t>5</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5AB6AA04">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7A337AF2">
            <w:pPr>
              <w:snapToGrid w:val="0"/>
              <w:jc w:val="center"/>
            </w:pPr>
            <w:r>
              <w:rPr>
                <w:rFonts w:ascii="宋体" w:hAnsi="宋体" w:eastAsia="宋体"/>
                <w:sz w:val="16"/>
              </w:rPr>
              <w:t>工作资料,原始凭证</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58E28883">
            <w:pPr>
              <w:snapToGrid w:val="0"/>
              <w:jc w:val="center"/>
            </w:pPr>
            <w:r>
              <w:rPr>
                <w:rFonts w:ascii="宋体" w:hAnsi="宋体" w:eastAsia="宋体"/>
                <w:sz w:val="16"/>
              </w:rPr>
              <w:t>=100%</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69F6CC1E">
            <w:pPr>
              <w:snapToGrid w:val="0"/>
              <w:jc w:val="center"/>
            </w:pPr>
            <w:r>
              <w:rPr>
                <w:rFonts w:ascii="宋体" w:hAnsi="宋体" w:eastAsia="宋体"/>
                <w:sz w:val="16"/>
              </w:rPr>
              <w:t>5</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28A09173">
            <w:pPr>
              <w:snapToGrid w:val="0"/>
              <w:jc w:val="center"/>
            </w:pPr>
          </w:p>
        </w:tc>
      </w:tr>
      <w:tr w14:paraId="7EE4F7D6">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35F56996">
            <w:pPr>
              <w:snapToGrid w:val="0"/>
            </w:pPr>
          </w:p>
        </w:tc>
        <w:tc>
          <w:tcPr>
            <w:tcW w:w="250" w:type="pct"/>
            <w:vMerge w:val="continue"/>
            <w:tcBorders>
              <w:top w:val="single" w:color="auto" w:sz="10" w:space="0"/>
              <w:left w:val="single" w:color="auto" w:sz="10" w:space="0"/>
              <w:bottom w:val="single" w:color="auto" w:sz="10" w:space="0"/>
              <w:right w:val="single" w:color="auto" w:sz="10" w:space="0"/>
              <w:insideV w:val="single" w:sz="10" w:space="0"/>
            </w:tcBorders>
          </w:tcPr>
          <w:p w14:paraId="5CFE2FC8">
            <w:pPr>
              <w:snapToGrid w:val="0"/>
            </w:pPr>
          </w:p>
        </w:tc>
        <w:tc>
          <w:tcPr>
            <w:tcW w:w="269" w:type="pct"/>
            <w:vMerge w:val="continue"/>
            <w:tcBorders>
              <w:top w:val="single" w:color="auto" w:sz="10" w:space="0"/>
              <w:left w:val="single" w:color="auto" w:sz="10" w:space="0"/>
              <w:bottom w:val="single" w:color="auto" w:sz="10" w:space="0"/>
              <w:right w:val="single" w:color="auto" w:sz="10" w:space="0"/>
              <w:insideV w:val="single" w:sz="10" w:space="0"/>
            </w:tcBorders>
          </w:tcPr>
          <w:p w14:paraId="16DD96B2">
            <w:pPr>
              <w:snapToGrid w:val="0"/>
            </w:pP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2E9C2A01">
            <w:pPr>
              <w:snapToGrid w:val="0"/>
              <w:jc w:val="center"/>
            </w:pPr>
            <w:r>
              <w:rPr>
                <w:rFonts w:ascii="宋体" w:hAnsi="宋体" w:eastAsia="宋体"/>
                <w:sz w:val="16"/>
              </w:rPr>
              <w:t>项目完成时间</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58F9D14B">
            <w:pPr>
              <w:snapToGrid w:val="0"/>
              <w:jc w:val="center"/>
            </w:pPr>
            <w:r>
              <w:rPr>
                <w:rFonts w:ascii="宋体" w:hAnsi="宋体" w:eastAsia="宋体"/>
                <w:sz w:val="16"/>
              </w:rPr>
              <w:t>=2024年12月25日</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28274BA">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56CA780F">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67BEF666">
            <w:pPr>
              <w:snapToGrid w:val="0"/>
              <w:jc w:val="center"/>
            </w:pPr>
            <w:r>
              <w:rPr>
                <w:rFonts w:ascii="宋体" w:hAnsi="宋体" w:eastAsia="宋体"/>
                <w:sz w:val="16"/>
              </w:rPr>
              <w:t>5</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4625EE5C">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475FE69A">
            <w:pPr>
              <w:snapToGrid w:val="0"/>
              <w:jc w:val="center"/>
            </w:pPr>
            <w:r>
              <w:rPr>
                <w:rFonts w:ascii="宋体" w:hAnsi="宋体" w:eastAsia="宋体"/>
                <w:sz w:val="16"/>
              </w:rPr>
              <w:t>工作资料,原始凭证</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5CCAFD7A">
            <w:pPr>
              <w:snapToGrid w:val="0"/>
              <w:jc w:val="center"/>
            </w:pPr>
            <w:r>
              <w:rPr>
                <w:rFonts w:ascii="宋体" w:hAnsi="宋体" w:eastAsia="宋体"/>
                <w:sz w:val="16"/>
              </w:rPr>
              <w:t>=2024年12月25日</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030384E5">
            <w:pPr>
              <w:snapToGrid w:val="0"/>
              <w:jc w:val="center"/>
            </w:pPr>
            <w:r>
              <w:rPr>
                <w:rFonts w:ascii="宋体" w:hAnsi="宋体" w:eastAsia="宋体"/>
                <w:sz w:val="16"/>
              </w:rPr>
              <w:t>5</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2DEBC680">
            <w:pPr>
              <w:snapToGrid w:val="0"/>
              <w:jc w:val="center"/>
            </w:pPr>
          </w:p>
        </w:tc>
      </w:tr>
      <w:tr w14:paraId="7A89439B">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106E68A2">
            <w:pPr>
              <w:snapToGrid w:val="0"/>
            </w:pPr>
          </w:p>
        </w:tc>
        <w:tc>
          <w:tcPr>
            <w:tcW w:w="25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F0226">
            <w:pPr>
              <w:snapToGrid w:val="0"/>
              <w:jc w:val="center"/>
            </w:pPr>
            <w:r>
              <w:rPr>
                <w:rFonts w:ascii="宋体" w:hAnsi="宋体" w:eastAsia="宋体"/>
                <w:sz w:val="16"/>
              </w:rPr>
              <w:t>成本指标</w:t>
            </w:r>
          </w:p>
        </w:tc>
        <w:tc>
          <w:tcPr>
            <w:tcW w:w="26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738FF">
            <w:pPr>
              <w:snapToGrid w:val="0"/>
              <w:jc w:val="center"/>
            </w:pPr>
            <w:r>
              <w:rPr>
                <w:rFonts w:ascii="宋体" w:hAnsi="宋体" w:eastAsia="宋体"/>
                <w:sz w:val="16"/>
              </w:rPr>
              <w:t>经济成本指标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34ACC71E">
            <w:pPr>
              <w:snapToGrid w:val="0"/>
              <w:jc w:val="center"/>
            </w:pPr>
            <w:r>
              <w:rPr>
                <w:rFonts w:ascii="宋体" w:hAnsi="宋体" w:eastAsia="宋体"/>
                <w:sz w:val="16"/>
              </w:rPr>
              <w:t>保障工业园区管委会正常运转经费</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2BF867D2">
            <w:pPr>
              <w:snapToGrid w:val="0"/>
              <w:jc w:val="center"/>
            </w:pPr>
            <w:r>
              <w:rPr>
                <w:rFonts w:ascii="宋体" w:hAnsi="宋体" w:eastAsia="宋体"/>
                <w:sz w:val="16"/>
              </w:rPr>
              <w:t>&lt;=3.54万元</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33A03449">
            <w:pPr>
              <w:snapToGrid w:val="0"/>
              <w:jc w:val="center"/>
            </w:pPr>
            <w:r>
              <w:rPr>
                <w:rFonts w:ascii="宋体" w:hAnsi="宋体" w:eastAsia="宋体"/>
                <w:sz w:val="16"/>
              </w:rPr>
              <w:t>预算支出标准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385C298B">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11367F80">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1EBE94EF">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45578612">
            <w:pPr>
              <w:snapToGrid w:val="0"/>
              <w:jc w:val="center"/>
            </w:pPr>
            <w:r>
              <w:rPr>
                <w:rFonts w:ascii="宋体" w:hAnsi="宋体" w:eastAsia="宋体"/>
                <w:sz w:val="16"/>
              </w:rPr>
              <w:t>工作资料,原始凭证</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2630C573">
            <w:pPr>
              <w:snapToGrid w:val="0"/>
              <w:jc w:val="center"/>
            </w:pPr>
            <w:r>
              <w:rPr>
                <w:rFonts w:ascii="宋体" w:hAnsi="宋体" w:eastAsia="宋体"/>
                <w:sz w:val="16"/>
              </w:rPr>
              <w:t>=3.54万元</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1AB6E084">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17A9B8C2">
            <w:pPr>
              <w:snapToGrid w:val="0"/>
              <w:jc w:val="center"/>
            </w:pPr>
          </w:p>
        </w:tc>
      </w:tr>
      <w:tr w14:paraId="03DCCF14">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7EDAC3FC">
            <w:pPr>
              <w:snapToGrid w:val="0"/>
            </w:pPr>
          </w:p>
        </w:tc>
        <w:tc>
          <w:tcPr>
            <w:tcW w:w="250" w:type="pct"/>
            <w:vMerge w:val="continue"/>
            <w:tcBorders>
              <w:top w:val="single" w:color="auto" w:sz="10" w:space="0"/>
              <w:left w:val="single" w:color="auto" w:sz="10" w:space="0"/>
              <w:bottom w:val="single" w:color="auto" w:sz="10" w:space="0"/>
              <w:right w:val="single" w:color="auto" w:sz="10" w:space="0"/>
              <w:insideV w:val="single" w:sz="10" w:space="0"/>
            </w:tcBorders>
          </w:tcPr>
          <w:p w14:paraId="165375AF">
            <w:pPr>
              <w:snapToGrid w:val="0"/>
            </w:pPr>
          </w:p>
        </w:tc>
        <w:tc>
          <w:tcPr>
            <w:tcW w:w="269" w:type="pct"/>
            <w:vMerge w:val="continue"/>
            <w:tcBorders>
              <w:top w:val="single" w:color="auto" w:sz="10" w:space="0"/>
              <w:left w:val="single" w:color="auto" w:sz="10" w:space="0"/>
              <w:bottom w:val="single" w:color="auto" w:sz="10" w:space="0"/>
              <w:right w:val="single" w:color="auto" w:sz="10" w:space="0"/>
              <w:insideV w:val="single" w:sz="10" w:space="0"/>
            </w:tcBorders>
          </w:tcPr>
          <w:p w14:paraId="3CAD5F01">
            <w:pPr>
              <w:snapToGrid w:val="0"/>
            </w:pP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1F205E82">
            <w:pPr>
              <w:snapToGrid w:val="0"/>
              <w:jc w:val="center"/>
            </w:pPr>
            <w:r>
              <w:rPr>
                <w:rFonts w:ascii="宋体" w:hAnsi="宋体" w:eastAsia="宋体"/>
                <w:sz w:val="16"/>
              </w:rPr>
              <w:t>缴纳项目处罚金</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54A2726B">
            <w:pPr>
              <w:snapToGrid w:val="0"/>
              <w:jc w:val="center"/>
            </w:pPr>
            <w:r>
              <w:rPr>
                <w:rFonts w:ascii="宋体" w:hAnsi="宋体" w:eastAsia="宋体"/>
                <w:sz w:val="16"/>
              </w:rPr>
              <w:t>&lt;=2.84万元</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668F927F">
            <w:pPr>
              <w:snapToGrid w:val="0"/>
              <w:jc w:val="center"/>
            </w:pPr>
            <w:r>
              <w:rPr>
                <w:rFonts w:ascii="宋体" w:hAnsi="宋体" w:eastAsia="宋体"/>
                <w:sz w:val="16"/>
              </w:rPr>
              <w:t>预算支出标准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0DB77B8C">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1AA887C8">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48A72260">
            <w:pPr>
              <w:snapToGrid w:val="0"/>
              <w:jc w:val="center"/>
            </w:pPr>
            <w:r>
              <w:rPr>
                <w:rFonts w:ascii="宋体" w:hAnsi="宋体" w:eastAsia="宋体"/>
                <w:sz w:val="16"/>
              </w:rPr>
              <w:t>按照完成比例赋分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7A25A3A6">
            <w:pPr>
              <w:snapToGrid w:val="0"/>
              <w:jc w:val="center"/>
            </w:pPr>
            <w:r>
              <w:rPr>
                <w:rFonts w:ascii="宋体" w:hAnsi="宋体" w:eastAsia="宋体"/>
                <w:sz w:val="16"/>
              </w:rPr>
              <w:t>原始凭证,工作资料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51BE82F6">
            <w:pPr>
              <w:snapToGrid w:val="0"/>
              <w:jc w:val="center"/>
            </w:pPr>
            <w:r>
              <w:rPr>
                <w:rFonts w:ascii="宋体" w:hAnsi="宋体" w:eastAsia="宋体"/>
                <w:sz w:val="16"/>
              </w:rPr>
              <w:t>=2.84万元</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2F5409B8">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7EEF2FF5">
            <w:pPr>
              <w:snapToGrid w:val="0"/>
              <w:jc w:val="center"/>
            </w:pPr>
          </w:p>
        </w:tc>
      </w:tr>
      <w:tr w14:paraId="2B4C7B06">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059743C7">
            <w:pPr>
              <w:snapToGrid w:val="0"/>
            </w:pPr>
          </w:p>
        </w:tc>
        <w:tc>
          <w:tcPr>
            <w:tcW w:w="25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0091E">
            <w:pPr>
              <w:snapToGrid w:val="0"/>
              <w:jc w:val="center"/>
            </w:pPr>
            <w:r>
              <w:rPr>
                <w:rFonts w:ascii="宋体" w:hAnsi="宋体" w:eastAsia="宋体"/>
                <w:sz w:val="16"/>
              </w:rPr>
              <w:t>效益指标</w:t>
            </w:r>
          </w:p>
        </w:tc>
        <w:tc>
          <w:tcPr>
            <w:tcW w:w="269"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DF8BB">
            <w:pPr>
              <w:snapToGrid w:val="0"/>
              <w:jc w:val="center"/>
            </w:pPr>
            <w:r>
              <w:rPr>
                <w:rFonts w:ascii="宋体" w:hAnsi="宋体" w:eastAsia="宋体"/>
                <w:sz w:val="16"/>
              </w:rPr>
              <w:t>社会效益指标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16F9C3C2">
            <w:pPr>
              <w:snapToGrid w:val="0"/>
              <w:jc w:val="center"/>
            </w:pPr>
            <w:r>
              <w:rPr>
                <w:rFonts w:ascii="宋体" w:hAnsi="宋体" w:eastAsia="宋体"/>
                <w:sz w:val="16"/>
              </w:rPr>
              <w:t>推动工业园区实现经济高质量发展的引领带动作用</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78802185">
            <w:pPr>
              <w:snapToGrid w:val="0"/>
              <w:jc w:val="center"/>
            </w:pPr>
            <w:r>
              <w:rPr>
                <w:rFonts w:ascii="宋体" w:hAnsi="宋体" w:eastAsia="宋体"/>
                <w:sz w:val="16"/>
              </w:rPr>
              <w:t>有效推动</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7CA53045">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36B8C64A">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6B4E4243">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1C738557">
            <w:pPr>
              <w:snapToGrid w:val="0"/>
              <w:jc w:val="center"/>
            </w:pPr>
            <w:r>
              <w:rPr>
                <w:rFonts w:ascii="宋体" w:hAnsi="宋体" w:eastAsia="宋体"/>
                <w:sz w:val="16"/>
              </w:rPr>
              <w:t>按评判等级赋分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0B90ACC4">
            <w:pPr>
              <w:snapToGrid w:val="0"/>
              <w:jc w:val="center"/>
            </w:pPr>
            <w:r>
              <w:rPr>
                <w:rFonts w:ascii="宋体" w:hAnsi="宋体" w:eastAsia="宋体"/>
                <w:sz w:val="16"/>
              </w:rPr>
              <w:t>工作资料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39E79A7E">
            <w:pPr>
              <w:snapToGrid w:val="0"/>
              <w:jc w:val="center"/>
            </w:pPr>
            <w:r>
              <w:rPr>
                <w:rFonts w:ascii="宋体" w:hAnsi="宋体" w:eastAsia="宋体"/>
                <w:sz w:val="16"/>
              </w:rPr>
              <w:t>有效推动</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7A110008">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3F6E5FBD">
            <w:pPr>
              <w:snapToGrid w:val="0"/>
              <w:jc w:val="center"/>
            </w:pPr>
          </w:p>
        </w:tc>
      </w:tr>
      <w:tr w14:paraId="0C4C1A80">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2A14F701">
            <w:pPr>
              <w:snapToGrid w:val="0"/>
            </w:pPr>
          </w:p>
        </w:tc>
        <w:tc>
          <w:tcPr>
            <w:tcW w:w="250" w:type="pct"/>
            <w:vMerge w:val="continue"/>
            <w:tcBorders>
              <w:top w:val="single" w:color="auto" w:sz="10" w:space="0"/>
              <w:left w:val="single" w:color="auto" w:sz="10" w:space="0"/>
              <w:bottom w:val="single" w:color="auto" w:sz="10" w:space="0"/>
              <w:right w:val="single" w:color="auto" w:sz="10" w:space="0"/>
              <w:insideV w:val="single" w:sz="10" w:space="0"/>
            </w:tcBorders>
          </w:tcPr>
          <w:p w14:paraId="6AF65E61">
            <w:pPr>
              <w:snapToGrid w:val="0"/>
            </w:pPr>
          </w:p>
        </w:tc>
        <w:tc>
          <w:tcPr>
            <w:tcW w:w="269" w:type="pct"/>
            <w:vMerge w:val="continue"/>
            <w:tcBorders>
              <w:top w:val="single" w:color="auto" w:sz="10" w:space="0"/>
              <w:left w:val="single" w:color="auto" w:sz="10" w:space="0"/>
              <w:bottom w:val="single" w:color="auto" w:sz="10" w:space="0"/>
              <w:right w:val="single" w:color="auto" w:sz="10" w:space="0"/>
              <w:insideV w:val="single" w:sz="10" w:space="0"/>
            </w:tcBorders>
          </w:tcPr>
          <w:p w14:paraId="1CBC6D18">
            <w:pPr>
              <w:snapToGrid w:val="0"/>
            </w:pP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5BB39BF8">
            <w:pPr>
              <w:snapToGrid w:val="0"/>
              <w:jc w:val="center"/>
            </w:pPr>
            <w:r>
              <w:rPr>
                <w:rFonts w:ascii="宋体" w:hAnsi="宋体" w:eastAsia="宋体"/>
                <w:sz w:val="16"/>
              </w:rPr>
              <w:t>有效改善工业园区基础设施配套</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72E620B4">
            <w:pPr>
              <w:snapToGrid w:val="0"/>
              <w:jc w:val="center"/>
            </w:pPr>
            <w:r>
              <w:rPr>
                <w:rFonts w:ascii="宋体" w:hAnsi="宋体" w:eastAsia="宋体"/>
                <w:sz w:val="16"/>
              </w:rPr>
              <w:t>有效改善</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6760D3C9">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089918B2">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4B4457B9">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3EEC98A7">
            <w:pPr>
              <w:snapToGrid w:val="0"/>
              <w:jc w:val="center"/>
            </w:pPr>
            <w:r>
              <w:rPr>
                <w:rFonts w:ascii="宋体" w:hAnsi="宋体" w:eastAsia="宋体"/>
                <w:sz w:val="16"/>
              </w:rPr>
              <w:t>按评判等级赋分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2B5ECB6C">
            <w:pPr>
              <w:snapToGrid w:val="0"/>
              <w:jc w:val="center"/>
            </w:pPr>
            <w:r>
              <w:rPr>
                <w:rFonts w:ascii="宋体" w:hAnsi="宋体" w:eastAsia="宋体"/>
                <w:sz w:val="16"/>
              </w:rPr>
              <w:t>工作资料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54956788">
            <w:pPr>
              <w:snapToGrid w:val="0"/>
              <w:jc w:val="center"/>
            </w:pPr>
            <w:r>
              <w:rPr>
                <w:rFonts w:ascii="宋体" w:hAnsi="宋体" w:eastAsia="宋体"/>
                <w:sz w:val="16"/>
              </w:rPr>
              <w:t>有效改善</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29A0CAE6">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5EF72020">
            <w:pPr>
              <w:snapToGrid w:val="0"/>
              <w:jc w:val="center"/>
            </w:pPr>
          </w:p>
        </w:tc>
      </w:tr>
      <w:tr w14:paraId="29273696">
        <w:tblPrEx>
          <w:tblCellMar>
            <w:top w:w="40" w:type="dxa"/>
            <w:left w:w="64" w:type="dxa"/>
            <w:bottom w:w="40" w:type="dxa"/>
            <w:right w:w="64" w:type="dxa"/>
          </w:tblCellMar>
        </w:tblPrEx>
        <w:trPr>
          <w:trHeight w:val="0" w:hRule="atLeast"/>
          <w:jc w:val="center"/>
        </w:trPr>
        <w:tc>
          <w:tcPr>
            <w:tcW w:w="302" w:type="pct"/>
            <w:vMerge w:val="continue"/>
            <w:tcBorders>
              <w:top w:val="single" w:color="auto" w:sz="10" w:space="0"/>
              <w:left w:val="single" w:color="auto" w:sz="10" w:space="0"/>
              <w:bottom w:val="single" w:color="auto" w:sz="10" w:space="0"/>
              <w:right w:val="single" w:color="auto" w:sz="10" w:space="0"/>
              <w:insideV w:val="single" w:sz="10" w:space="0"/>
            </w:tcBorders>
          </w:tcPr>
          <w:p w14:paraId="0837D765">
            <w:pPr>
              <w:snapToGrid w:val="0"/>
            </w:pPr>
          </w:p>
        </w:tc>
        <w:tc>
          <w:tcPr>
            <w:tcW w:w="250" w:type="pct"/>
            <w:tcBorders>
              <w:top w:val="single" w:color="auto" w:sz="10" w:space="0"/>
              <w:left w:val="single" w:color="auto" w:sz="10" w:space="0"/>
              <w:bottom w:val="single" w:color="auto" w:sz="10" w:space="0"/>
              <w:right w:val="single" w:color="auto" w:sz="10" w:space="0"/>
              <w:insideV w:val="single" w:sz="10" w:space="0"/>
            </w:tcBorders>
            <w:vAlign w:val="center"/>
          </w:tcPr>
          <w:p w14:paraId="55A31201">
            <w:pPr>
              <w:snapToGrid w:val="0"/>
              <w:jc w:val="center"/>
            </w:pPr>
            <w:r>
              <w:rPr>
                <w:rFonts w:ascii="宋体" w:hAnsi="宋体" w:eastAsia="宋体"/>
                <w:sz w:val="16"/>
              </w:rPr>
              <w:t>满意度指标</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14BBE911">
            <w:pPr>
              <w:snapToGrid w:val="0"/>
              <w:jc w:val="center"/>
            </w:pPr>
            <w:r>
              <w:rPr>
                <w:rFonts w:ascii="宋体" w:hAnsi="宋体" w:eastAsia="宋体"/>
                <w:sz w:val="16"/>
              </w:rPr>
              <w:t>满意度指标</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63158EB0">
            <w:pPr>
              <w:snapToGrid w:val="0"/>
              <w:jc w:val="center"/>
            </w:pPr>
            <w:r>
              <w:rPr>
                <w:rFonts w:ascii="宋体" w:hAnsi="宋体" w:eastAsia="宋体"/>
                <w:sz w:val="16"/>
              </w:rPr>
              <w:t>受益企业满意度</w:t>
            </w:r>
          </w:p>
        </w:tc>
        <w:tc>
          <w:tcPr>
            <w:tcW w:w="483" w:type="pct"/>
            <w:tcBorders>
              <w:top w:val="single" w:color="auto" w:sz="10" w:space="0"/>
              <w:left w:val="single" w:color="auto" w:sz="10" w:space="0"/>
              <w:bottom w:val="single" w:color="auto" w:sz="10" w:space="0"/>
              <w:right w:val="single" w:color="auto" w:sz="10" w:space="0"/>
              <w:insideV w:val="single" w:sz="10" w:space="0"/>
            </w:tcBorders>
            <w:vAlign w:val="center"/>
          </w:tcPr>
          <w:p w14:paraId="3084944F">
            <w:pPr>
              <w:snapToGrid w:val="0"/>
              <w:jc w:val="center"/>
            </w:pPr>
            <w:r>
              <w:rPr>
                <w:rFonts w:ascii="宋体" w:hAnsi="宋体" w:eastAsia="宋体"/>
                <w:sz w:val="16"/>
              </w:rPr>
              <w:t>&gt;=95%</w:t>
            </w:r>
          </w:p>
        </w:tc>
        <w:tc>
          <w:tcPr>
            <w:tcW w:w="287" w:type="pct"/>
            <w:tcBorders>
              <w:top w:val="single" w:color="auto" w:sz="10" w:space="0"/>
              <w:left w:val="single" w:color="auto" w:sz="10" w:space="0"/>
              <w:bottom w:val="single" w:color="auto" w:sz="10" w:space="0"/>
              <w:right w:val="single" w:color="auto" w:sz="10" w:space="0"/>
              <w:insideV w:val="single" w:sz="10" w:space="0"/>
            </w:tcBorders>
            <w:vAlign w:val="center"/>
          </w:tcPr>
          <w:p w14:paraId="55DE2DC7">
            <w:pPr>
              <w:snapToGrid w:val="0"/>
              <w:jc w:val="center"/>
            </w:pPr>
            <w:r>
              <w:rPr>
                <w:rFonts w:ascii="宋体" w:hAnsi="宋体" w:eastAsia="宋体"/>
                <w:sz w:val="16"/>
              </w:rPr>
              <w:t>计划标准</w:t>
            </w:r>
          </w:p>
        </w:tc>
        <w:tc>
          <w:tcPr>
            <w:tcW w:w="269" w:type="pct"/>
            <w:tcBorders>
              <w:top w:val="single" w:color="auto" w:sz="10" w:space="0"/>
              <w:left w:val="single" w:color="auto" w:sz="10" w:space="0"/>
              <w:bottom w:val="single" w:color="auto" w:sz="10" w:space="0"/>
              <w:right w:val="single" w:color="auto" w:sz="10" w:space="0"/>
              <w:insideV w:val="single" w:sz="10" w:space="0"/>
            </w:tcBorders>
            <w:vAlign w:val="center"/>
          </w:tcPr>
          <w:p w14:paraId="3BDC1986">
            <w:pPr>
              <w:snapToGrid w:val="0"/>
              <w:jc w:val="center"/>
            </w:pPr>
            <w:r>
              <w:rPr>
                <w:rFonts w:ascii="宋体" w:hAnsi="宋体" w:eastAsia="宋体"/>
                <w:sz w:val="16"/>
              </w:rPr>
              <w:t>新增</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552C2BB6">
            <w:pPr>
              <w:snapToGrid w:val="0"/>
              <w:jc w:val="center"/>
            </w:pPr>
            <w:r>
              <w:rPr>
                <w:rFonts w:ascii="宋体" w:hAnsi="宋体" w:eastAsia="宋体"/>
                <w:sz w:val="16"/>
              </w:rPr>
              <w:t>10</w:t>
            </w:r>
          </w:p>
        </w:tc>
        <w:tc>
          <w:tcPr>
            <w:tcW w:w="381" w:type="pct"/>
            <w:tcBorders>
              <w:top w:val="single" w:color="auto" w:sz="10" w:space="0"/>
              <w:left w:val="single" w:color="auto" w:sz="10" w:space="0"/>
              <w:bottom w:val="single" w:color="auto" w:sz="10" w:space="0"/>
              <w:right w:val="single" w:color="auto" w:sz="10" w:space="0"/>
              <w:insideV w:val="single" w:sz="10" w:space="0"/>
            </w:tcBorders>
            <w:vAlign w:val="center"/>
          </w:tcPr>
          <w:p w14:paraId="27F9151F">
            <w:pPr>
              <w:snapToGrid w:val="0"/>
              <w:jc w:val="center"/>
            </w:pPr>
            <w:r>
              <w:rPr>
                <w:rFonts w:ascii="宋体" w:hAnsi="宋体" w:eastAsia="宋体"/>
                <w:sz w:val="16"/>
              </w:rPr>
              <w:t>满意度赋分</w:t>
            </w:r>
          </w:p>
        </w:tc>
        <w:tc>
          <w:tcPr>
            <w:tcW w:w="435" w:type="pct"/>
            <w:tcBorders>
              <w:top w:val="single" w:color="auto" w:sz="10" w:space="0"/>
              <w:left w:val="single" w:color="auto" w:sz="10" w:space="0"/>
              <w:bottom w:val="single" w:color="auto" w:sz="10" w:space="0"/>
              <w:right w:val="single" w:color="auto" w:sz="10" w:space="0"/>
              <w:insideV w:val="single" w:sz="10" w:space="0"/>
            </w:tcBorders>
            <w:vAlign w:val="center"/>
          </w:tcPr>
          <w:p w14:paraId="368B51B6">
            <w:pPr>
              <w:snapToGrid w:val="0"/>
              <w:jc w:val="center"/>
            </w:pPr>
            <w:r>
              <w:rPr>
                <w:rFonts w:ascii="宋体" w:hAnsi="宋体" w:eastAsia="宋体"/>
                <w:sz w:val="16"/>
              </w:rPr>
              <w:t>工作资料</w:t>
            </w:r>
          </w:p>
        </w:tc>
        <w:tc>
          <w:tcPr>
            <w:tcW w:w="527" w:type="pct"/>
            <w:tcBorders>
              <w:top w:val="single" w:color="auto" w:sz="10" w:space="0"/>
              <w:left w:val="single" w:color="auto" w:sz="10" w:space="0"/>
              <w:bottom w:val="single" w:color="auto" w:sz="10" w:space="0"/>
              <w:right w:val="single" w:color="auto" w:sz="10" w:space="0"/>
              <w:insideV w:val="single" w:sz="10" w:space="0"/>
            </w:tcBorders>
            <w:vAlign w:val="center"/>
          </w:tcPr>
          <w:p w14:paraId="6B12CC1F">
            <w:pPr>
              <w:snapToGrid w:val="0"/>
              <w:jc w:val="center"/>
            </w:pPr>
            <w:r>
              <w:rPr>
                <w:rFonts w:ascii="宋体" w:hAnsi="宋体" w:eastAsia="宋体"/>
                <w:sz w:val="16"/>
              </w:rPr>
              <w:t>=95%</w:t>
            </w: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10DAEA36">
            <w:pPr>
              <w:snapToGrid w:val="0"/>
              <w:jc w:val="center"/>
            </w:pPr>
            <w:r>
              <w:rPr>
                <w:rFonts w:ascii="宋体" w:hAnsi="宋体" w:eastAsia="宋体"/>
                <w:sz w:val="16"/>
              </w:rPr>
              <w:t>10</w:t>
            </w:r>
          </w:p>
        </w:tc>
        <w:tc>
          <w:tcPr>
            <w:tcW w:w="586" w:type="pct"/>
            <w:tcBorders>
              <w:top w:val="single" w:color="auto" w:sz="10" w:space="0"/>
              <w:left w:val="single" w:color="auto" w:sz="10" w:space="0"/>
              <w:bottom w:val="single" w:color="auto" w:sz="10" w:space="0"/>
              <w:right w:val="single" w:color="auto" w:sz="10" w:space="0"/>
              <w:insideV w:val="single" w:sz="10" w:space="0"/>
            </w:tcBorders>
            <w:vAlign w:val="center"/>
          </w:tcPr>
          <w:p w14:paraId="100353B0">
            <w:pPr>
              <w:snapToGrid w:val="0"/>
              <w:jc w:val="center"/>
            </w:pPr>
          </w:p>
        </w:tc>
      </w:tr>
      <w:tr w14:paraId="09050FC2">
        <w:tblPrEx>
          <w:tblCellMar>
            <w:top w:w="40" w:type="dxa"/>
            <w:left w:w="64" w:type="dxa"/>
            <w:bottom w:w="40" w:type="dxa"/>
            <w:right w:w="64" w:type="dxa"/>
          </w:tblCellMar>
        </w:tblPrEx>
        <w:trPr>
          <w:trHeight w:val="0" w:hRule="atLeast"/>
          <w:jc w:val="center"/>
        </w:trPr>
        <w:tc>
          <w:tcPr>
            <w:tcW w:w="2414"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DD5D7">
            <w:pPr>
              <w:snapToGrid w:val="0"/>
              <w:jc w:val="center"/>
            </w:pPr>
            <w:r>
              <w:rPr>
                <w:rFonts w:ascii="宋体" w:hAnsi="宋体" w:eastAsia="宋体"/>
                <w:sz w:val="16"/>
              </w:rPr>
              <w:t>总分</w:t>
            </w:r>
          </w:p>
        </w:tc>
        <w:tc>
          <w:tcPr>
            <w:tcW w:w="240" w:type="pct"/>
            <w:tcBorders>
              <w:top w:val="single" w:color="auto" w:sz="10" w:space="0"/>
              <w:left w:val="single" w:color="auto" w:sz="10" w:space="0"/>
              <w:bottom w:val="single" w:color="auto" w:sz="10" w:space="0"/>
              <w:right w:val="single" w:color="auto" w:sz="10" w:space="0"/>
              <w:insideV w:val="single" w:sz="10" w:space="0"/>
            </w:tcBorders>
            <w:vAlign w:val="center"/>
          </w:tcPr>
          <w:p w14:paraId="7E14B5BA">
            <w:pPr>
              <w:snapToGrid w:val="0"/>
              <w:jc w:val="center"/>
            </w:pPr>
            <w:r>
              <w:rPr>
                <w:rFonts w:ascii="宋体" w:hAnsi="宋体" w:eastAsia="宋体"/>
                <w:sz w:val="16"/>
              </w:rPr>
              <w:t>100</w:t>
            </w:r>
          </w:p>
        </w:tc>
        <w:tc>
          <w:tcPr>
            <w:tcW w:w="1344" w:type="pct"/>
            <w:gridSpan w:val="3"/>
            <w:tcBorders>
              <w:top w:val="single" w:color="auto" w:sz="10" w:space="0"/>
              <w:left w:val="single" w:color="auto" w:sz="10" w:space="0"/>
              <w:bottom w:val="single" w:color="auto" w:sz="10" w:space="0"/>
              <w:right w:val="single" w:color="auto" w:sz="10" w:space="0"/>
              <w:insideV w:val="single" w:sz="10" w:space="0"/>
            </w:tcBorders>
          </w:tcPr>
          <w:p w14:paraId="3AC02E43">
            <w:pPr>
              <w:snapToGrid w:val="0"/>
            </w:pPr>
          </w:p>
        </w:tc>
        <w:tc>
          <w:tcPr>
            <w:tcW w:w="414" w:type="pct"/>
            <w:tcBorders>
              <w:top w:val="single" w:color="auto" w:sz="10" w:space="0"/>
              <w:left w:val="single" w:color="auto" w:sz="10" w:space="0"/>
              <w:bottom w:val="single" w:color="auto" w:sz="10" w:space="0"/>
              <w:right w:val="single" w:color="auto" w:sz="10" w:space="0"/>
              <w:insideV w:val="single" w:sz="10" w:space="0"/>
            </w:tcBorders>
            <w:vAlign w:val="center"/>
          </w:tcPr>
          <w:p w14:paraId="6742D685">
            <w:pPr>
              <w:snapToGrid w:val="0"/>
              <w:jc w:val="center"/>
            </w:pPr>
            <w:r>
              <w:rPr>
                <w:rFonts w:ascii="宋体" w:hAnsi="宋体" w:eastAsia="宋体"/>
                <w:sz w:val="16"/>
              </w:rPr>
              <w:t>100分</w:t>
            </w:r>
          </w:p>
        </w:tc>
        <w:tc>
          <w:tcPr>
            <w:tcW w:w="586" w:type="pct"/>
            <w:tcBorders>
              <w:top w:val="single" w:color="auto" w:sz="10" w:space="0"/>
              <w:left w:val="single" w:color="auto" w:sz="10" w:space="0"/>
              <w:bottom w:val="single" w:color="auto" w:sz="10" w:space="0"/>
              <w:right w:val="single" w:color="auto" w:sz="10" w:space="0"/>
              <w:insideV w:val="single" w:sz="10" w:space="0"/>
            </w:tcBorders>
          </w:tcPr>
          <w:p w14:paraId="67EB6295">
            <w:pPr>
              <w:snapToGrid w:val="0"/>
            </w:pPr>
          </w:p>
        </w:tc>
      </w:tr>
    </w:tbl>
    <w:p w14:paraId="1D166AE6">
      <w:r>
        <w:br w:type="page"/>
      </w:r>
    </w:p>
    <w:p w14:paraId="3C53F624">
      <w:pPr>
        <w:spacing w:line="640" w:lineRule="exact"/>
        <w:ind w:firstLine="640"/>
        <w:jc w:val="both"/>
        <w:outlineLvl w:val="2"/>
      </w:pPr>
      <w:r>
        <w:rPr>
          <w:rFonts w:ascii="黑体" w:hAnsi="黑体" w:eastAsia="黑体"/>
          <w:sz w:val="32"/>
        </w:rPr>
        <w:t>十二、其他需说明的事项</w:t>
      </w:r>
    </w:p>
    <w:p w14:paraId="47D92608">
      <w:pPr>
        <w:spacing w:line="580" w:lineRule="exact"/>
        <w:ind w:firstLine="640"/>
        <w:jc w:val="both"/>
      </w:pPr>
      <w:r>
        <w:rPr>
          <w:rFonts w:ascii="仿宋_GB2312" w:hAnsi="仿宋_GB2312" w:eastAsia="仿宋_GB2312"/>
          <w:b w:val="0"/>
          <w:sz w:val="32"/>
        </w:rPr>
        <w:t>本单位无其他需说明的事项。</w:t>
      </w:r>
    </w:p>
    <w:p w14:paraId="380E3824">
      <w:r>
        <w:br w:type="page"/>
      </w:r>
    </w:p>
    <w:p w14:paraId="4E233D83">
      <w:pPr>
        <w:spacing w:line="240" w:lineRule="auto"/>
        <w:jc w:val="center"/>
        <w:outlineLvl w:val="1"/>
      </w:pPr>
      <w:r>
        <w:rPr>
          <w:rFonts w:ascii="黑体" w:hAnsi="黑体" w:eastAsia="黑体"/>
          <w:sz w:val="32"/>
        </w:rPr>
        <w:t>第三部分 专业名词解释</w:t>
      </w:r>
    </w:p>
    <w:p w14:paraId="4D4610E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392F2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04C67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677442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CEE13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0CC4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2124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668FFF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DA78E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6A202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E81BC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667A2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FDB38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1F30F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C0A39AA">
      <w:r>
        <w:br w:type="page"/>
      </w:r>
    </w:p>
    <w:p w14:paraId="55FEFEC2">
      <w:pPr>
        <w:spacing w:line="240" w:lineRule="auto"/>
        <w:jc w:val="center"/>
        <w:outlineLvl w:val="1"/>
      </w:pPr>
      <w:r>
        <w:rPr>
          <w:rFonts w:ascii="黑体" w:hAnsi="黑体" w:eastAsia="黑体"/>
          <w:sz w:val="32"/>
        </w:rPr>
        <w:t>第四部分 部门决算报表（见附表）</w:t>
      </w:r>
    </w:p>
    <w:p w14:paraId="439F79CA">
      <w:pPr>
        <w:spacing w:line="240" w:lineRule="auto"/>
        <w:ind w:firstLine="640"/>
        <w:jc w:val="both"/>
      </w:pPr>
      <w:r>
        <w:rPr>
          <w:rFonts w:ascii="仿宋_GB2312" w:hAnsi="仿宋_GB2312" w:eastAsia="仿宋_GB2312"/>
          <w:b w:val="0"/>
          <w:sz w:val="32"/>
        </w:rPr>
        <w:t>一、《收入支出决算总表》</w:t>
      </w:r>
    </w:p>
    <w:p w14:paraId="3C682925">
      <w:pPr>
        <w:spacing w:line="240" w:lineRule="auto"/>
        <w:ind w:firstLine="640"/>
        <w:jc w:val="both"/>
      </w:pPr>
      <w:r>
        <w:rPr>
          <w:rFonts w:ascii="仿宋_GB2312" w:hAnsi="仿宋_GB2312" w:eastAsia="仿宋_GB2312"/>
          <w:b w:val="0"/>
          <w:sz w:val="32"/>
        </w:rPr>
        <w:t>二、《收入决算表》</w:t>
      </w:r>
    </w:p>
    <w:p w14:paraId="75FAE9B3">
      <w:pPr>
        <w:spacing w:line="240" w:lineRule="auto"/>
        <w:ind w:firstLine="640"/>
        <w:jc w:val="both"/>
      </w:pPr>
      <w:r>
        <w:rPr>
          <w:rFonts w:ascii="仿宋_GB2312" w:hAnsi="仿宋_GB2312" w:eastAsia="仿宋_GB2312"/>
          <w:b w:val="0"/>
          <w:sz w:val="32"/>
        </w:rPr>
        <w:t>三、《支出决算表》</w:t>
      </w:r>
    </w:p>
    <w:p w14:paraId="4B866667">
      <w:pPr>
        <w:spacing w:line="240" w:lineRule="auto"/>
        <w:ind w:firstLine="640"/>
        <w:jc w:val="both"/>
      </w:pPr>
      <w:r>
        <w:rPr>
          <w:rFonts w:ascii="仿宋_GB2312" w:hAnsi="仿宋_GB2312" w:eastAsia="仿宋_GB2312"/>
          <w:b w:val="0"/>
          <w:sz w:val="32"/>
        </w:rPr>
        <w:t>四、《财政拨款收入支出决算总表》</w:t>
      </w:r>
    </w:p>
    <w:p w14:paraId="23581D5A">
      <w:pPr>
        <w:spacing w:line="240" w:lineRule="auto"/>
        <w:ind w:firstLine="640"/>
        <w:jc w:val="both"/>
      </w:pPr>
      <w:r>
        <w:rPr>
          <w:rFonts w:ascii="仿宋_GB2312" w:hAnsi="仿宋_GB2312" w:eastAsia="仿宋_GB2312"/>
          <w:b w:val="0"/>
          <w:sz w:val="32"/>
        </w:rPr>
        <w:t>五、《一般公共预算财政拨款支出决算表》</w:t>
      </w:r>
    </w:p>
    <w:p w14:paraId="68F1CE06">
      <w:pPr>
        <w:spacing w:line="240" w:lineRule="auto"/>
        <w:ind w:firstLine="640"/>
        <w:jc w:val="both"/>
      </w:pPr>
      <w:r>
        <w:rPr>
          <w:rFonts w:ascii="仿宋_GB2312" w:hAnsi="仿宋_GB2312" w:eastAsia="仿宋_GB2312"/>
          <w:b w:val="0"/>
          <w:sz w:val="32"/>
        </w:rPr>
        <w:t>六、《一般公共预算财政拨款基本支出决算表》</w:t>
      </w:r>
    </w:p>
    <w:p w14:paraId="60CFFB5C">
      <w:pPr>
        <w:spacing w:line="240" w:lineRule="auto"/>
        <w:ind w:firstLine="640"/>
        <w:jc w:val="both"/>
      </w:pPr>
      <w:r>
        <w:rPr>
          <w:rFonts w:ascii="仿宋_GB2312" w:hAnsi="仿宋_GB2312" w:eastAsia="仿宋_GB2312"/>
          <w:b w:val="0"/>
          <w:sz w:val="32"/>
        </w:rPr>
        <w:t>七、《政府性基金预算财政拨款收入支出决算表》</w:t>
      </w:r>
    </w:p>
    <w:p w14:paraId="1075981E">
      <w:pPr>
        <w:spacing w:line="240" w:lineRule="auto"/>
        <w:ind w:firstLine="640"/>
        <w:jc w:val="both"/>
      </w:pPr>
      <w:r>
        <w:rPr>
          <w:rFonts w:ascii="仿宋_GB2312" w:hAnsi="仿宋_GB2312" w:eastAsia="仿宋_GB2312"/>
          <w:b w:val="0"/>
          <w:sz w:val="32"/>
        </w:rPr>
        <w:t>八、《国有资本经营预算财政拨款收入支出决算表》</w:t>
      </w:r>
    </w:p>
    <w:p w14:paraId="376E547C">
      <w:pPr>
        <w:spacing w:line="240" w:lineRule="auto"/>
        <w:ind w:firstLine="640"/>
        <w:jc w:val="both"/>
      </w:pPr>
      <w:r>
        <w:rPr>
          <w:rFonts w:ascii="仿宋_GB2312" w:hAnsi="仿宋_GB2312" w:eastAsia="仿宋_GB2312"/>
          <w:b w:val="0"/>
          <w:sz w:val="32"/>
        </w:rPr>
        <w:t>九、《财政拨款“三公”经费支出决算表》</w:t>
      </w:r>
    </w:p>
    <w:p w14:paraId="0889F88B">
      <w:pPr>
        <w:spacing w:line="240" w:lineRule="auto"/>
        <w:ind w:firstLine="640"/>
        <w:jc w:val="both"/>
      </w:pPr>
    </w:p>
    <w:p w14:paraId="21B6FE6A">
      <w:pPr>
        <w:spacing w:line="240" w:lineRule="auto"/>
        <w:ind w:firstLine="640"/>
        <w:jc w:val="both"/>
      </w:pPr>
    </w:p>
    <w:p w14:paraId="179DE892">
      <w:pPr>
        <w:spacing w:line="240" w:lineRule="auto"/>
        <w:ind w:firstLine="640"/>
        <w:jc w:val="both"/>
      </w:pPr>
    </w:p>
    <w:p w14:paraId="69FF5AEF">
      <w:pPr>
        <w:spacing w:line="240" w:lineRule="auto"/>
        <w:ind w:firstLine="640"/>
        <w:jc w:val="both"/>
      </w:pPr>
    </w:p>
    <w:p w14:paraId="78EF750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7D60A5-8CB9-4578-B349-1BC785F363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74FBB98-69A5-4F38-B634-A4A89786A1D5}"/>
  </w:font>
  <w:font w:name="仿宋_GB2312">
    <w:panose1 w:val="02010609030101010101"/>
    <w:charset w:val="86"/>
    <w:family w:val="auto"/>
    <w:pitch w:val="default"/>
    <w:sig w:usb0="00000001" w:usb1="080E0000" w:usb2="00000000" w:usb3="00000000" w:csb0="00040000" w:csb1="00000000"/>
    <w:embedRegular r:id="rId3" w:fontKey="{996658A2-5D46-4A37-A9CB-829B10D84584}"/>
  </w:font>
  <w:font w:name="楷体_GB2312">
    <w:panose1 w:val="02010609030101010101"/>
    <w:charset w:val="86"/>
    <w:family w:val="auto"/>
    <w:pitch w:val="default"/>
    <w:sig w:usb0="00000001" w:usb1="080E0000" w:usb2="00000000" w:usb3="00000000" w:csb0="00040000" w:csb1="00000000"/>
    <w:embedRegular r:id="rId4" w:fontKey="{E0DBBD33-D3C4-41CC-A1DD-EE4D5B118A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692EAB"/>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207F8B"/>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BA5F78"/>
    <w:rsid w:val="71473612"/>
    <w:rsid w:val="718F7F65"/>
    <w:rsid w:val="73423603"/>
    <w:rsid w:val="737A5923"/>
    <w:rsid w:val="73DE4104"/>
    <w:rsid w:val="73FB6630"/>
    <w:rsid w:val="74CE04EC"/>
    <w:rsid w:val="74E76DCD"/>
    <w:rsid w:val="76660D7C"/>
    <w:rsid w:val="77ED6F44"/>
    <w:rsid w:val="795A0A34"/>
    <w:rsid w:val="7A0D3BC7"/>
    <w:rsid w:val="7A3A3CDB"/>
    <w:rsid w:val="7D2D4A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5659</Words>
  <Characters>6604</Characters>
  <Lines>0</Lines>
  <Paragraphs>0</Paragraphs>
  <TotalTime>9</TotalTime>
  <ScaleCrop>false</ScaleCrop>
  <LinksUpToDate>false</LinksUpToDate>
  <CharactersWithSpaces>6612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