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疏勒县供销合作社联合社2024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D0915EA">
      <w:r>
        <w:br w:type="page"/>
      </w:r>
    </w:p>
    <w:p w14:paraId="04437B42">
      <w:pPr>
        <w:spacing w:line="640" w:lineRule="exact"/>
        <w:jc w:val="center"/>
        <w:outlineLvl w:val="1"/>
      </w:pPr>
      <w:r>
        <w:rPr>
          <w:rFonts w:ascii="黑体" w:hAnsi="黑体" w:eastAsia="黑体"/>
          <w:sz w:val="32"/>
        </w:rPr>
        <w:t>第一部分 单位概况</w:t>
      </w:r>
    </w:p>
    <w:p w14:paraId="4D834FBB">
      <w:pPr>
        <w:spacing w:line="640" w:lineRule="exact"/>
        <w:ind w:firstLine="640"/>
        <w:jc w:val="both"/>
        <w:outlineLvl w:val="2"/>
      </w:pPr>
      <w:r>
        <w:rPr>
          <w:rFonts w:ascii="黑体" w:hAnsi="黑体" w:eastAsia="黑体"/>
          <w:sz w:val="32"/>
        </w:rPr>
        <w:t>一、主要职能</w:t>
      </w:r>
    </w:p>
    <w:p w14:paraId="47719BCD">
      <w:pPr>
        <w:spacing w:line="580" w:lineRule="exact"/>
        <w:ind w:firstLine="640"/>
        <w:jc w:val="both"/>
      </w:pPr>
      <w:r>
        <w:rPr>
          <w:rFonts w:ascii="仿宋_GB2312" w:hAnsi="仿宋_GB2312" w:eastAsia="仿宋_GB2312"/>
          <w:sz w:val="32"/>
        </w:rPr>
        <w:t>（1）贯彻落实党和国家有关供销合作社改革发展的方针、政策，组织指导全县供销合作社的改革，拟订发展建设规划和计划，维护农民社员和合作社的合法权益。</w:t>
      </w:r>
    </w:p>
    <w:p w14:paraId="5A42537D">
      <w:pPr>
        <w:spacing w:line="580" w:lineRule="exact"/>
        <w:ind w:firstLine="640"/>
        <w:jc w:val="both"/>
      </w:pPr>
      <w:r>
        <w:rPr>
          <w:rFonts w:ascii="仿宋_GB2312" w:hAnsi="仿宋_GB2312" w:eastAsia="仿宋_GB2312"/>
          <w:sz w:val="32"/>
        </w:rPr>
        <w:t>（2）监督、管理和运营本级社有资产，依法履行出资人职责，享有出资人权益，监督社有资产保值增值，发展壮大社有企业。</w:t>
      </w:r>
    </w:p>
    <w:p w14:paraId="58C43499">
      <w:pPr>
        <w:spacing w:line="580" w:lineRule="exact"/>
        <w:ind w:firstLine="640"/>
        <w:jc w:val="both"/>
      </w:pPr>
      <w:r>
        <w:rPr>
          <w:rFonts w:ascii="仿宋_GB2312" w:hAnsi="仿宋_GB2312" w:eastAsia="仿宋_GB2312"/>
          <w:sz w:val="32"/>
        </w:rPr>
        <w:t>（3）负责组织推动农业生产资料、农副产品购销、日用消费品、再生资源回收利用等农村现代流通体系建设，</w:t>
      </w:r>
      <w:r>
        <w:rPr>
          <w:rFonts w:hint="eastAsia" w:ascii="仿宋_GB2312" w:hAnsi="仿宋_GB2312" w:eastAsia="仿宋_GB2312"/>
          <w:sz w:val="32"/>
          <w:lang w:eastAsia="zh-CN"/>
        </w:rPr>
        <w:t>农村金融服务体系</w:t>
      </w:r>
      <w:r>
        <w:rPr>
          <w:rFonts w:ascii="仿宋_GB2312" w:hAnsi="仿宋_GB2312" w:eastAsia="仿宋_GB2312"/>
          <w:sz w:val="32"/>
        </w:rPr>
        <w:t>和农村社区服务中心建设。</w:t>
      </w:r>
    </w:p>
    <w:p w14:paraId="5BFC218B">
      <w:pPr>
        <w:spacing w:line="580" w:lineRule="exact"/>
        <w:ind w:firstLine="640"/>
        <w:jc w:val="both"/>
      </w:pPr>
      <w:r>
        <w:rPr>
          <w:rFonts w:ascii="仿宋_GB2312" w:hAnsi="仿宋_GB2312" w:eastAsia="仿宋_GB2312"/>
          <w:sz w:val="32"/>
        </w:rPr>
        <w:t>（4）负责推进联合社、基层社和社有企业三位一体的供销合作社组织体系建设，组织推进全县供销合作社的联合与合作，推进“农超对接”，组织开展名优特等农产品的营销工作。</w:t>
      </w:r>
    </w:p>
    <w:p w14:paraId="6C266B58">
      <w:pPr>
        <w:spacing w:line="580" w:lineRule="exact"/>
        <w:ind w:firstLine="640"/>
        <w:jc w:val="both"/>
      </w:pPr>
      <w:r>
        <w:rPr>
          <w:rFonts w:ascii="仿宋_GB2312" w:hAnsi="仿宋_GB2312" w:eastAsia="仿宋_GB2312"/>
          <w:sz w:val="32"/>
        </w:rPr>
        <w:t>（5）负责主办、领办农民专业合作社，参与农民专业合作社示范社建设，推动相关行业协会、社团组织等为农民专业合作社服务平台建设。</w:t>
      </w:r>
    </w:p>
    <w:p w14:paraId="2D67A58A">
      <w:pPr>
        <w:spacing w:line="580" w:lineRule="exact"/>
        <w:ind w:firstLine="640"/>
        <w:jc w:val="both"/>
      </w:pPr>
      <w:r>
        <w:rPr>
          <w:rFonts w:ascii="仿宋_GB2312" w:hAnsi="仿宋_GB2312" w:eastAsia="仿宋_GB2312"/>
          <w:sz w:val="32"/>
        </w:rPr>
        <w:t>（6）负责供销合作社系统企业党建工作、综合治理工作、精神文明建设和廉政建设。</w:t>
      </w:r>
    </w:p>
    <w:p w14:paraId="4FBD2D04">
      <w:pPr>
        <w:spacing w:line="580" w:lineRule="exact"/>
        <w:ind w:firstLine="640"/>
        <w:jc w:val="both"/>
      </w:pPr>
      <w:r>
        <w:rPr>
          <w:rFonts w:ascii="仿宋_GB2312" w:hAnsi="仿宋_GB2312" w:eastAsia="仿宋_GB2312"/>
          <w:sz w:val="32"/>
        </w:rPr>
        <w:t>（7）负责县社机关及社属参(控)股企业的干部人事派出和管理</w:t>
      </w:r>
      <w:bookmarkStart w:id="0" w:name="_GoBack"/>
      <w:r>
        <w:rPr>
          <w:rFonts w:hint="eastAsia" w:ascii="仿宋_GB2312" w:hAnsi="仿宋_GB2312" w:eastAsia="仿宋_GB2312"/>
          <w:sz w:val="32"/>
          <w:lang w:eastAsia="zh-CN"/>
        </w:rPr>
        <w:t>；</w:t>
      </w:r>
      <w:bookmarkEnd w:id="0"/>
      <w:r>
        <w:rPr>
          <w:rFonts w:ascii="仿宋_GB2312" w:hAnsi="仿宋_GB2312" w:eastAsia="仿宋_GB2312"/>
          <w:sz w:val="32"/>
        </w:rPr>
        <w:t>负责对全县供销系统社员、职工、干部实施教育培训</w:t>
      </w:r>
      <w:r>
        <w:rPr>
          <w:rFonts w:hint="eastAsia" w:ascii="仿宋_GB2312" w:hAnsi="仿宋_GB2312" w:eastAsia="仿宋_GB2312"/>
          <w:sz w:val="32"/>
          <w:lang w:eastAsia="zh-CN"/>
        </w:rPr>
        <w:t>；</w:t>
      </w:r>
      <w:r>
        <w:rPr>
          <w:rFonts w:ascii="仿宋_GB2312" w:hAnsi="仿宋_GB2312" w:eastAsia="仿宋_GB2312"/>
          <w:sz w:val="32"/>
        </w:rPr>
        <w:t>负责和指导对本级</w:t>
      </w:r>
      <w:r>
        <w:rPr>
          <w:rFonts w:hint="eastAsia" w:ascii="仿宋_GB2312" w:hAnsi="仿宋_GB2312" w:eastAsia="仿宋_GB2312"/>
          <w:sz w:val="32"/>
          <w:lang w:eastAsia="zh-CN"/>
        </w:rPr>
        <w:t>及</w:t>
      </w:r>
      <w:r>
        <w:rPr>
          <w:rFonts w:ascii="仿宋_GB2312" w:hAnsi="仿宋_GB2312" w:eastAsia="仿宋_GB2312"/>
          <w:sz w:val="32"/>
        </w:rPr>
        <w:t>社属参(控)股企业社员、职会员，干部的奖惩及绩效考核。</w:t>
      </w:r>
    </w:p>
    <w:p w14:paraId="4125B45D">
      <w:pPr>
        <w:spacing w:line="640" w:lineRule="exact"/>
        <w:ind w:firstLine="640"/>
        <w:jc w:val="both"/>
        <w:outlineLvl w:val="2"/>
      </w:pPr>
      <w:r>
        <w:rPr>
          <w:rFonts w:ascii="黑体" w:hAnsi="黑体" w:eastAsia="黑体"/>
          <w:sz w:val="32"/>
        </w:rPr>
        <w:t>二、机构设置及人员情况</w:t>
      </w:r>
    </w:p>
    <w:p w14:paraId="66A0359C">
      <w:pPr>
        <w:spacing w:line="580" w:lineRule="exact"/>
        <w:ind w:firstLine="640"/>
        <w:jc w:val="both"/>
      </w:pPr>
      <w:r>
        <w:rPr>
          <w:rFonts w:ascii="仿宋_GB2312" w:hAnsi="仿宋_GB2312" w:eastAsia="仿宋_GB2312"/>
          <w:sz w:val="32"/>
        </w:rPr>
        <w:t>疏勒县供销合作社联合社2024年度，实有人数15人，其中：在职人员7人，增加0人；离休人员0人，增加0人；退休人员8人,增加1人。</w:t>
      </w:r>
    </w:p>
    <w:p w14:paraId="15E9A188">
      <w:pPr>
        <w:spacing w:line="580" w:lineRule="exact"/>
        <w:ind w:firstLine="640"/>
        <w:jc w:val="both"/>
      </w:pPr>
      <w:r>
        <w:rPr>
          <w:rFonts w:ascii="仿宋_GB2312" w:hAnsi="仿宋_GB2312" w:eastAsia="仿宋_GB2312"/>
          <w:sz w:val="32"/>
        </w:rPr>
        <w:t>疏勒县供销合作社联合社无下属预算单位，下设2个科室，分别是：综合办公室、财务室。</w:t>
      </w:r>
    </w:p>
    <w:p w14:paraId="1A50F367">
      <w:r>
        <w:br w:type="page"/>
      </w:r>
    </w:p>
    <w:p w14:paraId="47B704ED">
      <w:pPr>
        <w:spacing w:line="240" w:lineRule="auto"/>
        <w:jc w:val="center"/>
        <w:outlineLvl w:val="1"/>
      </w:pPr>
      <w:r>
        <w:rPr>
          <w:rFonts w:ascii="黑体" w:hAnsi="黑体" w:eastAsia="黑体"/>
          <w:sz w:val="32"/>
        </w:rPr>
        <w:t>第二部分 部门决算情况说明</w:t>
      </w:r>
    </w:p>
    <w:p w14:paraId="47A63C59">
      <w:pPr>
        <w:spacing w:line="640" w:lineRule="exact"/>
        <w:ind w:firstLine="640"/>
        <w:jc w:val="both"/>
        <w:outlineLvl w:val="2"/>
      </w:pPr>
      <w:r>
        <w:rPr>
          <w:rFonts w:ascii="黑体" w:hAnsi="黑体" w:eastAsia="黑体"/>
          <w:sz w:val="32"/>
        </w:rPr>
        <w:t>一、收入支出决算总体情况说明</w:t>
      </w:r>
    </w:p>
    <w:p w14:paraId="3632CFDF">
      <w:pPr>
        <w:spacing w:line="580" w:lineRule="exact"/>
        <w:ind w:firstLine="640"/>
        <w:jc w:val="both"/>
      </w:pPr>
      <w:r>
        <w:rPr>
          <w:rFonts w:ascii="仿宋_GB2312" w:hAnsi="仿宋_GB2312" w:eastAsia="仿宋_GB2312"/>
          <w:b/>
          <w:sz w:val="32"/>
        </w:rPr>
        <w:t>2024年度收入总计267.18万元，</w:t>
      </w:r>
      <w:r>
        <w:rPr>
          <w:rFonts w:ascii="仿宋_GB2312" w:hAnsi="仿宋_GB2312" w:eastAsia="仿宋_GB2312"/>
          <w:b w:val="0"/>
          <w:sz w:val="32"/>
        </w:rPr>
        <w:t>其中：本年收入合计267.18万元，使用非财政拨款结余（含专用结余）0.00万元，年初结转和结余0.00万元。</w:t>
      </w:r>
    </w:p>
    <w:p w14:paraId="0F40F40E">
      <w:pPr>
        <w:spacing w:line="580" w:lineRule="exact"/>
        <w:ind w:firstLine="640"/>
        <w:jc w:val="both"/>
      </w:pPr>
      <w:r>
        <w:rPr>
          <w:rFonts w:ascii="仿宋_GB2312" w:hAnsi="仿宋_GB2312" w:eastAsia="仿宋_GB2312"/>
          <w:b/>
          <w:sz w:val="32"/>
        </w:rPr>
        <w:t>2024年度支出总计267.18万元，</w:t>
      </w:r>
      <w:r>
        <w:rPr>
          <w:rFonts w:ascii="仿宋_GB2312" w:hAnsi="仿宋_GB2312" w:eastAsia="仿宋_GB2312"/>
          <w:b w:val="0"/>
          <w:sz w:val="32"/>
        </w:rPr>
        <w:t>其中：本年支出合计267.18万元，结余分配0.00万元，年末结转和结余0.00万元。</w:t>
      </w:r>
    </w:p>
    <w:p w14:paraId="10A6A6B8">
      <w:pPr>
        <w:spacing w:line="580" w:lineRule="exact"/>
        <w:ind w:firstLine="640"/>
        <w:jc w:val="both"/>
      </w:pPr>
      <w:r>
        <w:rPr>
          <w:rFonts w:ascii="仿宋_GB2312" w:hAnsi="仿宋_GB2312" w:eastAsia="仿宋_GB2312"/>
          <w:b w:val="0"/>
          <w:sz w:val="32"/>
        </w:rPr>
        <w:t>收入支出总体与上年相比，增加69.10万元，增长34.88%，主要原因是：本年增加疏勒县东勒悦农生鲜超市项目，导致经费较上年增加。</w:t>
      </w:r>
    </w:p>
    <w:p w14:paraId="31F84098">
      <w:pPr>
        <w:spacing w:line="640" w:lineRule="exact"/>
        <w:ind w:firstLine="640"/>
        <w:jc w:val="both"/>
        <w:outlineLvl w:val="2"/>
      </w:pPr>
      <w:r>
        <w:rPr>
          <w:rFonts w:ascii="黑体" w:hAnsi="黑体" w:eastAsia="黑体"/>
          <w:sz w:val="32"/>
        </w:rPr>
        <w:t>二、收入决算情况说明</w:t>
      </w:r>
    </w:p>
    <w:p w14:paraId="293BD927">
      <w:pPr>
        <w:spacing w:line="580" w:lineRule="exact"/>
        <w:ind w:firstLine="640"/>
        <w:jc w:val="both"/>
      </w:pPr>
      <w:r>
        <w:rPr>
          <w:rFonts w:ascii="仿宋_GB2312" w:hAnsi="仿宋_GB2312" w:eastAsia="仿宋_GB2312"/>
          <w:b/>
          <w:sz w:val="32"/>
        </w:rPr>
        <w:t>本年收入267.18万元，</w:t>
      </w:r>
      <w:r>
        <w:rPr>
          <w:rFonts w:ascii="仿宋_GB2312" w:hAnsi="仿宋_GB2312" w:eastAsia="仿宋_GB2312"/>
          <w:b w:val="0"/>
          <w:sz w:val="32"/>
        </w:rPr>
        <w:t>其中：财政拨款收入201.09万元，占75.26%；上级补助收入0.00万元，占0.00%；事业收入0.00万元，占0.00%；经营收入0.00万元，占0.00%；附属单位上缴收入0.00万元，占0.00%；其他收入66.09万元，占24.74%。</w:t>
      </w:r>
    </w:p>
    <w:p w14:paraId="3572FA06">
      <w:pPr>
        <w:spacing w:line="640" w:lineRule="exact"/>
        <w:ind w:firstLine="640"/>
        <w:jc w:val="both"/>
        <w:outlineLvl w:val="2"/>
      </w:pPr>
      <w:r>
        <w:rPr>
          <w:rFonts w:ascii="黑体" w:hAnsi="黑体" w:eastAsia="黑体"/>
          <w:sz w:val="32"/>
        </w:rPr>
        <w:t>三、支出决算情况说明</w:t>
      </w:r>
    </w:p>
    <w:p w14:paraId="1E0BDEDB">
      <w:pPr>
        <w:spacing w:line="580" w:lineRule="exact"/>
        <w:ind w:firstLine="640"/>
        <w:jc w:val="both"/>
      </w:pPr>
      <w:r>
        <w:rPr>
          <w:rFonts w:ascii="仿宋_GB2312" w:hAnsi="仿宋_GB2312" w:eastAsia="仿宋_GB2312"/>
          <w:b/>
          <w:sz w:val="32"/>
        </w:rPr>
        <w:t>本年支出267.18万元，</w:t>
      </w:r>
      <w:r>
        <w:rPr>
          <w:rFonts w:ascii="仿宋_GB2312" w:hAnsi="仿宋_GB2312" w:eastAsia="仿宋_GB2312"/>
          <w:b w:val="0"/>
          <w:sz w:val="32"/>
        </w:rPr>
        <w:t>其中：基本支出190.94万元，占71.46%；项目支出76.24万元，占28.54%；上缴上级支出0.00万元，占0.00%；经营支出0.00万元，占0.00%；对附属单位补助支出0.00万元，占0.00%。</w:t>
      </w:r>
    </w:p>
    <w:p w14:paraId="712E37F5">
      <w:pPr>
        <w:spacing w:line="640" w:lineRule="exact"/>
        <w:ind w:firstLine="640"/>
        <w:jc w:val="both"/>
        <w:outlineLvl w:val="2"/>
      </w:pPr>
      <w:r>
        <w:rPr>
          <w:rFonts w:ascii="黑体" w:hAnsi="黑体" w:eastAsia="黑体"/>
          <w:sz w:val="32"/>
        </w:rPr>
        <w:t>四、财政拨款收入支出决算总体情况说明</w:t>
      </w:r>
    </w:p>
    <w:p w14:paraId="188D5F04">
      <w:pPr>
        <w:spacing w:line="580" w:lineRule="exact"/>
        <w:ind w:firstLine="640"/>
        <w:jc w:val="both"/>
      </w:pPr>
      <w:r>
        <w:rPr>
          <w:rFonts w:ascii="仿宋_GB2312" w:hAnsi="仿宋_GB2312" w:eastAsia="仿宋_GB2312"/>
          <w:b/>
          <w:sz w:val="32"/>
        </w:rPr>
        <w:t>2024年度财政拨款收入总计201.09万元，</w:t>
      </w:r>
      <w:r>
        <w:rPr>
          <w:rFonts w:ascii="仿宋_GB2312" w:hAnsi="仿宋_GB2312" w:eastAsia="仿宋_GB2312"/>
          <w:b w:val="0"/>
          <w:sz w:val="32"/>
        </w:rPr>
        <w:t>其中：年初财政拨款结转和结余0.00万元，本年财政拨款收入201.09万元。</w:t>
      </w:r>
      <w:r>
        <w:rPr>
          <w:rFonts w:ascii="仿宋_GB2312" w:hAnsi="仿宋_GB2312" w:eastAsia="仿宋_GB2312"/>
          <w:b/>
          <w:sz w:val="32"/>
        </w:rPr>
        <w:t>财政拨款支出总计201.09万元，</w:t>
      </w:r>
      <w:r>
        <w:rPr>
          <w:rFonts w:ascii="仿宋_GB2312" w:hAnsi="仿宋_GB2312" w:eastAsia="仿宋_GB2312"/>
          <w:b w:val="0"/>
          <w:sz w:val="32"/>
        </w:rPr>
        <w:t>其中：年末财政拨款结转和结余0.00万元，本年财政拨款支出201.09万元。</w:t>
      </w:r>
    </w:p>
    <w:p w14:paraId="3B670B6D">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增加3.01万元，增长1.52%，主要原因是：本年新增退休人员，职业年金做实，职业年金缴费支出增加，导致经费较上年增加。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年初预算数189.70万元，决算数201.09万元，预决算差异率6.00%，主要原因是：年中追加人员工资、社保、公积金基数调增部分资金，新增退休人员，职业年金做实，追加职业年金经费，导致预决算存在差异。</w:t>
      </w:r>
    </w:p>
    <w:p w14:paraId="653657D1">
      <w:pPr>
        <w:spacing w:line="640" w:lineRule="exact"/>
        <w:ind w:firstLine="640"/>
        <w:jc w:val="both"/>
        <w:outlineLvl w:val="2"/>
      </w:pPr>
      <w:r>
        <w:rPr>
          <w:rFonts w:ascii="黑体" w:hAnsi="黑体" w:eastAsia="黑体"/>
          <w:sz w:val="32"/>
        </w:rPr>
        <w:t>五、一般公共预算财政拨款支出决算情况说明</w:t>
      </w:r>
    </w:p>
    <w:p w14:paraId="48A89F55">
      <w:pPr>
        <w:spacing w:line="640" w:lineRule="exact"/>
        <w:ind w:firstLine="640"/>
        <w:jc w:val="both"/>
        <w:outlineLvl w:val="3"/>
      </w:pPr>
      <w:r>
        <w:rPr>
          <w:rFonts w:ascii="楷体_GB2312" w:hAnsi="楷体_GB2312" w:eastAsia="楷体_GB2312"/>
          <w:b/>
          <w:sz w:val="32"/>
        </w:rPr>
        <w:t>（一）一般公共预算财政拨款支出决算总体情况</w:t>
      </w:r>
    </w:p>
    <w:p w14:paraId="713B2941">
      <w:pPr>
        <w:spacing w:line="580" w:lineRule="exact"/>
        <w:ind w:firstLine="640"/>
        <w:jc w:val="both"/>
      </w:pPr>
      <w:r>
        <w:rPr>
          <w:rFonts w:ascii="仿宋_GB2312" w:hAnsi="仿宋_GB2312" w:eastAsia="仿宋_GB2312"/>
          <w:b/>
          <w:sz w:val="32"/>
        </w:rPr>
        <w:t>2024年度一般公共预算财政拨款支出201.09万元，</w:t>
      </w:r>
      <w:r>
        <w:rPr>
          <w:rFonts w:ascii="仿宋_GB2312" w:hAnsi="仿宋_GB2312" w:eastAsia="仿宋_GB2312"/>
          <w:b w:val="0"/>
          <w:sz w:val="32"/>
        </w:rPr>
        <w:t>占本年支出合计的75.26%。</w:t>
      </w:r>
      <w:r>
        <w:rPr>
          <w:rFonts w:ascii="仿宋_GB2312" w:hAnsi="仿宋_GB2312" w:eastAsia="仿宋_GB2312"/>
          <w:b/>
          <w:sz w:val="32"/>
        </w:rPr>
        <w:t>与上年相比，</w:t>
      </w:r>
      <w:r>
        <w:rPr>
          <w:rFonts w:ascii="仿宋_GB2312" w:hAnsi="仿宋_GB2312" w:eastAsia="仿宋_GB2312"/>
          <w:b w:val="0"/>
          <w:sz w:val="32"/>
        </w:rPr>
        <w:t>增加3.01万元，增长1.52%，主要原因是：本年新增退休人员，职业年金做实，职业年金缴费支出增加，导致经费较上年增加。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年初预算数189.70万元，决算数201.09万元，预决算差异率6.00%，主要原因是：年中追加人员工资、社保、公积金基数调增部分资金，新增退休人员，职业年金做实，追加职业年金经费，导致预决算存在差异。</w:t>
      </w:r>
    </w:p>
    <w:p w14:paraId="7DC89233">
      <w:pPr>
        <w:spacing w:line="640" w:lineRule="exact"/>
        <w:ind w:firstLine="640"/>
        <w:jc w:val="both"/>
        <w:outlineLvl w:val="3"/>
      </w:pPr>
      <w:r>
        <w:rPr>
          <w:rFonts w:ascii="楷体_GB2312" w:hAnsi="楷体_GB2312" w:eastAsia="楷体_GB2312"/>
          <w:b/>
          <w:sz w:val="32"/>
        </w:rPr>
        <w:t>（二）一般公共预算财政拨款支出决算结构情况</w:t>
      </w:r>
    </w:p>
    <w:p w14:paraId="3CE23DCF">
      <w:pPr>
        <w:spacing w:line="580" w:lineRule="exact"/>
        <w:ind w:firstLine="640"/>
        <w:jc w:val="both"/>
      </w:pPr>
      <w:r>
        <w:rPr>
          <w:rFonts w:ascii="仿宋_GB2312" w:hAnsi="仿宋_GB2312" w:eastAsia="仿宋_GB2312"/>
          <w:b w:val="0"/>
          <w:sz w:val="32"/>
        </w:rPr>
        <w:t>1.社会保障和就业支出(类)39.19万元,占19.49%。</w:t>
      </w:r>
    </w:p>
    <w:p w14:paraId="063AA033">
      <w:pPr>
        <w:spacing w:line="580" w:lineRule="exact"/>
        <w:ind w:firstLine="640"/>
        <w:jc w:val="both"/>
      </w:pPr>
      <w:r>
        <w:rPr>
          <w:rFonts w:ascii="仿宋_GB2312" w:hAnsi="仿宋_GB2312" w:eastAsia="仿宋_GB2312"/>
          <w:b w:val="0"/>
          <w:sz w:val="32"/>
        </w:rPr>
        <w:t>2.卫生健康支出(类)5.25万元,占2.61%。</w:t>
      </w:r>
    </w:p>
    <w:p w14:paraId="5594F251">
      <w:pPr>
        <w:spacing w:line="580" w:lineRule="exact"/>
        <w:ind w:firstLine="640"/>
        <w:jc w:val="both"/>
      </w:pPr>
      <w:r>
        <w:rPr>
          <w:rFonts w:ascii="仿宋_GB2312" w:hAnsi="仿宋_GB2312" w:eastAsia="仿宋_GB2312"/>
          <w:b w:val="0"/>
          <w:sz w:val="32"/>
        </w:rPr>
        <w:t>3.城乡社区支出(类)6.90万元,占3.43%。</w:t>
      </w:r>
    </w:p>
    <w:p w14:paraId="2656BC63">
      <w:pPr>
        <w:spacing w:line="580" w:lineRule="exact"/>
        <w:ind w:firstLine="640"/>
        <w:jc w:val="both"/>
      </w:pPr>
      <w:r>
        <w:rPr>
          <w:rFonts w:ascii="仿宋_GB2312" w:hAnsi="仿宋_GB2312" w:eastAsia="仿宋_GB2312"/>
          <w:b w:val="0"/>
          <w:sz w:val="32"/>
        </w:rPr>
        <w:t>4.农林水支出(类)3.25万元,占1.62%。</w:t>
      </w:r>
    </w:p>
    <w:p w14:paraId="309D25D1">
      <w:pPr>
        <w:spacing w:line="580" w:lineRule="exact"/>
        <w:ind w:firstLine="640"/>
        <w:jc w:val="both"/>
      </w:pPr>
      <w:r>
        <w:rPr>
          <w:rFonts w:ascii="仿宋_GB2312" w:hAnsi="仿宋_GB2312" w:eastAsia="仿宋_GB2312"/>
          <w:b w:val="0"/>
          <w:sz w:val="32"/>
        </w:rPr>
        <w:t>5.商业服务业等支出(类)134.29万元,占66.78%。</w:t>
      </w:r>
    </w:p>
    <w:p w14:paraId="7CDE6BFE">
      <w:pPr>
        <w:spacing w:line="580" w:lineRule="exact"/>
        <w:ind w:firstLine="640"/>
        <w:jc w:val="both"/>
      </w:pPr>
      <w:r>
        <w:rPr>
          <w:rFonts w:ascii="仿宋_GB2312" w:hAnsi="仿宋_GB2312" w:eastAsia="仿宋_GB2312"/>
          <w:b w:val="0"/>
          <w:sz w:val="32"/>
        </w:rPr>
        <w:t>6.住房保障支出(类)12.21万元,占6.07%。</w:t>
      </w:r>
    </w:p>
    <w:p w14:paraId="625840B2">
      <w:pPr>
        <w:spacing w:line="640" w:lineRule="exact"/>
        <w:ind w:firstLine="640"/>
        <w:jc w:val="both"/>
        <w:outlineLvl w:val="3"/>
      </w:pPr>
      <w:r>
        <w:rPr>
          <w:rFonts w:ascii="楷体_GB2312" w:hAnsi="楷体_GB2312" w:eastAsia="楷体_GB2312"/>
          <w:b/>
          <w:sz w:val="32"/>
        </w:rPr>
        <w:t>（三）一般公共预算财政拨款支出决算具体情况</w:t>
      </w:r>
    </w:p>
    <w:p w14:paraId="38A5B5F4">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1.社会保障和就业支出(类)行政事业单位养老支出(款)事业单位离退休(项):支出决算数为9.99万元，比上年决算增加1.67万元，增长20.07%,主要原因是：本年退休人员增加，退休费支出增加。</w:t>
      </w:r>
    </w:p>
    <w:p w14:paraId="5E7B1565">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19.65万元，比上年决算增加7.57万元，增长62.67%,主要原因是：本年在职人员工资基数调增，养老缴费基数上涨，相应支出增加。</w:t>
      </w:r>
    </w:p>
    <w:p w14:paraId="5396D2E2">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9.55万元，比上年决算增加9.55万元，增长100.00%,主要原因是：本年新增退休人员，做实职业年金，导致职业年金增加。</w:t>
      </w:r>
    </w:p>
    <w:p w14:paraId="40B1DFBE">
      <w:pPr>
        <w:spacing w:line="580" w:lineRule="exact"/>
        <w:ind w:firstLine="640"/>
        <w:jc w:val="both"/>
      </w:pPr>
      <w:r>
        <w:rPr>
          <w:rFonts w:ascii="仿宋_GB2312" w:hAnsi="仿宋_GB2312" w:eastAsia="仿宋_GB2312"/>
          <w:b w:val="0"/>
          <w:sz w:val="32"/>
        </w:rPr>
        <w:t>4.卫生健康支出(类)行政事业单位医疗(款)事业单位医疗(项):支出决算数为5.25万元，比上年决算增加0.12万元，增长2.34%,主要原因是：本年在职人员工资基数调增，医疗缴费基数上涨，相应支出增加。</w:t>
      </w:r>
    </w:p>
    <w:p w14:paraId="37258127">
      <w:pPr>
        <w:spacing w:line="580" w:lineRule="exact"/>
        <w:ind w:firstLine="640"/>
        <w:jc w:val="both"/>
      </w:pPr>
      <w:r>
        <w:rPr>
          <w:rFonts w:ascii="仿宋_GB2312" w:hAnsi="仿宋_GB2312" w:eastAsia="仿宋_GB2312"/>
          <w:b w:val="0"/>
          <w:sz w:val="32"/>
        </w:rPr>
        <w:t>5.城乡社区支出(类)其他城乡社区支出(款)其他城乡社区支出(项):支出决算数为6.90万元，比上年决算减少4.14万元，下降37.50%,主要原因是：本年协调解决疏勒县农业生产资料公司家属院拆迁户临时租房安置费用的项目经费较上年减少，相应支出减少。</w:t>
      </w:r>
    </w:p>
    <w:p w14:paraId="7C7E406C">
      <w:pPr>
        <w:spacing w:line="580" w:lineRule="exact"/>
        <w:ind w:firstLine="640"/>
        <w:jc w:val="both"/>
      </w:pPr>
      <w:r>
        <w:rPr>
          <w:rFonts w:ascii="仿宋_GB2312" w:hAnsi="仿宋_GB2312" w:eastAsia="仿宋_GB2312"/>
          <w:b w:val="0"/>
          <w:sz w:val="32"/>
        </w:rPr>
        <w:t>6.农林水支出(类)农业农村(款)其他农业农村支出(项):支出决算数为3.25万元，比上年决算减少1.28万元，下降28.26%,主要原因是：本年为民办实事经费项目经费较上年减少，相应支出减少。</w:t>
      </w:r>
    </w:p>
    <w:p w14:paraId="7A094E02">
      <w:pPr>
        <w:spacing w:line="580" w:lineRule="exact"/>
        <w:ind w:firstLine="640"/>
        <w:jc w:val="both"/>
      </w:pPr>
      <w:r>
        <w:rPr>
          <w:rFonts w:ascii="仿宋_GB2312" w:hAnsi="仿宋_GB2312" w:eastAsia="仿宋_GB2312"/>
          <w:b w:val="0"/>
          <w:sz w:val="32"/>
        </w:rPr>
        <w:t>7.商业服务业等支出(类)商业流通事务(款)事业运行(项):支出决算数为134.29万元，比上年决算减少13.19万元，下降8.94%,主要原因是：本年在职人员调入</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退休</w:t>
      </w:r>
      <w:r>
        <w:rPr>
          <w:rFonts w:ascii="仿宋_GB2312" w:hAnsi="仿宋_GB2312" w:eastAsia="仿宋_GB2312"/>
          <w:b w:val="0"/>
          <w:sz w:val="32"/>
        </w:rPr>
        <w:t>，人员职级不同，工资基数不同，导致人员经费较上年减少。</w:t>
      </w:r>
    </w:p>
    <w:p w14:paraId="0D5649BC">
      <w:pPr>
        <w:spacing w:line="580" w:lineRule="exact"/>
        <w:ind w:firstLine="640"/>
        <w:jc w:val="both"/>
      </w:pPr>
      <w:r>
        <w:rPr>
          <w:rFonts w:ascii="仿宋_GB2312" w:hAnsi="仿宋_GB2312" w:eastAsia="仿宋_GB2312"/>
          <w:b w:val="0"/>
          <w:sz w:val="32"/>
        </w:rPr>
        <w:t>8.住房保障支出(类)住房改革支出(款)住房公积金(项):支出决算数为12.21万元，比上年决算增加2.71万元，增长28.53%,主要原因是：本年在职人员工资基数调增，公积金缴费基数上涨，相应支出增加。</w:t>
      </w:r>
    </w:p>
    <w:p w14:paraId="6F6ACCAB">
      <w:pPr>
        <w:spacing w:line="640" w:lineRule="exact"/>
        <w:ind w:firstLine="640"/>
        <w:jc w:val="both"/>
        <w:outlineLvl w:val="2"/>
      </w:pPr>
      <w:r>
        <w:rPr>
          <w:rFonts w:ascii="黑体" w:hAnsi="黑体" w:eastAsia="黑体"/>
          <w:sz w:val="32"/>
        </w:rPr>
        <w:t>六、一般公共预算财政拨款基本支出决算情况说明</w:t>
      </w:r>
    </w:p>
    <w:p w14:paraId="362E3BC0">
      <w:pPr>
        <w:spacing w:line="580" w:lineRule="exact"/>
        <w:ind w:firstLine="640"/>
        <w:jc w:val="both"/>
      </w:pPr>
      <w:r>
        <w:rPr>
          <w:rFonts w:ascii="仿宋_GB2312" w:hAnsi="仿宋_GB2312" w:eastAsia="仿宋_GB2312"/>
          <w:b w:val="0"/>
          <w:sz w:val="32"/>
        </w:rPr>
        <w:t>2024年度一般公共预算财政拨款基本支出190.94万元，其中：</w:t>
      </w:r>
      <w:r>
        <w:rPr>
          <w:rFonts w:ascii="仿宋_GB2312" w:hAnsi="仿宋_GB2312" w:eastAsia="仿宋_GB2312"/>
          <w:b/>
          <w:sz w:val="32"/>
        </w:rPr>
        <w:t>人员经费187.52万元，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包括：基本工资、津贴补贴、奖金、绩效工资、机关事业单位基本养老保险缴费、职业年金缴费、职工基本医疗保险缴费、其他社会保障缴费、住房公积金、其他工资福利支出、退休费、生活补助。</w:t>
      </w:r>
    </w:p>
    <w:p w14:paraId="729A0542">
      <w:pPr>
        <w:spacing w:line="580" w:lineRule="exact"/>
        <w:ind w:firstLine="640"/>
        <w:jc w:val="both"/>
      </w:pPr>
      <w:r>
        <w:rPr>
          <w:rFonts w:ascii="仿宋_GB2312" w:hAnsi="仿宋_GB2312" w:eastAsia="仿宋_GB2312"/>
          <w:b/>
          <w:sz w:val="32"/>
        </w:rPr>
        <w:t>公用经费3.42万元，</w:t>
      </w:r>
      <w:r>
        <w:rPr>
          <w:rFonts w:ascii="仿宋_GB2312" w:hAnsi="仿宋_GB2312" w:eastAsia="仿宋_GB2312"/>
          <w:b w:val="0"/>
          <w:sz w:val="32"/>
        </w:rPr>
        <w:t>包括：办公费、水费、电费、邮电费、差旅费、公务用车运行维护费。</w:t>
      </w:r>
    </w:p>
    <w:p w14:paraId="1FA4F7A9">
      <w:pPr>
        <w:spacing w:line="640" w:lineRule="exact"/>
        <w:ind w:firstLine="640"/>
        <w:jc w:val="both"/>
        <w:outlineLvl w:val="2"/>
      </w:pPr>
      <w:r>
        <w:rPr>
          <w:rFonts w:ascii="黑体" w:hAnsi="黑体" w:eastAsia="黑体"/>
          <w:sz w:val="32"/>
        </w:rPr>
        <w:t>七、政府性基金预算财政拨款收入支出决算情况说明</w:t>
      </w:r>
    </w:p>
    <w:p w14:paraId="6A47DA2C">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14AD87CE">
      <w:pPr>
        <w:spacing w:line="640" w:lineRule="exact"/>
        <w:ind w:firstLine="640"/>
        <w:jc w:val="both"/>
        <w:outlineLvl w:val="2"/>
      </w:pPr>
      <w:r>
        <w:rPr>
          <w:rFonts w:ascii="黑体" w:hAnsi="黑体" w:eastAsia="黑体"/>
          <w:sz w:val="32"/>
        </w:rPr>
        <w:t>八、国有资本经营预算财政拨款收入支出决算情况说明</w:t>
      </w:r>
    </w:p>
    <w:p w14:paraId="4CE23EF3">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A90BED5">
      <w:pPr>
        <w:spacing w:line="640" w:lineRule="exact"/>
        <w:ind w:firstLine="640"/>
        <w:jc w:val="both"/>
        <w:outlineLvl w:val="2"/>
      </w:pPr>
      <w:r>
        <w:rPr>
          <w:rFonts w:ascii="黑体" w:hAnsi="黑体" w:eastAsia="黑体"/>
          <w:sz w:val="32"/>
        </w:rPr>
        <w:t>九、财政拨款“三公”经费支出决算情况说明</w:t>
      </w:r>
    </w:p>
    <w:p w14:paraId="637555D1">
      <w:pPr>
        <w:spacing w:line="580" w:lineRule="exact"/>
        <w:ind w:firstLine="640"/>
        <w:jc w:val="both"/>
      </w:pPr>
      <w:r>
        <w:rPr>
          <w:rFonts w:ascii="仿宋_GB2312" w:hAnsi="仿宋_GB2312" w:eastAsia="仿宋_GB2312"/>
          <w:b/>
          <w:sz w:val="32"/>
        </w:rPr>
        <w:t>2024年度财政拨款“三公”经费支出1.55万元，</w:t>
      </w:r>
      <w:r>
        <w:rPr>
          <w:rFonts w:ascii="仿宋_GB2312" w:hAnsi="仿宋_GB2312" w:eastAsia="仿宋_GB2312"/>
          <w:b w:val="0"/>
          <w:sz w:val="32"/>
        </w:rPr>
        <w:t>比上年增加0.53万元，增长51.96%，主要原因是：本年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1.55万元，占100.00%，比上年增加0.53万元，增长51.96%，主要原因是：本年因业务需求，用车次数增加，燃油费增加，导致公务用车运行维护费较上年增加。公务接待费支出0.00万元，占0.00%，比上年增加0.00万元，增长0.00%，主要原因是：2023年与2024年均未安排公务接待费支出。</w:t>
      </w:r>
    </w:p>
    <w:p w14:paraId="24E72659">
      <w:pPr>
        <w:spacing w:line="580" w:lineRule="exact"/>
        <w:ind w:firstLine="640"/>
        <w:jc w:val="both"/>
      </w:pPr>
      <w:r>
        <w:rPr>
          <w:rFonts w:ascii="仿宋_GB2312" w:hAnsi="仿宋_GB2312" w:eastAsia="仿宋_GB2312"/>
          <w:b/>
          <w:sz w:val="32"/>
        </w:rPr>
        <w:t>具体情况如下：</w:t>
      </w:r>
    </w:p>
    <w:p w14:paraId="5576FBCC">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477CF5A">
      <w:pPr>
        <w:spacing w:line="580" w:lineRule="exact"/>
        <w:ind w:firstLine="640"/>
        <w:jc w:val="both"/>
      </w:pPr>
      <w:r>
        <w:rPr>
          <w:rFonts w:ascii="仿宋_GB2312" w:hAnsi="仿宋_GB2312" w:eastAsia="仿宋_GB2312"/>
          <w:b w:val="0"/>
          <w:sz w:val="32"/>
        </w:rPr>
        <w:t>公务用车购置及运行维护费1.55万元，其中：公务用车购置费0.00万元，公务用车运行维护费1.55万元。公务用车运行维护费开支内容包括公务用车燃料费、维修费、过路费、保险费用等支出。公务用车购置数0辆，公务用车保有量1辆。国有资产占用情况中固定资产车辆1辆，与公务用车保有量差异原因是：本单位固定资产车辆与公务用车保有量一致无差异。</w:t>
      </w:r>
    </w:p>
    <w:p w14:paraId="437E8C04">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7A1D844">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1.55万元，决算数1.55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1.55万元，决算数1.55万元，预决算差异率0.00%，主要原因是：严格按照预算执行，预决算无差异。公务接待费全年预算数0.00万元，决算数0.00万元，预决算差异率0.00%，主要原因是：本单位无公务接待费。</w:t>
      </w:r>
    </w:p>
    <w:p w14:paraId="5E836D47">
      <w:pPr>
        <w:spacing w:line="640" w:lineRule="exact"/>
        <w:ind w:firstLine="640"/>
        <w:jc w:val="both"/>
        <w:outlineLvl w:val="2"/>
      </w:pPr>
      <w:r>
        <w:rPr>
          <w:rFonts w:ascii="黑体" w:hAnsi="黑体" w:eastAsia="黑体"/>
          <w:sz w:val="32"/>
        </w:rPr>
        <w:t>十、其他重要事项的情况说明</w:t>
      </w:r>
    </w:p>
    <w:p w14:paraId="3DD53724">
      <w:pPr>
        <w:spacing w:line="640" w:lineRule="exact"/>
        <w:ind w:firstLine="640"/>
        <w:jc w:val="both"/>
        <w:outlineLvl w:val="3"/>
      </w:pPr>
      <w:r>
        <w:rPr>
          <w:rFonts w:ascii="楷体_GB2312" w:hAnsi="楷体_GB2312" w:eastAsia="楷体_GB2312"/>
          <w:b/>
          <w:sz w:val="32"/>
        </w:rPr>
        <w:t>（一）机关运行经费及公用经费支出情况</w:t>
      </w:r>
    </w:p>
    <w:p w14:paraId="39602441">
      <w:pPr>
        <w:spacing w:line="580" w:lineRule="exact"/>
        <w:ind w:firstLine="640"/>
        <w:jc w:val="both"/>
      </w:pPr>
      <w:r>
        <w:rPr>
          <w:rFonts w:ascii="仿宋_GB2312" w:hAnsi="仿宋_GB2312" w:eastAsia="仿宋_GB2312"/>
          <w:b w:val="0"/>
          <w:sz w:val="32"/>
        </w:rPr>
        <w:t>2024年度疏勒县供销合作社联合社（事业单位）公用经费支出3.42万元，比上年增加1.33万元，增长63.64%，主要原因是：本年业务量增加，公用经费增加。</w:t>
      </w:r>
    </w:p>
    <w:p w14:paraId="074F91A0">
      <w:pPr>
        <w:spacing w:line="640" w:lineRule="exact"/>
        <w:ind w:firstLine="640"/>
        <w:jc w:val="both"/>
        <w:outlineLvl w:val="3"/>
      </w:pPr>
      <w:r>
        <w:rPr>
          <w:rFonts w:ascii="楷体_GB2312" w:hAnsi="楷体_GB2312" w:eastAsia="楷体_GB2312"/>
          <w:b/>
          <w:sz w:val="32"/>
        </w:rPr>
        <w:t>（二）政府采购情况</w:t>
      </w:r>
    </w:p>
    <w:p w14:paraId="5B9A1025">
      <w:pPr>
        <w:spacing w:line="580" w:lineRule="exact"/>
        <w:ind w:firstLine="640"/>
        <w:jc w:val="both"/>
      </w:pPr>
      <w:r>
        <w:rPr>
          <w:rFonts w:ascii="仿宋_GB2312" w:hAnsi="仿宋_GB2312" w:eastAsia="仿宋_GB2312"/>
          <w:b w:val="0"/>
          <w:sz w:val="32"/>
        </w:rPr>
        <w:t>2024年度政府采购支出总额71.05万元，其中：政府采购货物支出1.75万元、政府采购工程支出48.69万元、政府采购服务支出20.61万元。</w:t>
      </w:r>
    </w:p>
    <w:p w14:paraId="5E981D69">
      <w:pPr>
        <w:spacing w:line="580" w:lineRule="exact"/>
        <w:ind w:firstLine="640"/>
        <w:jc w:val="both"/>
      </w:pPr>
      <w:r>
        <w:rPr>
          <w:rFonts w:ascii="仿宋_GB2312" w:hAnsi="仿宋_GB2312" w:eastAsia="仿宋_GB2312"/>
          <w:b w:val="0"/>
          <w:sz w:val="32"/>
        </w:rPr>
        <w:t>授予中小企业合同金额70.29万元，占政府采购支出总额的98.93%，其中：授予小微企业合同金额70.29万元，占政府采购支出总额的98.93%。</w:t>
      </w:r>
    </w:p>
    <w:p w14:paraId="28065779">
      <w:pPr>
        <w:spacing w:line="640" w:lineRule="exact"/>
        <w:ind w:firstLine="640"/>
        <w:jc w:val="both"/>
        <w:outlineLvl w:val="3"/>
      </w:pPr>
      <w:r>
        <w:rPr>
          <w:rFonts w:ascii="楷体_GB2312" w:hAnsi="楷体_GB2312" w:eastAsia="楷体_GB2312"/>
          <w:b/>
          <w:sz w:val="32"/>
        </w:rPr>
        <w:t>（三）国有资产占用情况说明</w:t>
      </w:r>
    </w:p>
    <w:p w14:paraId="18161CBB">
      <w:pPr>
        <w:spacing w:line="580" w:lineRule="exact"/>
        <w:ind w:firstLine="640"/>
        <w:jc w:val="both"/>
      </w:pPr>
      <w:r>
        <w:rPr>
          <w:rFonts w:ascii="仿宋_GB2312" w:hAnsi="仿宋_GB2312" w:eastAsia="仿宋_GB2312"/>
          <w:b w:val="0"/>
          <w:sz w:val="32"/>
        </w:rPr>
        <w:t>截至2024年12月31日，房屋849.00平方米，价值24.82万元。车辆1辆，价值14.89万元，其中：副部（省）级及以上领导用车0辆、主要负责人用车0辆、机要通信用车0辆、应急保障用车0辆、执法执勤用车0辆、特种专业技术用车0辆、离退休干部服务用车0辆、其他用车1辆，其他用车主要是：本单位公务用车。单价100万元（含）以上设备（不含车辆）0台（套）。</w:t>
      </w:r>
    </w:p>
    <w:p w14:paraId="03D18D91">
      <w:pPr>
        <w:spacing w:line="640" w:lineRule="exact"/>
        <w:ind w:firstLine="640"/>
        <w:jc w:val="both"/>
        <w:outlineLvl w:val="2"/>
      </w:pPr>
      <w:r>
        <w:rPr>
          <w:rFonts w:ascii="黑体" w:hAnsi="黑体" w:eastAsia="黑体"/>
          <w:sz w:val="32"/>
        </w:rPr>
        <w:t>十一、预算绩效的情况说明</w:t>
      </w:r>
    </w:p>
    <w:p w14:paraId="6EA64A14">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267.18万元，实际执行总额267.18万元；预算绩效评价项目2个，全年预算数72.99万元，全年执行数72.99万元。预算绩效管理取得的成效：</w:t>
      </w:r>
      <w:r>
        <w:rPr>
          <w:rFonts w:hint="eastAsia" w:ascii="仿宋_GB2312" w:hAnsi="仿宋_GB2312" w:eastAsia="仿宋_GB2312"/>
          <w:b w:val="0"/>
          <w:sz w:val="32"/>
          <w:lang w:eastAsia="zh-CN"/>
        </w:rPr>
        <w:t>截至</w:t>
      </w:r>
      <w:r>
        <w:rPr>
          <w:rFonts w:ascii="仿宋_GB2312" w:hAnsi="仿宋_GB2312" w:eastAsia="仿宋_GB2312"/>
          <w:b w:val="0"/>
          <w:sz w:val="32"/>
        </w:rPr>
        <w:t>2024年12月31日，项目实际投资总额为6.9万元，主要用于发放疏勒县农业生产资料公司家属院拆迁户临时安置费，以每月每户600元的标准，共计发放拆迁户23户6.9万元。项目实施后，不断提升拆迁户的生活水平，拆迁户满意度达100%。发现的问题及原因：一是对各项指标和指标值要进一步优化、完善，主要在细化、量化上改进，二是自评价工作还存在自我审定的局限性，会影响评价质量，容易造成问题的疏漏，在客观性和公正性上说服力不强，三是缺少带着问题去评价的意识。下一步改进措施：1.项目实施的程序进一步规范。细化实施方案，确保预算的合理性和可行性。严格执行资金管理办法和财政资金管理制度，严格按照项目实施方案等稳步推进工作。2.项目评价资料有待进一步完善。项目启动时安排专人登记造册并同步做好档案的归纳与整理，及时整理、收集、汇总，健全档案资料。项目后续管理有待进一步加强和跟踪。3.通过绩效管理，发现实施中存在漏洞，以后加强管理，及时掌握与之相关的各类信息，减少成本，使资金效益最大化。4．评价工作应从项目实施方案源头抓起，评价工作和意识应贯穿项目整个过程。具体附整体支出绩效自评表，项目支出绩效自评表和评价报告。</w:t>
      </w:r>
    </w:p>
    <w:p w14:paraId="72FA8940">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1F22085">
        <w:tblPrEx>
          <w:tblCellMar>
            <w:top w:w="0" w:type="dxa"/>
            <w:left w:w="108" w:type="dxa"/>
            <w:bottom w:w="0" w:type="dxa"/>
            <w:right w:w="108" w:type="dxa"/>
          </w:tblCellMar>
        </w:tblPrEx>
        <w:tc>
          <w:tcPr>
            <w:tcW w:w="8847" w:type="dxa"/>
            <w:gridSpan w:val="9"/>
            <w:vAlign w:val="center"/>
          </w:tcPr>
          <w:p w14:paraId="257EF6C6">
            <w:pPr>
              <w:jc w:val="center"/>
            </w:pPr>
            <w:r>
              <w:rPr>
                <w:rFonts w:ascii="宋体" w:hAnsi="宋体" w:eastAsia="宋体"/>
                <w:sz w:val="24"/>
              </w:rPr>
              <w:t>单位整体支出绩效自评表</w:t>
            </w:r>
          </w:p>
        </w:tc>
      </w:tr>
      <w:tr w14:paraId="19378B73">
        <w:tblPrEx>
          <w:tblCellMar>
            <w:top w:w="0" w:type="dxa"/>
            <w:left w:w="108" w:type="dxa"/>
            <w:bottom w:w="0" w:type="dxa"/>
            <w:right w:w="108" w:type="dxa"/>
          </w:tblCellMar>
        </w:tblPrEx>
        <w:tc>
          <w:tcPr>
            <w:tcW w:w="8847" w:type="dxa"/>
            <w:gridSpan w:val="9"/>
            <w:vAlign w:val="center"/>
          </w:tcPr>
          <w:p w14:paraId="610CC95B">
            <w:pPr>
              <w:jc w:val="center"/>
            </w:pPr>
            <w:r>
              <w:rPr>
                <w:rFonts w:ascii="宋体" w:hAnsi="宋体" w:eastAsia="宋体"/>
                <w:sz w:val="24"/>
              </w:rPr>
              <w:t>（2024年度）</w:t>
            </w:r>
          </w:p>
        </w:tc>
      </w:tr>
      <w:tr w14:paraId="66E8E97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FF2073">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A8D516B">
            <w:pPr>
              <w:jc w:val="center"/>
            </w:pPr>
            <w:r>
              <w:rPr>
                <w:rFonts w:ascii="宋体" w:hAnsi="宋体" w:eastAsia="宋体"/>
                <w:sz w:val="16"/>
              </w:rPr>
              <w:t>疏勒县供销合作社联合社</w:t>
            </w:r>
          </w:p>
        </w:tc>
      </w:tr>
      <w:tr w14:paraId="3A5FA08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AD9BAC">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7A163A">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3651F1">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E5AD87">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F9FCE1">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08ADA1">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E2C8F6">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BB2171">
            <w:pPr>
              <w:jc w:val="center"/>
            </w:pPr>
            <w:r>
              <w:rPr>
                <w:rFonts w:ascii="宋体" w:hAnsi="宋体" w:eastAsia="宋体"/>
                <w:sz w:val="16"/>
              </w:rPr>
              <w:t>得分</w:t>
            </w:r>
          </w:p>
        </w:tc>
      </w:tr>
      <w:tr w14:paraId="793D0BA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727CD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94F57C">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C374C7">
            <w:pPr>
              <w:jc w:val="center"/>
            </w:pPr>
            <w:r>
              <w:rPr>
                <w:rFonts w:ascii="宋体" w:hAnsi="宋体" w:eastAsia="宋体"/>
                <w:sz w:val="16"/>
              </w:rPr>
              <w:t>189.70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E8A3DB">
            <w:pPr>
              <w:jc w:val="center"/>
            </w:pPr>
            <w:r>
              <w:rPr>
                <w:rFonts w:ascii="宋体" w:hAnsi="宋体" w:eastAsia="宋体"/>
                <w:sz w:val="16"/>
              </w:rPr>
              <w:t>267.18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A31C24">
            <w:pPr>
              <w:jc w:val="center"/>
            </w:pPr>
            <w:r>
              <w:rPr>
                <w:rFonts w:ascii="宋体" w:hAnsi="宋体" w:eastAsia="宋体"/>
                <w:sz w:val="16"/>
              </w:rPr>
              <w:t>267.18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4B849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95EF7A">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AE223E">
            <w:pPr>
              <w:jc w:val="center"/>
            </w:pPr>
            <w:r>
              <w:rPr>
                <w:rFonts w:ascii="宋体" w:hAnsi="宋体" w:eastAsia="宋体"/>
                <w:sz w:val="16"/>
              </w:rPr>
              <w:t>10</w:t>
            </w:r>
          </w:p>
        </w:tc>
      </w:tr>
      <w:tr w14:paraId="19B0032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C9F56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242C9E">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33B87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F64D19">
            <w:pPr>
              <w:jc w:val="center"/>
            </w:pPr>
            <w:r>
              <w:rPr>
                <w:rFonts w:ascii="宋体" w:hAnsi="宋体" w:eastAsia="宋体"/>
                <w:sz w:val="16"/>
              </w:rPr>
              <w:t>5.37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C17D8C">
            <w:pPr>
              <w:jc w:val="center"/>
            </w:pPr>
            <w:r>
              <w:rPr>
                <w:rFonts w:ascii="宋体" w:hAnsi="宋体" w:eastAsia="宋体"/>
                <w:sz w:val="16"/>
              </w:rPr>
              <w:t>5.37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62676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3C9D6D">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0BD75B">
            <w:pPr>
              <w:jc w:val="center"/>
            </w:pPr>
            <w:r>
              <w:rPr>
                <w:rFonts w:ascii="宋体" w:hAnsi="宋体" w:eastAsia="宋体"/>
                <w:sz w:val="16"/>
              </w:rPr>
              <w:t>—</w:t>
            </w:r>
          </w:p>
        </w:tc>
      </w:tr>
      <w:tr w14:paraId="6FEC9E4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72B57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125C8E">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83F492">
            <w:pPr>
              <w:jc w:val="center"/>
            </w:pPr>
            <w:r>
              <w:rPr>
                <w:rFonts w:ascii="宋体" w:hAnsi="宋体" w:eastAsia="宋体"/>
                <w:sz w:val="16"/>
              </w:rPr>
              <w:t>189.70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CA85A7">
            <w:pPr>
              <w:jc w:val="center"/>
            </w:pPr>
            <w:r>
              <w:rPr>
                <w:rFonts w:ascii="宋体" w:hAnsi="宋体" w:eastAsia="宋体"/>
                <w:sz w:val="16"/>
              </w:rPr>
              <w:t>195.71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C7BDE2">
            <w:pPr>
              <w:jc w:val="center"/>
            </w:pPr>
            <w:r>
              <w:rPr>
                <w:rFonts w:ascii="宋体" w:hAnsi="宋体" w:eastAsia="宋体"/>
                <w:sz w:val="16"/>
              </w:rPr>
              <w:t>195.71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11375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A97432">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C37D26">
            <w:pPr>
              <w:jc w:val="center"/>
            </w:pPr>
            <w:r>
              <w:rPr>
                <w:rFonts w:ascii="宋体" w:hAnsi="宋体" w:eastAsia="宋体"/>
                <w:sz w:val="16"/>
              </w:rPr>
              <w:t>—</w:t>
            </w:r>
          </w:p>
        </w:tc>
      </w:tr>
      <w:tr w14:paraId="760F8B1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0EA04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CA4A66">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415FB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5F47C6">
            <w:pPr>
              <w:jc w:val="center"/>
            </w:pPr>
            <w:r>
              <w:rPr>
                <w:rFonts w:ascii="宋体" w:hAnsi="宋体" w:eastAsia="宋体"/>
                <w:sz w:val="16"/>
              </w:rPr>
              <w:t>66.10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56FF3F">
            <w:pPr>
              <w:jc w:val="center"/>
            </w:pPr>
            <w:r>
              <w:rPr>
                <w:rFonts w:ascii="宋体" w:hAnsi="宋体" w:eastAsia="宋体"/>
                <w:sz w:val="16"/>
              </w:rPr>
              <w:t>66.10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F9316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DF7CDB">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C5015A">
            <w:pPr>
              <w:jc w:val="center"/>
            </w:pPr>
            <w:r>
              <w:rPr>
                <w:rFonts w:ascii="宋体" w:hAnsi="宋体" w:eastAsia="宋体"/>
                <w:sz w:val="16"/>
              </w:rPr>
              <w:t>—</w:t>
            </w:r>
          </w:p>
        </w:tc>
      </w:tr>
      <w:tr w14:paraId="4713305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571DED">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9B85D21">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FCFA5B6">
            <w:pPr>
              <w:jc w:val="center"/>
            </w:pPr>
            <w:r>
              <w:rPr>
                <w:rFonts w:ascii="宋体" w:hAnsi="宋体" w:eastAsia="宋体"/>
                <w:sz w:val="16"/>
              </w:rPr>
              <w:t>实际完成情况</w:t>
            </w:r>
          </w:p>
        </w:tc>
      </w:tr>
      <w:tr w14:paraId="74A4931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F6C764"/>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5A61F3A">
            <w:pPr>
              <w:jc w:val="both"/>
            </w:pPr>
            <w:r>
              <w:rPr>
                <w:rFonts w:ascii="宋体" w:hAnsi="宋体" w:eastAsia="宋体"/>
                <w:sz w:val="16"/>
              </w:rPr>
              <w:t>疏勒县供销社坚持以习近平新时代中国特色社会主义思想为指导，深入贯彻党的二十大精神，坚持从“三农”工作大局出发，始终牢记为农服务的根本宗旨，结合工作实际，深入推进综合改革和农业社会化服务等各项工作。</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68437E1">
            <w:pPr>
              <w:jc w:val="both"/>
            </w:pPr>
            <w:r>
              <w:rPr>
                <w:rFonts w:ascii="宋体" w:hAnsi="宋体" w:eastAsia="宋体"/>
                <w:sz w:val="16"/>
              </w:rPr>
              <w:t>本年整体支出保证了正常运行和日常工作的正常开展，项目支出保障了重点工作的开展，达到预期绩效目标。</w:t>
            </w:r>
            <w:r>
              <w:rPr>
                <w:rFonts w:hint="eastAsia" w:ascii="宋体" w:hAnsi="宋体"/>
                <w:sz w:val="16"/>
                <w:lang w:eastAsia="zh-CN"/>
              </w:rPr>
              <w:t>本单位</w:t>
            </w:r>
            <w:r>
              <w:rPr>
                <w:rFonts w:ascii="宋体" w:hAnsi="宋体" w:eastAsia="宋体"/>
                <w:sz w:val="16"/>
              </w:rPr>
              <w:t>坚持以习近平新时代中国特色社会主义思想为指导，全面贯彻落实党的二十大和二十届三中全会精神，认真落实</w:t>
            </w:r>
            <w:r>
              <w:rPr>
                <w:rFonts w:hint="eastAsia" w:ascii="宋体" w:hAnsi="宋体"/>
                <w:sz w:val="16"/>
                <w:lang w:eastAsia="zh-CN"/>
              </w:rPr>
              <w:t>县委、县政府</w:t>
            </w:r>
            <w:r>
              <w:rPr>
                <w:rFonts w:ascii="宋体" w:hAnsi="宋体" w:eastAsia="宋体"/>
                <w:sz w:val="16"/>
              </w:rPr>
              <w:t>工作部署，坚持供销社服务“三农”工作不动摇，始终牢记为农服务的根本宗旨，本年</w:t>
            </w:r>
            <w:r>
              <w:rPr>
                <w:rFonts w:hint="eastAsia" w:ascii="宋体" w:hAnsi="宋体"/>
                <w:sz w:val="16"/>
                <w:lang w:eastAsia="zh-CN"/>
              </w:rPr>
              <w:t>本单位</w:t>
            </w:r>
            <w:r>
              <w:rPr>
                <w:rFonts w:ascii="宋体" w:hAnsi="宋体" w:eastAsia="宋体"/>
                <w:sz w:val="16"/>
              </w:rPr>
              <w:t>增加农资销售社有骨干企业1家，对3家社有企业财务状况进行全面审计，打造以及扩大规模本土企业2家，对本单位资产日光温室进行出租产生效益，协助轧花厂收购各乡镇棉籽并进行加工，从而帮助村民增收，提高经济水平，进而推动综合改革和农业社会化服务等各项工作。</w:t>
            </w:r>
          </w:p>
        </w:tc>
      </w:tr>
      <w:tr w14:paraId="075096B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7A104E">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3F1803">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B93B26">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17574B">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A1DBB7">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41A45D">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AF00C2">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C64982">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BA5A0E">
            <w:pPr>
              <w:jc w:val="center"/>
            </w:pPr>
            <w:r>
              <w:rPr>
                <w:rFonts w:ascii="宋体" w:hAnsi="宋体" w:eastAsia="宋体"/>
                <w:sz w:val="16"/>
              </w:rPr>
              <w:t>得分</w:t>
            </w:r>
          </w:p>
        </w:tc>
      </w:tr>
      <w:tr w14:paraId="08DEAE4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0D964F">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D2BDF6">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4CFC72">
            <w:pPr>
              <w:jc w:val="center"/>
            </w:pPr>
            <w:r>
              <w:rPr>
                <w:rFonts w:ascii="宋体" w:hAnsi="宋体" w:eastAsia="宋体"/>
                <w:sz w:val="16"/>
              </w:rPr>
              <w:t>增加农资销售社有骨干企业</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EBDDDB">
            <w:pPr>
              <w:jc w:val="center"/>
            </w:pPr>
            <w:r>
              <w:rPr>
                <w:rFonts w:ascii="宋体" w:hAnsi="宋体" w:eastAsia="宋体"/>
                <w:sz w:val="16"/>
              </w:rPr>
              <w:t>=1家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1043CF">
            <w:pPr>
              <w:jc w:val="center"/>
            </w:pPr>
            <w:r>
              <w:rPr>
                <w:rFonts w:ascii="宋体" w:hAnsi="宋体" w:eastAsia="宋体"/>
                <w:sz w:val="16"/>
              </w:rPr>
              <w:t>2024年工作计划及2023年工作总结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5081B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294026">
            <w:pPr>
              <w:jc w:val="center"/>
            </w:pPr>
            <w:r>
              <w:rPr>
                <w:rFonts w:ascii="宋体" w:hAnsi="宋体" w:eastAsia="宋体"/>
                <w:sz w:val="16"/>
              </w:rPr>
              <w:t>1家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EB66B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C393E4">
            <w:pPr>
              <w:jc w:val="center"/>
            </w:pPr>
            <w:r>
              <w:rPr>
                <w:rFonts w:ascii="宋体" w:hAnsi="宋体" w:eastAsia="宋体"/>
                <w:sz w:val="16"/>
              </w:rPr>
              <w:t>10</w:t>
            </w:r>
          </w:p>
        </w:tc>
      </w:tr>
      <w:tr w14:paraId="13E8FF2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2D5EA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B5319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B29023">
            <w:pPr>
              <w:jc w:val="center"/>
            </w:pPr>
            <w:r>
              <w:rPr>
                <w:rFonts w:ascii="宋体" w:hAnsi="宋体" w:eastAsia="宋体"/>
                <w:sz w:val="16"/>
              </w:rPr>
              <w:t>对原有社有企业财务状况进行全面审计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5343EB">
            <w:pPr>
              <w:jc w:val="center"/>
            </w:pPr>
            <w:r>
              <w:rPr>
                <w:rFonts w:ascii="宋体" w:hAnsi="宋体" w:eastAsia="宋体"/>
                <w:sz w:val="16"/>
              </w:rPr>
              <w:t>=3家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987E0E">
            <w:pPr>
              <w:jc w:val="center"/>
            </w:pPr>
            <w:r>
              <w:rPr>
                <w:rFonts w:ascii="宋体" w:hAnsi="宋体" w:eastAsia="宋体"/>
                <w:sz w:val="16"/>
              </w:rPr>
              <w:t>2024年工作计划及2023年工作总结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B1C2D5">
            <w:pPr>
              <w:jc w:val="center"/>
            </w:pPr>
            <w:r>
              <w:rPr>
                <w:rFonts w:ascii="宋体" w:hAnsi="宋体" w:eastAsia="宋体"/>
                <w:sz w:val="16"/>
              </w:rPr>
              <w:t>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75D98F">
            <w:pPr>
              <w:jc w:val="center"/>
            </w:pPr>
            <w:r>
              <w:rPr>
                <w:rFonts w:ascii="宋体" w:hAnsi="宋体" w:eastAsia="宋体"/>
                <w:sz w:val="16"/>
              </w:rPr>
              <w:t>3家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8ECC0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FCE1E6">
            <w:pPr>
              <w:jc w:val="center"/>
            </w:pPr>
            <w:r>
              <w:rPr>
                <w:rFonts w:ascii="宋体" w:hAnsi="宋体" w:eastAsia="宋体"/>
                <w:sz w:val="16"/>
              </w:rPr>
              <w:t>25</w:t>
            </w:r>
          </w:p>
        </w:tc>
      </w:tr>
      <w:tr w14:paraId="1B8DEA9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929C0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CCC80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213549">
            <w:pPr>
              <w:jc w:val="center"/>
            </w:pPr>
            <w:r>
              <w:rPr>
                <w:rFonts w:ascii="宋体" w:hAnsi="宋体" w:eastAsia="宋体"/>
                <w:sz w:val="16"/>
              </w:rPr>
              <w:t>打造及扩大规模本土企业数量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4B50D7">
            <w:pPr>
              <w:jc w:val="center"/>
            </w:pPr>
            <w:r>
              <w:rPr>
                <w:rFonts w:ascii="宋体" w:hAnsi="宋体" w:eastAsia="宋体"/>
                <w:sz w:val="16"/>
              </w:rPr>
              <w:t>=2家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EF0B9A">
            <w:pPr>
              <w:jc w:val="center"/>
            </w:pPr>
            <w:r>
              <w:rPr>
                <w:rFonts w:ascii="宋体" w:hAnsi="宋体" w:eastAsia="宋体"/>
                <w:sz w:val="16"/>
              </w:rPr>
              <w:t>2024年工作计划及2023年工作总结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AF025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990C4C">
            <w:pPr>
              <w:jc w:val="center"/>
            </w:pPr>
            <w:r>
              <w:rPr>
                <w:rFonts w:ascii="宋体" w:hAnsi="宋体" w:eastAsia="宋体"/>
                <w:sz w:val="16"/>
              </w:rPr>
              <w:t>2家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B3F80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E34E57">
            <w:pPr>
              <w:jc w:val="center"/>
            </w:pPr>
            <w:r>
              <w:rPr>
                <w:rFonts w:ascii="宋体" w:hAnsi="宋体" w:eastAsia="宋体"/>
                <w:sz w:val="16"/>
              </w:rPr>
              <w:t>10</w:t>
            </w:r>
          </w:p>
        </w:tc>
      </w:tr>
      <w:tr w14:paraId="79B09E7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5F14A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2E103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003745">
            <w:pPr>
              <w:jc w:val="center"/>
            </w:pPr>
            <w:r>
              <w:rPr>
                <w:rFonts w:ascii="宋体" w:hAnsi="宋体" w:eastAsia="宋体"/>
                <w:sz w:val="16"/>
              </w:rPr>
              <w:t>确保日光温室租赁费用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357BC0">
            <w:pPr>
              <w:jc w:val="center"/>
            </w:pPr>
            <w:r>
              <w:rPr>
                <w:rFonts w:ascii="宋体" w:hAnsi="宋体" w:eastAsia="宋体"/>
                <w:sz w:val="16"/>
              </w:rPr>
              <w:t>&gt;=1.30万元/个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C104C4">
            <w:pPr>
              <w:jc w:val="center"/>
            </w:pPr>
            <w:r>
              <w:rPr>
                <w:rFonts w:ascii="宋体" w:hAnsi="宋体" w:eastAsia="宋体"/>
                <w:sz w:val="16"/>
              </w:rPr>
              <w:t>2024年工作计划及2023年工作总结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2F0297">
            <w:pPr>
              <w:jc w:val="center"/>
            </w:pPr>
            <w:r>
              <w:rPr>
                <w:rFonts w:ascii="宋体" w:hAnsi="宋体" w:eastAsia="宋体"/>
                <w:sz w:val="16"/>
              </w:rPr>
              <w:t>35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797675">
            <w:pPr>
              <w:jc w:val="center"/>
            </w:pPr>
            <w:r>
              <w:rPr>
                <w:rFonts w:ascii="宋体" w:hAnsi="宋体" w:eastAsia="宋体"/>
                <w:sz w:val="16"/>
              </w:rPr>
              <w:t>1.30万元/个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8D52B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9E57ED">
            <w:pPr>
              <w:jc w:val="center"/>
            </w:pPr>
            <w:r>
              <w:rPr>
                <w:rFonts w:ascii="宋体" w:hAnsi="宋体" w:eastAsia="宋体"/>
                <w:sz w:val="16"/>
              </w:rPr>
              <w:t>35</w:t>
            </w:r>
          </w:p>
        </w:tc>
      </w:tr>
      <w:tr w14:paraId="5FB285E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998E0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6864F5">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CEB86E">
            <w:pPr>
              <w:jc w:val="center"/>
            </w:pPr>
            <w:r>
              <w:rPr>
                <w:rFonts w:ascii="宋体" w:hAnsi="宋体" w:eastAsia="宋体"/>
                <w:sz w:val="16"/>
              </w:rPr>
              <w:t>轧花厂经济作物收购、加工产量、市场行情及时率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2BA1D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1A1468">
            <w:pPr>
              <w:jc w:val="center"/>
            </w:pPr>
            <w:r>
              <w:rPr>
                <w:rFonts w:ascii="宋体" w:hAnsi="宋体" w:eastAsia="宋体"/>
                <w:sz w:val="16"/>
              </w:rPr>
              <w:t>2024年工作计划及2023年工作总结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6A24A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DE1C3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CECC5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2D6C64">
            <w:pPr>
              <w:jc w:val="center"/>
            </w:pPr>
            <w:r>
              <w:rPr>
                <w:rFonts w:ascii="宋体" w:hAnsi="宋体" w:eastAsia="宋体"/>
                <w:sz w:val="16"/>
              </w:rPr>
              <w:t>10</w:t>
            </w:r>
          </w:p>
        </w:tc>
      </w:tr>
    </w:tbl>
    <w:p w14:paraId="13796B95">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4"/>
        <w:gridCol w:w="627"/>
        <w:gridCol w:w="776"/>
        <w:gridCol w:w="624"/>
        <w:gridCol w:w="624"/>
        <w:gridCol w:w="627"/>
        <w:gridCol w:w="624"/>
        <w:gridCol w:w="627"/>
        <w:gridCol w:w="776"/>
        <w:gridCol w:w="632"/>
        <w:gridCol w:w="615"/>
        <w:gridCol w:w="632"/>
      </w:tblGrid>
      <w:tr w14:paraId="29266621">
        <w:tblPrEx>
          <w:tblCellMar>
            <w:top w:w="0" w:type="dxa"/>
            <w:left w:w="108" w:type="dxa"/>
            <w:bottom w:w="0" w:type="dxa"/>
            <w:right w:w="108" w:type="dxa"/>
          </w:tblCellMar>
        </w:tblPrEx>
        <w:tc>
          <w:tcPr>
            <w:tcW w:w="8848" w:type="dxa"/>
            <w:gridSpan w:val="14"/>
            <w:vAlign w:val="center"/>
          </w:tcPr>
          <w:p w14:paraId="3A11C459">
            <w:pPr>
              <w:jc w:val="center"/>
            </w:pPr>
            <w:r>
              <w:rPr>
                <w:rFonts w:ascii="宋体" w:hAnsi="宋体" w:eastAsia="宋体"/>
                <w:sz w:val="24"/>
              </w:rPr>
              <w:t>项目支出绩效自评表</w:t>
            </w:r>
          </w:p>
        </w:tc>
      </w:tr>
      <w:tr w14:paraId="354313EF">
        <w:tblPrEx>
          <w:tblCellMar>
            <w:top w:w="0" w:type="dxa"/>
            <w:left w:w="108" w:type="dxa"/>
            <w:bottom w:w="0" w:type="dxa"/>
            <w:right w:w="108" w:type="dxa"/>
          </w:tblCellMar>
        </w:tblPrEx>
        <w:tc>
          <w:tcPr>
            <w:tcW w:w="8848" w:type="dxa"/>
            <w:gridSpan w:val="14"/>
            <w:vAlign w:val="center"/>
          </w:tcPr>
          <w:p w14:paraId="3BB54066">
            <w:pPr>
              <w:jc w:val="center"/>
            </w:pPr>
            <w:r>
              <w:rPr>
                <w:rFonts w:ascii="宋体" w:hAnsi="宋体" w:eastAsia="宋体"/>
                <w:sz w:val="24"/>
              </w:rPr>
              <w:t>(2024年度)</w:t>
            </w:r>
          </w:p>
        </w:tc>
      </w:tr>
      <w:tr w14:paraId="7EDEA07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3860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7FD859D">
            <w:pPr>
              <w:jc w:val="center"/>
            </w:pPr>
            <w:r>
              <w:rPr>
                <w:rFonts w:ascii="宋体" w:hAnsi="宋体" w:eastAsia="宋体"/>
                <w:sz w:val="16"/>
              </w:rPr>
              <w:t>疏勒县东勒悦农生鲜超市项目</w:t>
            </w:r>
          </w:p>
        </w:tc>
      </w:tr>
      <w:tr w14:paraId="24096C5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B927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8914A3">
            <w:pPr>
              <w:jc w:val="center"/>
            </w:pPr>
            <w:r>
              <w:rPr>
                <w:rFonts w:ascii="宋体" w:hAnsi="宋体" w:eastAsia="宋体"/>
                <w:sz w:val="16"/>
              </w:rPr>
              <w:t>疏勒县供销合作社联合社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98FF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AD01A3D">
            <w:pPr>
              <w:jc w:val="center"/>
            </w:pPr>
            <w:r>
              <w:rPr>
                <w:rFonts w:ascii="宋体" w:hAnsi="宋体" w:eastAsia="宋体"/>
                <w:sz w:val="16"/>
              </w:rPr>
              <w:t>疏勒县供销合作社联合社</w:t>
            </w:r>
          </w:p>
        </w:tc>
      </w:tr>
      <w:tr w14:paraId="3BD4033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C5A23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23496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CF793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D47C1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556F7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5F1BB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A0DA0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C4666">
            <w:pPr>
              <w:jc w:val="center"/>
            </w:pPr>
            <w:r>
              <w:rPr>
                <w:rFonts w:ascii="宋体" w:hAnsi="宋体" w:eastAsia="宋体"/>
                <w:sz w:val="16"/>
              </w:rPr>
              <w:t>得分</w:t>
            </w:r>
          </w:p>
        </w:tc>
      </w:tr>
      <w:tr w14:paraId="53082F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E42D7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BF130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940BAC">
            <w:pPr>
              <w:jc w:val="center"/>
            </w:pPr>
            <w:r>
              <w:rPr>
                <w:rFonts w:ascii="宋体" w:hAnsi="宋体" w:eastAsia="宋体"/>
                <w:sz w:val="16"/>
              </w:rPr>
              <w:t>66.09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573C86">
            <w:pPr>
              <w:jc w:val="center"/>
            </w:pPr>
            <w:r>
              <w:rPr>
                <w:rFonts w:ascii="宋体" w:hAnsi="宋体" w:eastAsia="宋体"/>
                <w:sz w:val="16"/>
              </w:rPr>
              <w:t>66.09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AFBF4F">
            <w:pPr>
              <w:jc w:val="center"/>
            </w:pPr>
            <w:r>
              <w:rPr>
                <w:rFonts w:ascii="宋体" w:hAnsi="宋体" w:eastAsia="宋体"/>
                <w:sz w:val="16"/>
              </w:rPr>
              <w:t>66.09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2D843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0210B4">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4C989">
            <w:pPr>
              <w:jc w:val="center"/>
            </w:pPr>
            <w:r>
              <w:rPr>
                <w:rFonts w:ascii="宋体" w:hAnsi="宋体" w:eastAsia="宋体"/>
                <w:sz w:val="16"/>
              </w:rPr>
              <w:t>10.00分</w:t>
            </w:r>
          </w:p>
        </w:tc>
      </w:tr>
      <w:tr w14:paraId="37C646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5E25E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840E2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86CA6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7C21C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A4162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8F17B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90E7B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F11FB">
            <w:pPr>
              <w:jc w:val="center"/>
            </w:pPr>
            <w:r>
              <w:rPr>
                <w:rFonts w:ascii="宋体" w:hAnsi="宋体" w:eastAsia="宋体"/>
                <w:sz w:val="16"/>
              </w:rPr>
              <w:t>—</w:t>
            </w:r>
          </w:p>
        </w:tc>
      </w:tr>
      <w:tr w14:paraId="3078ED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D4163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EA5EF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CDBF84">
            <w:pPr>
              <w:jc w:val="center"/>
            </w:pPr>
            <w:r>
              <w:rPr>
                <w:rFonts w:ascii="宋体" w:hAnsi="宋体" w:eastAsia="宋体"/>
                <w:sz w:val="16"/>
              </w:rPr>
              <w:t>66.09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D54AC8">
            <w:pPr>
              <w:jc w:val="center"/>
            </w:pPr>
            <w:r>
              <w:rPr>
                <w:rFonts w:ascii="宋体" w:hAnsi="宋体" w:eastAsia="宋体"/>
                <w:sz w:val="16"/>
              </w:rPr>
              <w:t>66.09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BD3C44">
            <w:pPr>
              <w:jc w:val="center"/>
            </w:pPr>
            <w:r>
              <w:rPr>
                <w:rFonts w:ascii="宋体" w:hAnsi="宋体" w:eastAsia="宋体"/>
                <w:sz w:val="16"/>
              </w:rPr>
              <w:t>66.09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8ED26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34733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E6AD4">
            <w:pPr>
              <w:jc w:val="center"/>
            </w:pPr>
            <w:r>
              <w:rPr>
                <w:rFonts w:ascii="宋体" w:hAnsi="宋体" w:eastAsia="宋体"/>
                <w:sz w:val="16"/>
              </w:rPr>
              <w:t>—</w:t>
            </w:r>
          </w:p>
        </w:tc>
      </w:tr>
      <w:tr w14:paraId="32AC029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A8413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9C739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CEDA818">
            <w:pPr>
              <w:jc w:val="center"/>
            </w:pPr>
            <w:r>
              <w:rPr>
                <w:rFonts w:ascii="宋体" w:hAnsi="宋体" w:eastAsia="宋体"/>
                <w:sz w:val="16"/>
              </w:rPr>
              <w:t>实际完成情况</w:t>
            </w:r>
          </w:p>
        </w:tc>
      </w:tr>
      <w:tr w14:paraId="75FE41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D6D57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A8EA4C">
            <w:pPr>
              <w:jc w:val="both"/>
            </w:pPr>
            <w:r>
              <w:rPr>
                <w:rFonts w:ascii="宋体" w:hAnsi="宋体" w:eastAsia="宋体"/>
                <w:sz w:val="16"/>
              </w:rPr>
              <w:t>项目计划投资总额为66.09万元，主要用于疏勒县友谊路商业街（博望康城小区南北区中间道路）3栋114号、115号商铺装修改造提升，其中114号面积141.62平方米，115号面积234.2平方米，预计项目实施后，有效提升居民生活采购便利化水平，受益群众满意度达95%及以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92E2DB5">
            <w:pPr>
              <w:jc w:val="both"/>
            </w:pPr>
            <w:r>
              <w:rPr>
                <w:rFonts w:hint="eastAsia" w:ascii="宋体" w:hAnsi="宋体"/>
                <w:sz w:val="16"/>
                <w:lang w:eastAsia="zh-CN"/>
              </w:rPr>
              <w:t>截至</w:t>
            </w:r>
            <w:r>
              <w:rPr>
                <w:rFonts w:ascii="宋体" w:hAnsi="宋体" w:eastAsia="宋体"/>
                <w:sz w:val="16"/>
              </w:rPr>
              <w:t>2024年12月31日，项目计实际投资总额为66.09万元，主要用于疏勒县友谊路商业街（博望康城小区南北区中间道路）3栋114号、115号商铺装修改造提升，其中114号面积141.62平方米，115号面积234.2平方米，项目实施后，有效提升居民生活采购便利化水平，受益群众满意度达95%。</w:t>
            </w:r>
          </w:p>
        </w:tc>
      </w:tr>
      <w:tr w14:paraId="52C596B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E7462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AA06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F33A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A4D7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661A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B7A1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D0A9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7E7C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9B51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FA5A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0E86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248C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FCFDBA">
            <w:pPr>
              <w:jc w:val="center"/>
            </w:pPr>
            <w:r>
              <w:rPr>
                <w:rFonts w:ascii="宋体" w:hAnsi="宋体" w:eastAsia="宋体"/>
                <w:sz w:val="16"/>
              </w:rPr>
              <w:t>偏差原因分析及改进措施</w:t>
            </w:r>
          </w:p>
        </w:tc>
      </w:tr>
      <w:tr w14:paraId="15C0C6E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F4DE5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655E9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CC78F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8BA9D">
            <w:pPr>
              <w:jc w:val="center"/>
            </w:pPr>
            <w:r>
              <w:rPr>
                <w:rFonts w:ascii="宋体" w:hAnsi="宋体" w:eastAsia="宋体"/>
                <w:sz w:val="16"/>
              </w:rPr>
              <w:t>114号商铺装修改造提升面积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F6983">
            <w:pPr>
              <w:jc w:val="center"/>
            </w:pPr>
            <w:r>
              <w:rPr>
                <w:rFonts w:ascii="宋体" w:hAnsi="宋体" w:eastAsia="宋体"/>
                <w:sz w:val="16"/>
              </w:rPr>
              <w:t>=141.62平方米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E0B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BC9A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A61A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DE4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73AD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9F3D6">
            <w:pPr>
              <w:jc w:val="center"/>
            </w:pPr>
            <w:r>
              <w:rPr>
                <w:rFonts w:ascii="宋体" w:hAnsi="宋体" w:eastAsia="宋体"/>
                <w:sz w:val="16"/>
              </w:rPr>
              <w:t>=141.62平方米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4472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F1F6B3">
            <w:pPr>
              <w:jc w:val="center"/>
            </w:pPr>
          </w:p>
        </w:tc>
      </w:tr>
      <w:tr w14:paraId="2A3ABB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9D21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7D05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125D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65D58">
            <w:pPr>
              <w:jc w:val="center"/>
            </w:pPr>
            <w:r>
              <w:rPr>
                <w:rFonts w:ascii="宋体" w:hAnsi="宋体" w:eastAsia="宋体"/>
                <w:sz w:val="16"/>
              </w:rPr>
              <w:t>115号商铺装修提升改造面积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67DEC">
            <w:pPr>
              <w:jc w:val="center"/>
            </w:pPr>
            <w:r>
              <w:rPr>
                <w:rFonts w:ascii="宋体" w:hAnsi="宋体" w:eastAsia="宋体"/>
                <w:sz w:val="16"/>
              </w:rPr>
              <w:t>=234.20平方米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C80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08A9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FDAD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98E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436A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6B7A2">
            <w:pPr>
              <w:jc w:val="center"/>
            </w:pPr>
            <w:r>
              <w:rPr>
                <w:rFonts w:ascii="宋体" w:hAnsi="宋体" w:eastAsia="宋体"/>
                <w:sz w:val="16"/>
              </w:rPr>
              <w:t>=234.2平方米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FC5E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4E7266">
            <w:pPr>
              <w:jc w:val="center"/>
            </w:pPr>
          </w:p>
        </w:tc>
      </w:tr>
      <w:tr w14:paraId="44F7D4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23BB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B323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5605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908F1">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D8A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BE7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C894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E5A0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F01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B14F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797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365F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E6A3CA">
            <w:pPr>
              <w:jc w:val="center"/>
            </w:pPr>
          </w:p>
        </w:tc>
      </w:tr>
      <w:tr w14:paraId="29AE90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3DC6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1B23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D773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2D9B8">
            <w:pPr>
              <w:jc w:val="center"/>
            </w:pPr>
            <w:r>
              <w:rPr>
                <w:rFonts w:ascii="宋体" w:hAnsi="宋体" w:eastAsia="宋体"/>
                <w:sz w:val="16"/>
              </w:rPr>
              <w:t>资金执行及时率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986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DFB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81C6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1DE9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5536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5D40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B25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65E1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6EE446">
            <w:pPr>
              <w:jc w:val="center"/>
            </w:pPr>
          </w:p>
        </w:tc>
      </w:tr>
      <w:tr w14:paraId="57116D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B378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9DC3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0B40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3930E">
            <w:pPr>
              <w:jc w:val="center"/>
            </w:pPr>
            <w:r>
              <w:rPr>
                <w:rFonts w:ascii="宋体" w:hAnsi="宋体" w:eastAsia="宋体"/>
                <w:sz w:val="16"/>
              </w:rPr>
              <w:t>项目成本控制数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A1AA6">
            <w:pPr>
              <w:jc w:val="center"/>
            </w:pPr>
            <w:r>
              <w:rPr>
                <w:rFonts w:ascii="宋体" w:hAnsi="宋体" w:eastAsia="宋体"/>
                <w:sz w:val="16"/>
              </w:rPr>
              <w:t>&lt;=66.09万元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B380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950E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3199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6AD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81477">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C692C">
            <w:pPr>
              <w:jc w:val="center"/>
            </w:pPr>
            <w:r>
              <w:rPr>
                <w:rFonts w:ascii="宋体" w:hAnsi="宋体" w:eastAsia="宋体"/>
                <w:sz w:val="16"/>
              </w:rPr>
              <w:t>=66.09万元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8AFB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32C0C0">
            <w:pPr>
              <w:jc w:val="center"/>
            </w:pPr>
          </w:p>
        </w:tc>
      </w:tr>
      <w:tr w14:paraId="111521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E8EA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9A4F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1962A">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C976E">
            <w:pPr>
              <w:jc w:val="center"/>
            </w:pPr>
            <w:r>
              <w:rPr>
                <w:rFonts w:ascii="宋体" w:hAnsi="宋体" w:eastAsia="宋体"/>
                <w:sz w:val="16"/>
              </w:rPr>
              <w:t>提升居民生活采购便利化水平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4786F">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A84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BC20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CE5A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FDB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6933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96655">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1EDD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42BFF7">
            <w:pPr>
              <w:jc w:val="center"/>
            </w:pPr>
          </w:p>
        </w:tc>
      </w:tr>
      <w:tr w14:paraId="2F55EB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24CA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E599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B8A9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8B5DB">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228E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82C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FA28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89DB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B6F9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D961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C4BE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A4BB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C50519">
            <w:pPr>
              <w:jc w:val="center"/>
            </w:pPr>
          </w:p>
        </w:tc>
      </w:tr>
      <w:tr w14:paraId="413FAD5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25010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5AA0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CCE9A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BB9B6">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1C3DFB0"/>
        </w:tc>
      </w:tr>
    </w:tbl>
    <w:p w14:paraId="7FBA49C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6B699600">
        <w:tc>
          <w:tcPr>
            <w:tcW w:w="8848" w:type="dxa"/>
            <w:gridSpan w:val="14"/>
            <w:vAlign w:val="center"/>
          </w:tcPr>
          <w:p w14:paraId="0AF6EE50">
            <w:pPr>
              <w:jc w:val="center"/>
            </w:pPr>
            <w:r>
              <w:rPr>
                <w:rFonts w:ascii="宋体" w:hAnsi="宋体" w:eastAsia="宋体"/>
                <w:sz w:val="24"/>
              </w:rPr>
              <w:t>项目支出绩效自评表</w:t>
            </w:r>
          </w:p>
        </w:tc>
      </w:tr>
      <w:tr w14:paraId="229E07AA">
        <w:tblPrEx>
          <w:tblCellMar>
            <w:top w:w="0" w:type="dxa"/>
            <w:left w:w="108" w:type="dxa"/>
            <w:bottom w:w="0" w:type="dxa"/>
            <w:right w:w="108" w:type="dxa"/>
          </w:tblCellMar>
        </w:tblPrEx>
        <w:tc>
          <w:tcPr>
            <w:tcW w:w="8848" w:type="dxa"/>
            <w:gridSpan w:val="14"/>
            <w:vAlign w:val="center"/>
          </w:tcPr>
          <w:p w14:paraId="1379E310">
            <w:pPr>
              <w:jc w:val="center"/>
            </w:pPr>
            <w:r>
              <w:rPr>
                <w:rFonts w:ascii="宋体" w:hAnsi="宋体" w:eastAsia="宋体"/>
                <w:sz w:val="24"/>
              </w:rPr>
              <w:t>(2024年度)</w:t>
            </w:r>
          </w:p>
        </w:tc>
      </w:tr>
      <w:tr w14:paraId="06DBD5C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9ABF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D5EC172">
            <w:pPr>
              <w:jc w:val="center"/>
            </w:pPr>
            <w:r>
              <w:rPr>
                <w:rFonts w:ascii="宋体" w:hAnsi="宋体" w:eastAsia="宋体"/>
                <w:sz w:val="16"/>
              </w:rPr>
              <w:t>疏勒县农业生产资料公司家属院拆迁户临时安置费</w:t>
            </w:r>
          </w:p>
        </w:tc>
      </w:tr>
      <w:tr w14:paraId="6D1E32C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4B61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89C9B9">
            <w:pPr>
              <w:jc w:val="center"/>
            </w:pPr>
            <w:r>
              <w:rPr>
                <w:rFonts w:ascii="宋体" w:hAnsi="宋体" w:eastAsia="宋体"/>
                <w:sz w:val="16"/>
              </w:rPr>
              <w:t>疏勒县供销合作社联合社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84B4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0A6881D">
            <w:pPr>
              <w:jc w:val="center"/>
            </w:pPr>
            <w:r>
              <w:rPr>
                <w:rFonts w:ascii="宋体" w:hAnsi="宋体" w:eastAsia="宋体"/>
                <w:sz w:val="16"/>
              </w:rPr>
              <w:t>疏勒县供销合作社联合社</w:t>
            </w:r>
          </w:p>
        </w:tc>
      </w:tr>
      <w:tr w14:paraId="4C2AF85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03DD0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1F221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5F9EC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F4626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2C453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C850B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08909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29676">
            <w:pPr>
              <w:jc w:val="center"/>
            </w:pPr>
            <w:r>
              <w:rPr>
                <w:rFonts w:ascii="宋体" w:hAnsi="宋体" w:eastAsia="宋体"/>
                <w:sz w:val="16"/>
              </w:rPr>
              <w:t>得分</w:t>
            </w:r>
          </w:p>
        </w:tc>
      </w:tr>
      <w:tr w14:paraId="7384F5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D696D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BA883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F38262">
            <w:pPr>
              <w:jc w:val="center"/>
            </w:pPr>
            <w:r>
              <w:rPr>
                <w:rFonts w:ascii="宋体" w:hAnsi="宋体" w:eastAsia="宋体"/>
                <w:sz w:val="16"/>
              </w:rPr>
              <w:t>6.90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06DD3C">
            <w:pPr>
              <w:jc w:val="center"/>
            </w:pPr>
            <w:r>
              <w:rPr>
                <w:rFonts w:ascii="宋体" w:hAnsi="宋体" w:eastAsia="宋体"/>
                <w:sz w:val="16"/>
              </w:rPr>
              <w:t>6.90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AF7AC9">
            <w:pPr>
              <w:jc w:val="center"/>
            </w:pPr>
            <w:r>
              <w:rPr>
                <w:rFonts w:ascii="宋体" w:hAnsi="宋体" w:eastAsia="宋体"/>
                <w:sz w:val="16"/>
              </w:rPr>
              <w:t>6.90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996CA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1B5A06">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0F3EC">
            <w:pPr>
              <w:jc w:val="center"/>
            </w:pPr>
            <w:r>
              <w:rPr>
                <w:rFonts w:ascii="宋体" w:hAnsi="宋体" w:eastAsia="宋体"/>
                <w:sz w:val="16"/>
              </w:rPr>
              <w:t>10.00分</w:t>
            </w:r>
          </w:p>
        </w:tc>
      </w:tr>
      <w:tr w14:paraId="765E63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F4F05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5E424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511DB7">
            <w:pPr>
              <w:jc w:val="center"/>
            </w:pPr>
            <w:r>
              <w:rPr>
                <w:rFonts w:ascii="宋体" w:hAnsi="宋体" w:eastAsia="宋体"/>
                <w:sz w:val="16"/>
              </w:rPr>
              <w:t>6.90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6A40AB">
            <w:pPr>
              <w:jc w:val="center"/>
            </w:pPr>
            <w:r>
              <w:rPr>
                <w:rFonts w:ascii="宋体" w:hAnsi="宋体" w:eastAsia="宋体"/>
                <w:sz w:val="16"/>
              </w:rPr>
              <w:t>6.90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333582">
            <w:pPr>
              <w:jc w:val="center"/>
            </w:pPr>
            <w:r>
              <w:rPr>
                <w:rFonts w:ascii="宋体" w:hAnsi="宋体" w:eastAsia="宋体"/>
                <w:sz w:val="16"/>
              </w:rPr>
              <w:t>6.90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A12F4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5CF1E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0C868">
            <w:pPr>
              <w:jc w:val="center"/>
            </w:pPr>
            <w:r>
              <w:rPr>
                <w:rFonts w:ascii="宋体" w:hAnsi="宋体" w:eastAsia="宋体"/>
                <w:sz w:val="16"/>
              </w:rPr>
              <w:t>—</w:t>
            </w:r>
          </w:p>
        </w:tc>
      </w:tr>
      <w:tr w14:paraId="7463FA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2818D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28B5D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65537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33B01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7B8B2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A2B3C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81F22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FB378">
            <w:pPr>
              <w:jc w:val="center"/>
            </w:pPr>
            <w:r>
              <w:rPr>
                <w:rFonts w:ascii="宋体" w:hAnsi="宋体" w:eastAsia="宋体"/>
                <w:sz w:val="16"/>
              </w:rPr>
              <w:t>—</w:t>
            </w:r>
          </w:p>
        </w:tc>
      </w:tr>
      <w:tr w14:paraId="51A38AF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62475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9D9F9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DBAB199">
            <w:pPr>
              <w:jc w:val="center"/>
            </w:pPr>
            <w:r>
              <w:rPr>
                <w:rFonts w:ascii="宋体" w:hAnsi="宋体" w:eastAsia="宋体"/>
                <w:sz w:val="16"/>
              </w:rPr>
              <w:t>实际完成情况</w:t>
            </w:r>
          </w:p>
        </w:tc>
      </w:tr>
      <w:tr w14:paraId="2499DF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11757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2889DA">
            <w:pPr>
              <w:jc w:val="both"/>
            </w:pPr>
            <w:r>
              <w:rPr>
                <w:rFonts w:ascii="宋体" w:hAnsi="宋体" w:eastAsia="宋体"/>
                <w:sz w:val="16"/>
              </w:rPr>
              <w:t>本项目本次计划发放2023年1个</w:t>
            </w:r>
            <w:r>
              <w:rPr>
                <w:rFonts w:hint="eastAsia" w:ascii="宋体" w:hAnsi="宋体"/>
                <w:sz w:val="16"/>
                <w:lang w:eastAsia="zh-CN"/>
              </w:rPr>
              <w:t>月</w:t>
            </w:r>
            <w:r>
              <w:rPr>
                <w:rFonts w:ascii="宋体" w:hAnsi="宋体" w:eastAsia="宋体"/>
                <w:sz w:val="16"/>
              </w:rPr>
              <w:t>，2024年4个月，计划总计5个月临时安置费，每月每户600元，共计发放23户拆迁户总共69000元，达到缓解当前拆迁户生活压力，及时化解信访舆情隐患的目标。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FD73BD0">
            <w:pPr>
              <w:jc w:val="both"/>
            </w:pPr>
            <w:r>
              <w:rPr>
                <w:rFonts w:hint="eastAsia" w:ascii="宋体" w:hAnsi="宋体"/>
                <w:sz w:val="16"/>
                <w:lang w:eastAsia="zh-CN"/>
              </w:rPr>
              <w:t>截至</w:t>
            </w:r>
            <w:r>
              <w:rPr>
                <w:rFonts w:ascii="宋体" w:hAnsi="宋体" w:eastAsia="宋体"/>
                <w:sz w:val="16"/>
              </w:rPr>
              <w:t>2024年12月31日，项目实际投资总额为6.9万元，主要用于发放疏勒县农业生产资料公司家属院拆迁户临时安置费，以每月每户600元的标准，共计发放拆迁户23户，共计6.9万元，项目实施后，不断提升拆迁户的生活水平，拆迁户满意度100%。</w:t>
            </w:r>
          </w:p>
        </w:tc>
      </w:tr>
      <w:tr w14:paraId="1E282F0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BA905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B3B7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95FF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655D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E433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85FE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3A33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FD76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FD5C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1E46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EF38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ADAB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418401">
            <w:pPr>
              <w:jc w:val="center"/>
            </w:pPr>
            <w:r>
              <w:rPr>
                <w:rFonts w:ascii="宋体" w:hAnsi="宋体" w:eastAsia="宋体"/>
                <w:sz w:val="16"/>
              </w:rPr>
              <w:t>偏差原因分析及改进措施</w:t>
            </w:r>
          </w:p>
        </w:tc>
      </w:tr>
      <w:tr w14:paraId="5E7A73C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A441F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DA0CD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CC37F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A8A91">
            <w:pPr>
              <w:jc w:val="center"/>
            </w:pPr>
            <w:r>
              <w:rPr>
                <w:rFonts w:ascii="宋体" w:hAnsi="宋体" w:eastAsia="宋体"/>
                <w:sz w:val="16"/>
              </w:rPr>
              <w:t>保障拆迁户数量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CF568">
            <w:pPr>
              <w:jc w:val="center"/>
            </w:pPr>
            <w:r>
              <w:rPr>
                <w:rFonts w:ascii="宋体" w:hAnsi="宋体" w:eastAsia="宋体"/>
                <w:sz w:val="16"/>
              </w:rPr>
              <w:t>&gt;=23户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4F7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7DC9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0A4D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C32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2036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E3688">
            <w:pPr>
              <w:jc w:val="center"/>
            </w:pPr>
            <w:r>
              <w:rPr>
                <w:rFonts w:ascii="宋体" w:hAnsi="宋体" w:eastAsia="宋体"/>
                <w:sz w:val="16"/>
              </w:rPr>
              <w:t>=23户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CA3A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42DC1A">
            <w:pPr>
              <w:jc w:val="center"/>
            </w:pPr>
          </w:p>
        </w:tc>
      </w:tr>
      <w:tr w14:paraId="61DB09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4B1E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8428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0DAE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D73C8">
            <w:pPr>
              <w:jc w:val="center"/>
            </w:pPr>
            <w:r>
              <w:rPr>
                <w:rFonts w:ascii="宋体" w:hAnsi="宋体" w:eastAsia="宋体"/>
                <w:sz w:val="16"/>
              </w:rPr>
              <w:t>发放拆迁款临时安置费月数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3B139">
            <w:pPr>
              <w:jc w:val="center"/>
            </w:pPr>
            <w:r>
              <w:rPr>
                <w:rFonts w:ascii="宋体" w:hAnsi="宋体" w:eastAsia="宋体"/>
                <w:sz w:val="16"/>
              </w:rPr>
              <w:t>=5个月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7EA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5F54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FB2B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3F9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0BF8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61A52">
            <w:pPr>
              <w:jc w:val="center"/>
            </w:pPr>
            <w:r>
              <w:rPr>
                <w:rFonts w:ascii="宋体" w:hAnsi="宋体" w:eastAsia="宋体"/>
                <w:sz w:val="16"/>
              </w:rPr>
              <w:t>=5个月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CFD6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AF67ED">
            <w:pPr>
              <w:jc w:val="center"/>
            </w:pPr>
          </w:p>
        </w:tc>
      </w:tr>
      <w:tr w14:paraId="5CEAC6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DB35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40D8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37C8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DF890">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5DA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682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112D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E2AA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D90A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F283C">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951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B906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555DFC">
            <w:pPr>
              <w:jc w:val="center"/>
            </w:pPr>
          </w:p>
        </w:tc>
      </w:tr>
      <w:tr w14:paraId="46F286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FFAE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689DC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BF268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BC6F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BDDB7">
            <w:pPr>
              <w:jc w:val="center"/>
            </w:pPr>
            <w:r>
              <w:rPr>
                <w:rFonts w:ascii="宋体" w:hAnsi="宋体" w:eastAsia="宋体"/>
                <w:sz w:val="16"/>
              </w:rPr>
              <w:t>=2024年7月23日前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7E7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C6BF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A513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217F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A99E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6BEC6">
            <w:pPr>
              <w:jc w:val="center"/>
            </w:pPr>
            <w:r>
              <w:rPr>
                <w:rFonts w:ascii="宋体" w:hAnsi="宋体" w:eastAsia="宋体"/>
                <w:sz w:val="16"/>
              </w:rPr>
              <w:t>2024年7月15日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E7FD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C62084">
            <w:pPr>
              <w:jc w:val="center"/>
            </w:pPr>
          </w:p>
        </w:tc>
      </w:tr>
      <w:tr w14:paraId="7EB1DE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73F2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BDB3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7A45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0C908">
            <w:pPr>
              <w:jc w:val="center"/>
            </w:pPr>
            <w:r>
              <w:rPr>
                <w:rFonts w:ascii="宋体" w:hAnsi="宋体" w:eastAsia="宋体"/>
                <w:sz w:val="16"/>
              </w:rPr>
              <w:t>拆迁临时安置费发放及时率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388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223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4FDE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53DA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41E9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5145E">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F05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BBAF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F26BD3">
            <w:pPr>
              <w:jc w:val="center"/>
            </w:pPr>
          </w:p>
        </w:tc>
      </w:tr>
      <w:tr w14:paraId="493D75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ED0F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94F2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52C9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F4101">
            <w:pPr>
              <w:jc w:val="center"/>
            </w:pPr>
            <w:r>
              <w:rPr>
                <w:rFonts w:ascii="宋体" w:hAnsi="宋体" w:eastAsia="宋体"/>
                <w:sz w:val="16"/>
              </w:rPr>
              <w:t>每月每户发放临时安置费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08BD2">
            <w:pPr>
              <w:jc w:val="center"/>
            </w:pPr>
            <w:r>
              <w:rPr>
                <w:rFonts w:ascii="宋体" w:hAnsi="宋体" w:eastAsia="宋体"/>
                <w:sz w:val="16"/>
              </w:rPr>
              <w:t>&lt;=600元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E4D2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A8B8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5E5E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4D6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AECEA">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76659">
            <w:pPr>
              <w:jc w:val="center"/>
            </w:pPr>
            <w:r>
              <w:rPr>
                <w:rFonts w:ascii="宋体" w:hAnsi="宋体" w:eastAsia="宋体"/>
                <w:sz w:val="16"/>
              </w:rPr>
              <w:t>=600元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385F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D7D26C">
            <w:pPr>
              <w:jc w:val="center"/>
            </w:pPr>
          </w:p>
        </w:tc>
      </w:tr>
      <w:tr w14:paraId="6E011C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C6C1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A178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727E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1BD54">
            <w:pPr>
              <w:jc w:val="center"/>
            </w:pPr>
            <w:r>
              <w:rPr>
                <w:rFonts w:ascii="宋体" w:hAnsi="宋体" w:eastAsia="宋体"/>
                <w:sz w:val="16"/>
              </w:rPr>
              <w:t>拆迁户生活水平不断提升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0F275">
            <w:pPr>
              <w:jc w:val="center"/>
            </w:pPr>
            <w:r>
              <w:rPr>
                <w:rFonts w:ascii="宋体" w:hAnsi="宋体" w:eastAsia="宋体"/>
                <w:sz w:val="16"/>
              </w:rPr>
              <w:t>不断提升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2C9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3199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3F96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A88E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F847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C4F5A">
            <w:pPr>
              <w:jc w:val="center"/>
            </w:pPr>
            <w:r>
              <w:rPr>
                <w:rFonts w:ascii="宋体" w:hAnsi="宋体" w:eastAsia="宋体"/>
                <w:sz w:val="16"/>
              </w:rPr>
              <w:t>不断提升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30D1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6036BF">
            <w:pPr>
              <w:jc w:val="center"/>
            </w:pPr>
          </w:p>
        </w:tc>
      </w:tr>
      <w:tr w14:paraId="0E3929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D66A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8E0E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B948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5D154">
            <w:pPr>
              <w:jc w:val="center"/>
            </w:pPr>
            <w:r>
              <w:rPr>
                <w:rFonts w:ascii="宋体" w:hAnsi="宋体" w:eastAsia="宋体"/>
                <w:sz w:val="16"/>
              </w:rPr>
              <w:t>拆迁户满意度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19FB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792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067A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464F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633D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BE09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866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41C4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C54A86">
            <w:pPr>
              <w:jc w:val="center"/>
            </w:pPr>
            <w:r>
              <w:rPr>
                <w:rFonts w:ascii="宋体" w:hAnsi="宋体" w:eastAsia="宋体"/>
                <w:sz w:val="16"/>
              </w:rPr>
              <w:t>原因分析：该项目指标拆迁户满意度&gt;=95%，因项目实际问卷调查满意度为100%，故指标偏差为5.26%；改进措施：根据项目实施情况，合理设置预期指标值，使完成值与预期目标值相一致。</w:t>
            </w:r>
          </w:p>
        </w:tc>
      </w:tr>
      <w:tr w14:paraId="4BC5797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3CD19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7F0E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698F3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4CF9B">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73D2350"/>
        </w:tc>
      </w:tr>
    </w:tbl>
    <w:p w14:paraId="663F7011">
      <w:r>
        <w:br w:type="page"/>
      </w:r>
    </w:p>
    <w:p w14:paraId="45F5FFAA">
      <w:pPr>
        <w:spacing w:line="640" w:lineRule="exact"/>
        <w:ind w:firstLine="640"/>
        <w:jc w:val="both"/>
        <w:outlineLvl w:val="2"/>
      </w:pPr>
      <w:r>
        <w:rPr>
          <w:rFonts w:ascii="黑体" w:hAnsi="黑体" w:eastAsia="黑体"/>
          <w:sz w:val="32"/>
        </w:rPr>
        <w:t>十二、其他需说明的事项</w:t>
      </w:r>
    </w:p>
    <w:p w14:paraId="579E9E56">
      <w:pPr>
        <w:spacing w:line="580" w:lineRule="exact"/>
        <w:ind w:firstLine="640"/>
        <w:jc w:val="both"/>
      </w:pPr>
      <w:r>
        <w:rPr>
          <w:rFonts w:ascii="仿宋_GB2312" w:hAnsi="仿宋_GB2312" w:eastAsia="仿宋_GB2312"/>
          <w:b w:val="0"/>
          <w:sz w:val="32"/>
        </w:rPr>
        <w:t>本单位无其他需说明的事项。</w:t>
      </w:r>
    </w:p>
    <w:p w14:paraId="1C005667">
      <w:r>
        <w:br w:type="page"/>
      </w:r>
    </w:p>
    <w:p w14:paraId="565CC81C">
      <w:pPr>
        <w:spacing w:line="240" w:lineRule="auto"/>
        <w:jc w:val="center"/>
        <w:outlineLvl w:val="1"/>
      </w:pPr>
      <w:r>
        <w:rPr>
          <w:rFonts w:ascii="黑体" w:hAnsi="黑体" w:eastAsia="黑体"/>
          <w:sz w:val="32"/>
        </w:rPr>
        <w:t>第三部分 专业名词解释</w:t>
      </w:r>
    </w:p>
    <w:p w14:paraId="4DDBC8A5">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7B4CE01">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9974AF9">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9C7D8CA">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2A3E1E0">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A06C6AC">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E7BAD83">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2CCCAE6">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C5F1EDA">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0F37018">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73DDCD0">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34B5DF7">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660F298">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003063C">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27DCDFD">
      <w:r>
        <w:br w:type="page"/>
      </w:r>
    </w:p>
    <w:p w14:paraId="09F60A0B">
      <w:pPr>
        <w:spacing w:line="240" w:lineRule="auto"/>
        <w:jc w:val="center"/>
        <w:outlineLvl w:val="1"/>
      </w:pPr>
      <w:r>
        <w:rPr>
          <w:rFonts w:ascii="黑体" w:hAnsi="黑体" w:eastAsia="黑体"/>
          <w:sz w:val="32"/>
        </w:rPr>
        <w:t>第四部分 部门决算报表（见附表）</w:t>
      </w:r>
    </w:p>
    <w:p w14:paraId="08D56F90">
      <w:pPr>
        <w:spacing w:line="240" w:lineRule="auto"/>
        <w:ind w:firstLine="640"/>
        <w:jc w:val="both"/>
      </w:pPr>
      <w:r>
        <w:rPr>
          <w:rFonts w:ascii="仿宋_GB2312" w:hAnsi="仿宋_GB2312" w:eastAsia="仿宋_GB2312"/>
          <w:b w:val="0"/>
          <w:sz w:val="32"/>
        </w:rPr>
        <w:t>一、《收入支出决算总表》</w:t>
      </w:r>
    </w:p>
    <w:p w14:paraId="5D7885DA">
      <w:pPr>
        <w:spacing w:line="240" w:lineRule="auto"/>
        <w:ind w:firstLine="640"/>
        <w:jc w:val="both"/>
      </w:pPr>
      <w:r>
        <w:rPr>
          <w:rFonts w:ascii="仿宋_GB2312" w:hAnsi="仿宋_GB2312" w:eastAsia="仿宋_GB2312"/>
          <w:b w:val="0"/>
          <w:sz w:val="32"/>
        </w:rPr>
        <w:t>二、《收入决算表》</w:t>
      </w:r>
    </w:p>
    <w:p w14:paraId="66D3FD2D">
      <w:pPr>
        <w:spacing w:line="240" w:lineRule="auto"/>
        <w:ind w:firstLine="640"/>
        <w:jc w:val="both"/>
      </w:pPr>
      <w:r>
        <w:rPr>
          <w:rFonts w:ascii="仿宋_GB2312" w:hAnsi="仿宋_GB2312" w:eastAsia="仿宋_GB2312"/>
          <w:b w:val="0"/>
          <w:sz w:val="32"/>
        </w:rPr>
        <w:t>三、《支出决算表》</w:t>
      </w:r>
    </w:p>
    <w:p w14:paraId="7B26A7DE">
      <w:pPr>
        <w:spacing w:line="240" w:lineRule="auto"/>
        <w:ind w:firstLine="640"/>
        <w:jc w:val="both"/>
      </w:pPr>
      <w:r>
        <w:rPr>
          <w:rFonts w:ascii="仿宋_GB2312" w:hAnsi="仿宋_GB2312" w:eastAsia="仿宋_GB2312"/>
          <w:b w:val="0"/>
          <w:sz w:val="32"/>
        </w:rPr>
        <w:t>四、《财政拨款收入支出决算总表》</w:t>
      </w:r>
    </w:p>
    <w:p w14:paraId="4C59F862">
      <w:pPr>
        <w:spacing w:line="240" w:lineRule="auto"/>
        <w:ind w:firstLine="640"/>
        <w:jc w:val="both"/>
      </w:pPr>
      <w:r>
        <w:rPr>
          <w:rFonts w:ascii="仿宋_GB2312" w:hAnsi="仿宋_GB2312" w:eastAsia="仿宋_GB2312"/>
          <w:b w:val="0"/>
          <w:sz w:val="32"/>
        </w:rPr>
        <w:t>五、《一般公共预算财政拨款支出决算表》</w:t>
      </w:r>
    </w:p>
    <w:p w14:paraId="5A14A284">
      <w:pPr>
        <w:spacing w:line="240" w:lineRule="auto"/>
        <w:ind w:firstLine="640"/>
        <w:jc w:val="both"/>
      </w:pPr>
      <w:r>
        <w:rPr>
          <w:rFonts w:ascii="仿宋_GB2312" w:hAnsi="仿宋_GB2312" w:eastAsia="仿宋_GB2312"/>
          <w:b w:val="0"/>
          <w:sz w:val="32"/>
        </w:rPr>
        <w:t>六、《一般公共预算财政拨款基本支出决算表》</w:t>
      </w:r>
    </w:p>
    <w:p w14:paraId="011FC378">
      <w:pPr>
        <w:spacing w:line="240" w:lineRule="auto"/>
        <w:ind w:firstLine="640"/>
        <w:jc w:val="both"/>
      </w:pPr>
      <w:r>
        <w:rPr>
          <w:rFonts w:ascii="仿宋_GB2312" w:hAnsi="仿宋_GB2312" w:eastAsia="仿宋_GB2312"/>
          <w:b w:val="0"/>
          <w:sz w:val="32"/>
        </w:rPr>
        <w:t>七、《政府性基金预算财政拨款收入支出决算表》</w:t>
      </w:r>
    </w:p>
    <w:p w14:paraId="748432B6">
      <w:pPr>
        <w:spacing w:line="240" w:lineRule="auto"/>
        <w:ind w:firstLine="640"/>
        <w:jc w:val="both"/>
      </w:pPr>
      <w:r>
        <w:rPr>
          <w:rFonts w:ascii="仿宋_GB2312" w:hAnsi="仿宋_GB2312" w:eastAsia="仿宋_GB2312"/>
          <w:b w:val="0"/>
          <w:sz w:val="32"/>
        </w:rPr>
        <w:t>八、《国有资本经营预算财政拨款收入支出决算表》</w:t>
      </w:r>
    </w:p>
    <w:p w14:paraId="02BE5EF7">
      <w:pPr>
        <w:spacing w:line="240" w:lineRule="auto"/>
        <w:ind w:firstLine="640"/>
        <w:jc w:val="both"/>
      </w:pPr>
      <w:r>
        <w:rPr>
          <w:rFonts w:ascii="仿宋_GB2312" w:hAnsi="仿宋_GB2312" w:eastAsia="仿宋_GB2312"/>
          <w:b w:val="0"/>
          <w:sz w:val="32"/>
        </w:rPr>
        <w:t>九、《财政拨款“三公”经费支出决算表》</w:t>
      </w:r>
    </w:p>
    <w:p w14:paraId="67EB92C3">
      <w:pPr>
        <w:spacing w:line="240" w:lineRule="auto"/>
        <w:ind w:firstLine="640"/>
        <w:jc w:val="both"/>
      </w:pPr>
    </w:p>
    <w:p w14:paraId="77704F51">
      <w:pPr>
        <w:spacing w:line="240" w:lineRule="auto"/>
        <w:ind w:firstLine="640"/>
        <w:jc w:val="both"/>
      </w:pPr>
    </w:p>
    <w:p w14:paraId="0C620BE9">
      <w:pPr>
        <w:spacing w:line="240" w:lineRule="auto"/>
        <w:ind w:firstLine="640"/>
        <w:jc w:val="both"/>
      </w:pPr>
    </w:p>
    <w:p w14:paraId="1E17A5F2">
      <w:pPr>
        <w:spacing w:line="240" w:lineRule="auto"/>
        <w:ind w:firstLine="640"/>
        <w:jc w:val="both"/>
      </w:pPr>
    </w:p>
    <w:p w14:paraId="55BA7A2D">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B1776B7-B4F6-470F-AF00-65149E0D0E2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A222B032-3D01-4F0E-8BB5-9ED085115259}"/>
  </w:font>
  <w:font w:name="仿宋_GB2312">
    <w:panose1 w:val="02010609030101010101"/>
    <w:charset w:val="86"/>
    <w:family w:val="modern"/>
    <w:pitch w:val="default"/>
    <w:sig w:usb0="00000001" w:usb1="080E0000" w:usb2="00000000" w:usb3="00000000" w:csb0="00040000" w:csb1="00000000"/>
    <w:embedRegular r:id="rId3" w:fontKey="{AA242472-9573-4529-8F79-A25CB462C0B7}"/>
  </w:font>
  <w:font w:name="楷体_GB2312">
    <w:panose1 w:val="02010609030101010101"/>
    <w:charset w:val="86"/>
    <w:family w:val="auto"/>
    <w:pitch w:val="default"/>
    <w:sig w:usb0="00000001" w:usb1="080E0000" w:usb2="00000000" w:usb3="00000000" w:csb0="00040000" w:csb1="00000000"/>
    <w:embedRegular r:id="rId4" w:fontKey="{0598E5EC-034C-414A-ADA1-36C64D483EE0}"/>
  </w:font>
  <w:font w:name="WPSEMBED11">
    <w:panose1 w:val="02010609030101010101"/>
    <w:charset w:val="86"/>
    <w:family w:val="auto"/>
    <w:pitch w:val="default"/>
    <w:sig w:usb0="00000001" w:usb1="080E0000" w:usb2="00000000" w:usb3="00000000" w:csb0="00040000" w:csb1="00000000"/>
  </w:font>
  <w:font w:name="WPSEMBED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0A24431"/>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1C74EC"/>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5032</Words>
  <Characters>5707</Characters>
  <Lines>0</Lines>
  <Paragraphs>0</Paragraphs>
  <TotalTime>3</TotalTime>
  <ScaleCrop>false</ScaleCrop>
  <LinksUpToDate>false</LinksUpToDate>
  <CharactersWithSpaces>5715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2025-09-26T05:17:55Z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