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疏勒县军粮供应站2024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B8568F">
      <w:r>
        <w:br w:type="page"/>
      </w:r>
    </w:p>
    <w:p w14:paraId="235F21A4">
      <w:pPr>
        <w:spacing w:line="640" w:lineRule="exact"/>
        <w:jc w:val="center"/>
        <w:outlineLvl w:val="1"/>
      </w:pPr>
      <w:r>
        <w:rPr>
          <w:rFonts w:ascii="黑体" w:hAnsi="黑体" w:eastAsia="黑体"/>
          <w:sz w:val="32"/>
        </w:rPr>
        <w:t>第一部分 单位概况</w:t>
      </w:r>
    </w:p>
    <w:p w14:paraId="3B21F957">
      <w:pPr>
        <w:spacing w:line="640" w:lineRule="exact"/>
        <w:ind w:firstLine="640"/>
        <w:jc w:val="both"/>
        <w:outlineLvl w:val="2"/>
      </w:pPr>
      <w:r>
        <w:rPr>
          <w:rFonts w:ascii="黑体" w:hAnsi="黑体" w:eastAsia="黑体"/>
          <w:sz w:val="32"/>
        </w:rPr>
        <w:t>一、主要职能</w:t>
      </w:r>
    </w:p>
    <w:p w14:paraId="03E2CB55">
      <w:pPr>
        <w:spacing w:line="580" w:lineRule="exact"/>
        <w:ind w:firstLine="640"/>
        <w:jc w:val="both"/>
      </w:pPr>
      <w:r>
        <w:rPr>
          <w:rFonts w:ascii="仿宋_GB2312" w:hAnsi="仿宋_GB2312" w:eastAsia="仿宋_GB2312"/>
          <w:sz w:val="32"/>
        </w:rPr>
        <w:t>1.严格执行国家军粮供应政策和规定，军粮差价补贴款专款专用。</w:t>
      </w:r>
    </w:p>
    <w:p w14:paraId="3345A918">
      <w:pPr>
        <w:spacing w:line="580" w:lineRule="exact"/>
        <w:ind w:firstLine="640"/>
        <w:jc w:val="both"/>
      </w:pPr>
      <w:r>
        <w:rPr>
          <w:rFonts w:ascii="仿宋_GB2312" w:hAnsi="仿宋_GB2312" w:eastAsia="仿宋_GB2312"/>
          <w:sz w:val="32"/>
        </w:rPr>
        <w:t>2.负责保障县城区范围内军队粮食供应，负责军粮调运、储存和供应工作，保证按时、按质、按量、按品种供应军粮。</w:t>
      </w:r>
    </w:p>
    <w:p w14:paraId="7C7C7E6E">
      <w:pPr>
        <w:spacing w:line="580" w:lineRule="exact"/>
        <w:ind w:firstLine="640"/>
        <w:jc w:val="both"/>
      </w:pPr>
      <w:r>
        <w:rPr>
          <w:rFonts w:ascii="仿宋_GB2312" w:hAnsi="仿宋_GB2312" w:eastAsia="仿宋_GB2312"/>
          <w:sz w:val="32"/>
        </w:rPr>
        <w:t>3.承办县委、县政府及上级主管部门交办的其他任务。</w:t>
      </w:r>
    </w:p>
    <w:p w14:paraId="7CB9EA78">
      <w:pPr>
        <w:spacing w:line="640" w:lineRule="exact"/>
        <w:ind w:firstLine="640"/>
        <w:jc w:val="both"/>
        <w:outlineLvl w:val="2"/>
      </w:pPr>
      <w:r>
        <w:rPr>
          <w:rFonts w:ascii="黑体" w:hAnsi="黑体" w:eastAsia="黑体"/>
          <w:sz w:val="32"/>
        </w:rPr>
        <w:t>二、机构设置及人员情况</w:t>
      </w:r>
    </w:p>
    <w:p w14:paraId="26F4C5FD">
      <w:pPr>
        <w:spacing w:line="580" w:lineRule="exact"/>
        <w:ind w:firstLine="640"/>
        <w:jc w:val="both"/>
      </w:pPr>
      <w:r>
        <w:rPr>
          <w:rFonts w:ascii="仿宋_GB2312" w:hAnsi="仿宋_GB2312" w:eastAsia="仿宋_GB2312"/>
          <w:sz w:val="32"/>
        </w:rPr>
        <w:t>疏勒县军粮供应站2024年度，实有人数13人，其中：在职人员6人，增加0人；离休人员0人，增加0人；退休人员7人,增加0人。</w:t>
      </w:r>
    </w:p>
    <w:p w14:paraId="1C41AF1C">
      <w:pPr>
        <w:spacing w:line="580" w:lineRule="exact"/>
        <w:ind w:firstLine="640"/>
        <w:jc w:val="both"/>
      </w:pPr>
      <w:r>
        <w:rPr>
          <w:rFonts w:ascii="仿宋_GB2312" w:hAnsi="仿宋_GB2312" w:eastAsia="仿宋_GB2312"/>
          <w:sz w:val="32"/>
        </w:rPr>
        <w:t>疏勒县军粮供应站无下属预算单位，下设1个科室，分别是：办公室。</w:t>
      </w:r>
    </w:p>
    <w:p w14:paraId="3C4F8A0B">
      <w:r>
        <w:br w:type="page"/>
      </w:r>
    </w:p>
    <w:p w14:paraId="35A8EE76">
      <w:pPr>
        <w:spacing w:line="240" w:lineRule="auto"/>
        <w:jc w:val="center"/>
        <w:outlineLvl w:val="1"/>
      </w:pPr>
      <w:r>
        <w:rPr>
          <w:rFonts w:ascii="黑体" w:hAnsi="黑体" w:eastAsia="黑体"/>
          <w:sz w:val="32"/>
        </w:rPr>
        <w:t>第二部分 部门决算情况说明</w:t>
      </w:r>
    </w:p>
    <w:p w14:paraId="7217526B">
      <w:pPr>
        <w:spacing w:line="640" w:lineRule="exact"/>
        <w:ind w:firstLine="640"/>
        <w:jc w:val="both"/>
        <w:outlineLvl w:val="2"/>
      </w:pPr>
      <w:r>
        <w:rPr>
          <w:rFonts w:ascii="黑体" w:hAnsi="黑体" w:eastAsia="黑体"/>
          <w:sz w:val="32"/>
        </w:rPr>
        <w:t>一、收入支出决算总体情况说明</w:t>
      </w:r>
    </w:p>
    <w:p w14:paraId="12FFA713">
      <w:pPr>
        <w:spacing w:line="580" w:lineRule="exact"/>
        <w:ind w:firstLine="640"/>
        <w:jc w:val="both"/>
      </w:pPr>
      <w:r>
        <w:rPr>
          <w:rFonts w:ascii="仿宋_GB2312" w:hAnsi="仿宋_GB2312" w:eastAsia="仿宋_GB2312"/>
          <w:b/>
          <w:sz w:val="32"/>
        </w:rPr>
        <w:t>2024年度收入总计117.61万元，</w:t>
      </w:r>
      <w:r>
        <w:rPr>
          <w:rFonts w:ascii="仿宋_GB2312" w:hAnsi="仿宋_GB2312" w:eastAsia="仿宋_GB2312"/>
          <w:b w:val="0"/>
          <w:sz w:val="32"/>
        </w:rPr>
        <w:t>其中：本年收入合计117.61万元，使用非财政拨款结余（含专用结余）0.00万元，年初结转和结余0.00万元。</w:t>
      </w:r>
    </w:p>
    <w:p w14:paraId="414FDD04">
      <w:pPr>
        <w:spacing w:line="580" w:lineRule="exact"/>
        <w:ind w:firstLine="640"/>
        <w:jc w:val="both"/>
      </w:pPr>
      <w:r>
        <w:rPr>
          <w:rFonts w:ascii="仿宋_GB2312" w:hAnsi="仿宋_GB2312" w:eastAsia="仿宋_GB2312"/>
          <w:b/>
          <w:sz w:val="32"/>
        </w:rPr>
        <w:t>2024年度支出总计117.61万元，</w:t>
      </w:r>
      <w:r>
        <w:rPr>
          <w:rFonts w:ascii="仿宋_GB2312" w:hAnsi="仿宋_GB2312" w:eastAsia="仿宋_GB2312"/>
          <w:b w:val="0"/>
          <w:sz w:val="32"/>
        </w:rPr>
        <w:t>其中：本年支出合计117.61万元，结余分配0.00万元，年末结转和结余0.00万元。</w:t>
      </w:r>
    </w:p>
    <w:p w14:paraId="4FE6F145">
      <w:pPr>
        <w:spacing w:line="580" w:lineRule="exact"/>
        <w:ind w:firstLine="640"/>
        <w:jc w:val="both"/>
      </w:pPr>
      <w:r>
        <w:rPr>
          <w:rFonts w:ascii="仿宋_GB2312" w:hAnsi="仿宋_GB2312" w:eastAsia="仿宋_GB2312"/>
          <w:b w:val="0"/>
          <w:sz w:val="32"/>
        </w:rPr>
        <w:t>收入支出总体与上年相比，增加16.43万元，增长16.24%，主要原因是：本年在职人员工资调增，社保、公积金基数调增，人员经费增加。</w:t>
      </w:r>
    </w:p>
    <w:p w14:paraId="555777A2">
      <w:pPr>
        <w:spacing w:line="640" w:lineRule="exact"/>
        <w:ind w:firstLine="640"/>
        <w:jc w:val="both"/>
        <w:outlineLvl w:val="2"/>
      </w:pPr>
      <w:r>
        <w:rPr>
          <w:rFonts w:ascii="黑体" w:hAnsi="黑体" w:eastAsia="黑体"/>
          <w:sz w:val="32"/>
        </w:rPr>
        <w:t>二、收入决算情况说明</w:t>
      </w:r>
    </w:p>
    <w:p w14:paraId="12BF61A8">
      <w:pPr>
        <w:spacing w:line="580" w:lineRule="exact"/>
        <w:ind w:firstLine="640"/>
        <w:jc w:val="both"/>
      </w:pPr>
      <w:r>
        <w:rPr>
          <w:rFonts w:ascii="仿宋_GB2312" w:hAnsi="仿宋_GB2312" w:eastAsia="仿宋_GB2312"/>
          <w:b/>
          <w:sz w:val="32"/>
        </w:rPr>
        <w:t>本年收入117.61万元，</w:t>
      </w:r>
      <w:r>
        <w:rPr>
          <w:rFonts w:ascii="仿宋_GB2312" w:hAnsi="仿宋_GB2312" w:eastAsia="仿宋_GB2312"/>
          <w:b w:val="0"/>
          <w:sz w:val="32"/>
        </w:rPr>
        <w:t>其中：财政拨款收入117.61万元，占100.00%；上级补助收入0.00万元，占0.00%；事业收入0.00万元，占0.00%；经营收入0.00万元，占0.00%；附属单位上缴收入0.00万元，占0.00%；其他收入0.00万元，占0.00%。</w:t>
      </w:r>
    </w:p>
    <w:p w14:paraId="71F066B9">
      <w:pPr>
        <w:spacing w:line="640" w:lineRule="exact"/>
        <w:ind w:firstLine="640"/>
        <w:jc w:val="both"/>
        <w:outlineLvl w:val="2"/>
      </w:pPr>
      <w:r>
        <w:rPr>
          <w:rFonts w:ascii="黑体" w:hAnsi="黑体" w:eastAsia="黑体"/>
          <w:sz w:val="32"/>
        </w:rPr>
        <w:t>三、支出决算情况说明</w:t>
      </w:r>
    </w:p>
    <w:p w14:paraId="73EC51D5">
      <w:pPr>
        <w:spacing w:line="580" w:lineRule="exact"/>
        <w:ind w:firstLine="640"/>
        <w:jc w:val="both"/>
      </w:pPr>
      <w:r>
        <w:rPr>
          <w:rFonts w:ascii="仿宋_GB2312" w:hAnsi="仿宋_GB2312" w:eastAsia="仿宋_GB2312"/>
          <w:b/>
          <w:sz w:val="32"/>
        </w:rPr>
        <w:t>本年支出117.61万元，</w:t>
      </w:r>
      <w:r>
        <w:rPr>
          <w:rFonts w:ascii="仿宋_GB2312" w:hAnsi="仿宋_GB2312" w:eastAsia="仿宋_GB2312"/>
          <w:b w:val="0"/>
          <w:sz w:val="32"/>
        </w:rPr>
        <w:t>其中：基本支出117.61万元，占100.00%；项目支出0.00万元，占0.00%；上缴上级支出0.00万元，占0.00%；经营支出0.00万元，占0.00%；对附属单位补助支出0.00万元，占0.00%。</w:t>
      </w:r>
    </w:p>
    <w:p w14:paraId="5F1DA71D">
      <w:pPr>
        <w:spacing w:line="640" w:lineRule="exact"/>
        <w:ind w:firstLine="640"/>
        <w:jc w:val="both"/>
        <w:outlineLvl w:val="2"/>
      </w:pPr>
      <w:r>
        <w:rPr>
          <w:rFonts w:ascii="黑体" w:hAnsi="黑体" w:eastAsia="黑体"/>
          <w:sz w:val="32"/>
        </w:rPr>
        <w:t>四、财政拨款收入支出决算总体情况说明</w:t>
      </w:r>
    </w:p>
    <w:p w14:paraId="4A98B8BA">
      <w:pPr>
        <w:spacing w:line="580" w:lineRule="exact"/>
        <w:ind w:firstLine="640"/>
        <w:jc w:val="both"/>
      </w:pPr>
      <w:r>
        <w:rPr>
          <w:rFonts w:ascii="仿宋_GB2312" w:hAnsi="仿宋_GB2312" w:eastAsia="仿宋_GB2312"/>
          <w:b/>
          <w:sz w:val="32"/>
        </w:rPr>
        <w:t>2024年度财政拨款收入总计117.61万元，</w:t>
      </w:r>
      <w:r>
        <w:rPr>
          <w:rFonts w:ascii="仿宋_GB2312" w:hAnsi="仿宋_GB2312" w:eastAsia="仿宋_GB2312"/>
          <w:b w:val="0"/>
          <w:sz w:val="32"/>
        </w:rPr>
        <w:t>其中：年初财政拨款结转和结余0.00万元，本年财政拨款收入117.61万元。</w:t>
      </w:r>
      <w:r>
        <w:rPr>
          <w:rFonts w:ascii="仿宋_GB2312" w:hAnsi="仿宋_GB2312" w:eastAsia="仿宋_GB2312"/>
          <w:b/>
          <w:sz w:val="32"/>
        </w:rPr>
        <w:t>财政拨款支出总计117.61万元，</w:t>
      </w:r>
      <w:r>
        <w:rPr>
          <w:rFonts w:ascii="仿宋_GB2312" w:hAnsi="仿宋_GB2312" w:eastAsia="仿宋_GB2312"/>
          <w:b w:val="0"/>
          <w:sz w:val="32"/>
        </w:rPr>
        <w:t>其中：年末财政拨款结转和结余0.00万元，本年财政拨款支出117.61万元。</w:t>
      </w:r>
    </w:p>
    <w:p w14:paraId="1B98484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增加16.43万元，增长16.24%，主要原因是：本年在职人员工资调增，社保、公积金基数调增，人员经费增加。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年初预算数117.05万元，决算数117.61万元，预决算差异率0.48%，主要原因是：年中追加人员工资、社保、公积金基数调增部分资金，导致预决算存在差异。</w:t>
      </w:r>
    </w:p>
    <w:p w14:paraId="11536535">
      <w:pPr>
        <w:spacing w:line="640" w:lineRule="exact"/>
        <w:ind w:firstLine="640"/>
        <w:jc w:val="both"/>
        <w:outlineLvl w:val="2"/>
      </w:pPr>
      <w:r>
        <w:rPr>
          <w:rFonts w:ascii="黑体" w:hAnsi="黑体" w:eastAsia="黑体"/>
          <w:sz w:val="32"/>
        </w:rPr>
        <w:t>五、一般公共预算财政拨款支出决算情况说明</w:t>
      </w:r>
    </w:p>
    <w:p w14:paraId="3268637C">
      <w:pPr>
        <w:spacing w:line="640" w:lineRule="exact"/>
        <w:ind w:firstLine="640"/>
        <w:jc w:val="both"/>
        <w:outlineLvl w:val="3"/>
      </w:pPr>
      <w:r>
        <w:rPr>
          <w:rFonts w:ascii="楷体_GB2312" w:hAnsi="楷体_GB2312" w:eastAsia="楷体_GB2312"/>
          <w:b/>
          <w:sz w:val="32"/>
        </w:rPr>
        <w:t>（一）一般公共预算财政拨款支出决算总体情况</w:t>
      </w:r>
    </w:p>
    <w:p w14:paraId="1A49455C">
      <w:pPr>
        <w:spacing w:line="580" w:lineRule="exact"/>
        <w:ind w:firstLine="640"/>
        <w:jc w:val="both"/>
      </w:pPr>
      <w:r>
        <w:rPr>
          <w:rFonts w:ascii="仿宋_GB2312" w:hAnsi="仿宋_GB2312" w:eastAsia="仿宋_GB2312"/>
          <w:b/>
          <w:sz w:val="32"/>
        </w:rPr>
        <w:t>2024年度一般公共预算财政拨款支出117.61万元，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增加16.43万元，增长16.24%，主要原因是：本年在职人员工资调增，社保、公积金基数调增，人员经费增加。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年初预算数117.05万元，决算数117.61万元，预决算差异率0.48%，主要原因是：年中追加人员工资、社保、公积金基数调增部分资金，导致预决算存在差异。</w:t>
      </w:r>
    </w:p>
    <w:p w14:paraId="2291AB65">
      <w:pPr>
        <w:spacing w:line="640" w:lineRule="exact"/>
        <w:ind w:firstLine="640"/>
        <w:jc w:val="both"/>
        <w:outlineLvl w:val="3"/>
      </w:pPr>
      <w:r>
        <w:rPr>
          <w:rFonts w:ascii="楷体_GB2312" w:hAnsi="楷体_GB2312" w:eastAsia="楷体_GB2312"/>
          <w:b/>
          <w:sz w:val="32"/>
        </w:rPr>
        <w:t>（二）一般公共预算财政拨款支出决算结构情况</w:t>
      </w:r>
    </w:p>
    <w:p w14:paraId="67154FAE">
      <w:pPr>
        <w:spacing w:line="580" w:lineRule="exact"/>
        <w:ind w:firstLine="640"/>
        <w:jc w:val="both"/>
      </w:pPr>
      <w:r>
        <w:rPr>
          <w:rFonts w:ascii="仿宋_GB2312" w:hAnsi="仿宋_GB2312" w:eastAsia="仿宋_GB2312"/>
          <w:b w:val="0"/>
          <w:sz w:val="32"/>
        </w:rPr>
        <w:t>1.社会保障和就业支出(类)18.88万元,占16.05%。</w:t>
      </w:r>
    </w:p>
    <w:p w14:paraId="5B26DCB8">
      <w:pPr>
        <w:spacing w:line="580" w:lineRule="exact"/>
        <w:ind w:firstLine="640"/>
        <w:jc w:val="both"/>
      </w:pPr>
      <w:r>
        <w:rPr>
          <w:rFonts w:ascii="仿宋_GB2312" w:hAnsi="仿宋_GB2312" w:eastAsia="仿宋_GB2312"/>
          <w:b w:val="0"/>
          <w:sz w:val="32"/>
        </w:rPr>
        <w:t>2.卫生健康支出(类)4.88万元,占4.15%。</w:t>
      </w:r>
    </w:p>
    <w:p w14:paraId="2D05756C">
      <w:pPr>
        <w:spacing w:line="580" w:lineRule="exact"/>
        <w:ind w:firstLine="640"/>
        <w:jc w:val="both"/>
      </w:pPr>
      <w:r>
        <w:rPr>
          <w:rFonts w:ascii="仿宋_GB2312" w:hAnsi="仿宋_GB2312" w:eastAsia="仿宋_GB2312"/>
          <w:b w:val="0"/>
          <w:sz w:val="32"/>
        </w:rPr>
        <w:t>3.住房保障支出(类)7.81万元,占6.64%。</w:t>
      </w:r>
    </w:p>
    <w:p w14:paraId="46F14B06">
      <w:pPr>
        <w:spacing w:line="580" w:lineRule="exact"/>
        <w:ind w:firstLine="640"/>
        <w:jc w:val="both"/>
      </w:pPr>
      <w:r>
        <w:rPr>
          <w:rFonts w:ascii="仿宋_GB2312" w:hAnsi="仿宋_GB2312" w:eastAsia="仿宋_GB2312"/>
          <w:b w:val="0"/>
          <w:sz w:val="32"/>
        </w:rPr>
        <w:t>4.粮油物资储备支出(类)86.04万元,占73.16%。</w:t>
      </w:r>
    </w:p>
    <w:p w14:paraId="24402912">
      <w:pPr>
        <w:spacing w:line="640" w:lineRule="exact"/>
        <w:ind w:firstLine="640"/>
        <w:jc w:val="both"/>
        <w:outlineLvl w:val="3"/>
      </w:pPr>
      <w:r>
        <w:rPr>
          <w:rFonts w:ascii="楷体_GB2312" w:hAnsi="楷体_GB2312" w:eastAsia="楷体_GB2312"/>
          <w:b/>
          <w:sz w:val="32"/>
        </w:rPr>
        <w:t>（三）一般公共预算财政拨款支出决算具体情况</w:t>
      </w:r>
    </w:p>
    <w:p w14:paraId="7C9DDB8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2.24万元，下降100.00%,主要原因是：本年功能科目调整，部分退休费上年度在本科目列支，本年调整至事业单位离退休科目列支，导致经费较上年减少。</w:t>
      </w:r>
    </w:p>
    <w:p w14:paraId="4CBC2DD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9.27万元，比上年决算增加2.70万元，增长41.10%,主要原因是：本年功能科目调整，部分退休费上年度在行政单位离退休科目列支，本年调整至本科目列支，导致经费较上年增加。</w:t>
      </w:r>
    </w:p>
    <w:p w14:paraId="4EFDF90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9.61万元，比上年决算增加2.00万元，增长26.28%,主要原因是：本年在职人员工资基数调增，养老缴费基数上涨，相应支出增加。</w:t>
      </w:r>
    </w:p>
    <w:p w14:paraId="6350AF0B">
      <w:pPr>
        <w:spacing w:line="580" w:lineRule="exact"/>
        <w:ind w:firstLine="640"/>
        <w:jc w:val="both"/>
      </w:pPr>
      <w:r>
        <w:rPr>
          <w:rFonts w:ascii="仿宋_GB2312" w:hAnsi="仿宋_GB2312" w:eastAsia="仿宋_GB2312"/>
          <w:b w:val="0"/>
          <w:sz w:val="32"/>
        </w:rPr>
        <w:t>4.卫生健康支出(类)行政事业单位医疗(款)事业单位医疗(项):支出决算数为4.08万元，比上年决算增加0.78万元，增长23.64%,主要原因是：本年在职人员工资基数调增，医疗缴费基数上涨，相应支出增加。</w:t>
      </w:r>
    </w:p>
    <w:p w14:paraId="68F31C47">
      <w:pPr>
        <w:spacing w:line="580" w:lineRule="exact"/>
        <w:ind w:firstLine="640"/>
        <w:jc w:val="both"/>
      </w:pPr>
      <w:r>
        <w:rPr>
          <w:rFonts w:ascii="仿宋_GB2312" w:hAnsi="仿宋_GB2312" w:eastAsia="仿宋_GB2312"/>
          <w:b w:val="0"/>
          <w:sz w:val="32"/>
        </w:rPr>
        <w:t>5.卫生健康支出(类)行政事业单位医疗(款)公务员医疗补助(项):支出决算数为0.80万元，比上年决算增加0.19万元，增长31.15%,主要原因是：本年在职人员工资基数调增，医疗缴费基数上涨，公务员医疗补助较上年增加。</w:t>
      </w:r>
    </w:p>
    <w:p w14:paraId="090276C6">
      <w:pPr>
        <w:spacing w:line="580" w:lineRule="exact"/>
        <w:ind w:firstLine="640"/>
        <w:jc w:val="both"/>
      </w:pPr>
      <w:r>
        <w:rPr>
          <w:rFonts w:ascii="仿宋_GB2312" w:hAnsi="仿宋_GB2312" w:eastAsia="仿宋_GB2312"/>
          <w:b w:val="0"/>
          <w:sz w:val="32"/>
        </w:rPr>
        <w:t>6.住房保障支出(类)住房改革支出(款)住房公积金(项):支出决算数为7.81万元，比上年决算增加1.71万元，增长28.03%,主要原因是：本年在职人员工资基数调增，公积金缴费基数上涨，相应支出增加。</w:t>
      </w:r>
    </w:p>
    <w:p w14:paraId="25464B05">
      <w:pPr>
        <w:spacing w:line="580" w:lineRule="exact"/>
        <w:ind w:firstLine="640"/>
        <w:jc w:val="both"/>
      </w:pPr>
      <w:r>
        <w:rPr>
          <w:rFonts w:ascii="仿宋_GB2312" w:hAnsi="仿宋_GB2312" w:eastAsia="仿宋_GB2312"/>
          <w:b w:val="0"/>
          <w:sz w:val="32"/>
        </w:rPr>
        <w:t>7.粮油物资储备支出(类)粮油物资事务(款)行政运行(项):支出决算数为86.04万元，比上年决算增加11.30万元，增长15.12%,主要原因是：本年在职人员工资调增，导致相关人员经费较上年有所增加。</w:t>
      </w:r>
    </w:p>
    <w:p w14:paraId="044FAE63">
      <w:pPr>
        <w:spacing w:line="640" w:lineRule="exact"/>
        <w:ind w:firstLine="640"/>
        <w:jc w:val="both"/>
        <w:outlineLvl w:val="2"/>
      </w:pPr>
      <w:r>
        <w:rPr>
          <w:rFonts w:ascii="黑体" w:hAnsi="黑体" w:eastAsia="黑体"/>
          <w:sz w:val="32"/>
        </w:rPr>
        <w:t>六、一般公共预算财政拨款基本支出决算情况说明</w:t>
      </w:r>
    </w:p>
    <w:p w14:paraId="4BB5BF82">
      <w:pPr>
        <w:spacing w:line="580" w:lineRule="exact"/>
        <w:ind w:firstLine="640"/>
        <w:jc w:val="both"/>
      </w:pPr>
      <w:r>
        <w:rPr>
          <w:rFonts w:ascii="仿宋_GB2312" w:hAnsi="仿宋_GB2312" w:eastAsia="仿宋_GB2312"/>
          <w:b w:val="0"/>
          <w:sz w:val="32"/>
        </w:rPr>
        <w:t>2024年度一般公共预算财政拨款基本支出117.61万元，其中：</w:t>
      </w:r>
      <w:r>
        <w:rPr>
          <w:rFonts w:ascii="仿宋_GB2312" w:hAnsi="仿宋_GB2312" w:eastAsia="仿宋_GB2312"/>
          <w:b/>
          <w:sz w:val="32"/>
        </w:rPr>
        <w:t>人员经费114.21万元，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5497165F">
      <w:pPr>
        <w:spacing w:line="580" w:lineRule="exact"/>
        <w:ind w:firstLine="640"/>
        <w:jc w:val="both"/>
      </w:pPr>
      <w:r>
        <w:rPr>
          <w:rFonts w:ascii="仿宋_GB2312" w:hAnsi="仿宋_GB2312" w:eastAsia="仿宋_GB2312"/>
          <w:b/>
          <w:sz w:val="32"/>
        </w:rPr>
        <w:t>公用经费3.40万元，</w:t>
      </w:r>
      <w:r>
        <w:rPr>
          <w:rFonts w:ascii="仿宋_GB2312" w:hAnsi="仿宋_GB2312" w:eastAsia="仿宋_GB2312"/>
          <w:b w:val="0"/>
          <w:sz w:val="32"/>
        </w:rPr>
        <w:t>包括：办公费、水费、电费、邮电费、公务用车运行维护费。</w:t>
      </w:r>
    </w:p>
    <w:p w14:paraId="3FB906C1">
      <w:pPr>
        <w:spacing w:line="640" w:lineRule="exact"/>
        <w:ind w:firstLine="640"/>
        <w:jc w:val="both"/>
        <w:outlineLvl w:val="2"/>
      </w:pPr>
      <w:r>
        <w:rPr>
          <w:rFonts w:ascii="黑体" w:hAnsi="黑体" w:eastAsia="黑体"/>
          <w:sz w:val="32"/>
        </w:rPr>
        <w:t>七、政府性基金预算财政拨款收入支出决算情况说明</w:t>
      </w:r>
    </w:p>
    <w:p w14:paraId="5FB9164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35D51A">
      <w:pPr>
        <w:spacing w:line="640" w:lineRule="exact"/>
        <w:ind w:firstLine="640"/>
        <w:jc w:val="both"/>
        <w:outlineLvl w:val="2"/>
      </w:pPr>
      <w:r>
        <w:rPr>
          <w:rFonts w:ascii="黑体" w:hAnsi="黑体" w:eastAsia="黑体"/>
          <w:sz w:val="32"/>
        </w:rPr>
        <w:t>八、国有资本经营预算财政拨款收入支出决算情况说明</w:t>
      </w:r>
    </w:p>
    <w:p w14:paraId="2419616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5C7320">
      <w:pPr>
        <w:spacing w:line="640" w:lineRule="exact"/>
        <w:ind w:firstLine="640"/>
        <w:jc w:val="both"/>
        <w:outlineLvl w:val="2"/>
      </w:pPr>
      <w:r>
        <w:rPr>
          <w:rFonts w:ascii="黑体" w:hAnsi="黑体" w:eastAsia="黑体"/>
          <w:sz w:val="32"/>
        </w:rPr>
        <w:t>九、财政拨款“三公”经费支出决算情况说明</w:t>
      </w:r>
    </w:p>
    <w:p w14:paraId="0EC0A1E1">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本单位公务用车运行维护费与上年一致无变化。公务接待费支出0.00万元，占0.00%，比上年增加0.00万元，增长0.00%，主要原因是：2023年与2024年均未安排公务接待费支出。</w:t>
      </w:r>
    </w:p>
    <w:p w14:paraId="228E8596">
      <w:pPr>
        <w:spacing w:line="580" w:lineRule="exact"/>
        <w:ind w:firstLine="640"/>
        <w:jc w:val="both"/>
      </w:pPr>
      <w:r>
        <w:rPr>
          <w:rFonts w:ascii="仿宋_GB2312" w:hAnsi="仿宋_GB2312" w:eastAsia="仿宋_GB2312"/>
          <w:b/>
          <w:sz w:val="32"/>
        </w:rPr>
        <w:t>具体情况如下：</w:t>
      </w:r>
    </w:p>
    <w:p w14:paraId="3CC00E8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6ADD7A">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公务用车购置数0辆，公务用车保有量1辆。国有资产占用情况中固定资产车辆3辆，与公务用车保有量差异原因是：单位业务用车，预算未安排公务用车运行维护费。</w:t>
      </w:r>
    </w:p>
    <w:p w14:paraId="4B77E0B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CC9C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44290D46">
      <w:pPr>
        <w:spacing w:line="640" w:lineRule="exact"/>
        <w:ind w:firstLine="640"/>
        <w:jc w:val="both"/>
        <w:outlineLvl w:val="2"/>
      </w:pPr>
      <w:r>
        <w:rPr>
          <w:rFonts w:ascii="黑体" w:hAnsi="黑体" w:eastAsia="黑体"/>
          <w:sz w:val="32"/>
        </w:rPr>
        <w:t>十、其他重要事项的情况说明</w:t>
      </w:r>
    </w:p>
    <w:p w14:paraId="5B4523A0">
      <w:pPr>
        <w:spacing w:line="640" w:lineRule="exact"/>
        <w:ind w:firstLine="640"/>
        <w:jc w:val="both"/>
        <w:outlineLvl w:val="3"/>
      </w:pPr>
      <w:r>
        <w:rPr>
          <w:rFonts w:ascii="楷体_GB2312" w:hAnsi="楷体_GB2312" w:eastAsia="楷体_GB2312"/>
          <w:b/>
          <w:sz w:val="32"/>
        </w:rPr>
        <w:t>（一）机关运行经费及公用经费支出情况</w:t>
      </w:r>
    </w:p>
    <w:p w14:paraId="60E9EFEC">
      <w:pPr>
        <w:spacing w:line="580" w:lineRule="exact"/>
        <w:ind w:firstLine="640"/>
        <w:jc w:val="both"/>
      </w:pPr>
      <w:r>
        <w:rPr>
          <w:rFonts w:ascii="仿宋_GB2312" w:hAnsi="仿宋_GB2312" w:eastAsia="仿宋_GB2312"/>
          <w:b w:val="0"/>
          <w:sz w:val="32"/>
        </w:rPr>
        <w:t>2024年度疏勒县军粮供应站（行政单位和参照公务员法管理事业单位）机关运行经费支出3.40万元，比上年增加0.54万元，增长18.88%，主要原因是：本年更新、维护补充办公用品，导致机关运行经费较上年增加。</w:t>
      </w:r>
    </w:p>
    <w:p w14:paraId="0E8F09AE">
      <w:pPr>
        <w:spacing w:line="640" w:lineRule="exact"/>
        <w:ind w:firstLine="640"/>
        <w:jc w:val="both"/>
        <w:outlineLvl w:val="3"/>
      </w:pPr>
      <w:r>
        <w:rPr>
          <w:rFonts w:ascii="楷体_GB2312" w:hAnsi="楷体_GB2312" w:eastAsia="楷体_GB2312"/>
          <w:b/>
          <w:sz w:val="32"/>
        </w:rPr>
        <w:t>（二）政府采购情况</w:t>
      </w:r>
    </w:p>
    <w:p w14:paraId="5AE04F6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E6C23C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FC1F7D7">
      <w:pPr>
        <w:spacing w:line="640" w:lineRule="exact"/>
        <w:ind w:firstLine="640"/>
        <w:jc w:val="both"/>
        <w:outlineLvl w:val="3"/>
      </w:pPr>
      <w:r>
        <w:rPr>
          <w:rFonts w:ascii="楷体_GB2312" w:hAnsi="楷体_GB2312" w:eastAsia="楷体_GB2312"/>
          <w:b/>
          <w:sz w:val="32"/>
        </w:rPr>
        <w:t>（三）国有资产占用情况说明</w:t>
      </w:r>
    </w:p>
    <w:p w14:paraId="7651D06D">
      <w:pPr>
        <w:spacing w:line="580" w:lineRule="exact"/>
        <w:ind w:firstLine="640"/>
        <w:jc w:val="both"/>
      </w:pPr>
      <w:r>
        <w:rPr>
          <w:rFonts w:ascii="仿宋_GB2312" w:hAnsi="仿宋_GB2312" w:eastAsia="仿宋_GB2312"/>
          <w:b w:val="0"/>
          <w:sz w:val="32"/>
        </w:rPr>
        <w:t>截至2024年12月31日，房屋2,351.36平方米，价值371.81万元。车辆3辆，价值27.83万元，其中：副部（省）级及以上领导用车0辆、主要负责人用车0辆、机要通信用车0辆、应急保障用车0辆、执法执勤用车0辆、特种专业技术用车0辆、离退休干部服务用车0辆、其他用车3辆，其他用车主要是：一般公务用车和单位业务用车。单价100万元（含）以上设备（不含车辆）0台（套）。</w:t>
      </w:r>
    </w:p>
    <w:p w14:paraId="6C0292A6">
      <w:pPr>
        <w:spacing w:line="640" w:lineRule="exact"/>
        <w:ind w:firstLine="640"/>
        <w:jc w:val="both"/>
        <w:outlineLvl w:val="2"/>
      </w:pPr>
      <w:r>
        <w:rPr>
          <w:rFonts w:ascii="黑体" w:hAnsi="黑体" w:eastAsia="黑体"/>
          <w:sz w:val="32"/>
        </w:rPr>
        <w:t>十一、预算绩效的情况说明</w:t>
      </w:r>
    </w:p>
    <w:p w14:paraId="610498E3">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117.61万元，实际执行总额117.61万元；预算绩效评价项目0个，全年预算数0.00万元，全年执行数0.00万元。预算绩效管理取得的成效：本单位无预算绩效项目自评表。发现的问题及原因：本单位无预算绩效项目自评表。下一步改进措施：本单位无预算绩效项目自评表。</w:t>
      </w:r>
      <w:r>
        <w:rPr>
          <w:rFonts w:hint="eastAsia" w:ascii="仿宋_GB2312" w:hAnsi="仿宋_GB2312" w:eastAsia="仿宋_GB2312"/>
          <w:b w:val="0"/>
          <w:sz w:val="32"/>
          <w:lang w:eastAsia="zh-CN"/>
        </w:rPr>
        <w:t>具体附整体支出绩效自评表。</w:t>
      </w:r>
    </w:p>
    <w:p w14:paraId="1AC52B4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074"/>
        <w:gridCol w:w="892"/>
        <w:gridCol w:w="983"/>
        <w:gridCol w:w="983"/>
        <w:gridCol w:w="983"/>
        <w:gridCol w:w="983"/>
        <w:gridCol w:w="983"/>
      </w:tblGrid>
      <w:tr w14:paraId="41B7202A">
        <w:tblPrEx>
          <w:tblCellMar>
            <w:top w:w="0" w:type="dxa"/>
            <w:left w:w="108" w:type="dxa"/>
            <w:bottom w:w="0" w:type="dxa"/>
            <w:right w:w="108" w:type="dxa"/>
          </w:tblCellMar>
        </w:tblPrEx>
        <w:tc>
          <w:tcPr>
            <w:tcW w:w="8847" w:type="dxa"/>
            <w:gridSpan w:val="9"/>
            <w:vAlign w:val="center"/>
          </w:tcPr>
          <w:p w14:paraId="1964FB7C">
            <w:pPr>
              <w:jc w:val="center"/>
            </w:pPr>
            <w:r>
              <w:rPr>
                <w:rFonts w:ascii="宋体" w:hAnsi="宋体" w:eastAsia="宋体"/>
                <w:sz w:val="24"/>
              </w:rPr>
              <w:t>单位整体支出绩效自评表</w:t>
            </w:r>
          </w:p>
        </w:tc>
      </w:tr>
      <w:tr w14:paraId="7D6D5D97">
        <w:tblPrEx>
          <w:tblCellMar>
            <w:top w:w="0" w:type="dxa"/>
            <w:left w:w="108" w:type="dxa"/>
            <w:bottom w:w="0" w:type="dxa"/>
            <w:right w:w="108" w:type="dxa"/>
          </w:tblCellMar>
        </w:tblPrEx>
        <w:tc>
          <w:tcPr>
            <w:tcW w:w="8847" w:type="dxa"/>
            <w:gridSpan w:val="9"/>
            <w:vAlign w:val="center"/>
          </w:tcPr>
          <w:p w14:paraId="0EFA9ACD">
            <w:pPr>
              <w:jc w:val="center"/>
            </w:pPr>
            <w:r>
              <w:rPr>
                <w:rFonts w:ascii="宋体" w:hAnsi="宋体" w:eastAsia="宋体"/>
                <w:sz w:val="24"/>
              </w:rPr>
              <w:t>（2024年度）</w:t>
            </w:r>
          </w:p>
        </w:tc>
      </w:tr>
      <w:tr w14:paraId="0E38F5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CED5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AA98B4">
            <w:pPr>
              <w:jc w:val="center"/>
            </w:pPr>
            <w:r>
              <w:rPr>
                <w:rFonts w:ascii="宋体" w:hAnsi="宋体" w:eastAsia="宋体"/>
                <w:sz w:val="16"/>
              </w:rPr>
              <w:t>疏勒县军粮供应站</w:t>
            </w:r>
          </w:p>
        </w:tc>
      </w:tr>
      <w:tr w14:paraId="0EFD27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F852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E1C5C">
            <w:pPr>
              <w:jc w:val="center"/>
            </w:pPr>
            <w:r>
              <w:rPr>
                <w:rFonts w:ascii="宋体" w:hAnsi="宋体" w:eastAsia="宋体"/>
                <w:sz w:val="16"/>
              </w:rPr>
              <w:t>资金来源</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67E46830">
            <w:pPr>
              <w:jc w:val="center"/>
            </w:pPr>
            <w:r>
              <w:rPr>
                <w:rFonts w:ascii="宋体" w:hAnsi="宋体" w:eastAsia="宋体"/>
                <w:sz w:val="16"/>
              </w:rPr>
              <w:t>年初预算数</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35CCE0F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D7DA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81B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436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D044C">
            <w:pPr>
              <w:jc w:val="center"/>
            </w:pPr>
            <w:r>
              <w:rPr>
                <w:rFonts w:ascii="宋体" w:hAnsi="宋体" w:eastAsia="宋体"/>
                <w:sz w:val="16"/>
              </w:rPr>
              <w:t>得分</w:t>
            </w:r>
          </w:p>
        </w:tc>
      </w:tr>
      <w:tr w14:paraId="2D0994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3B5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A305">
            <w:pPr>
              <w:jc w:val="center"/>
            </w:pPr>
            <w:r>
              <w:rPr>
                <w:rFonts w:ascii="宋体" w:hAnsi="宋体" w:eastAsia="宋体"/>
                <w:sz w:val="16"/>
              </w:rPr>
              <w:t>年度总资金：</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3B9E2B83">
            <w:pPr>
              <w:jc w:val="center"/>
            </w:pPr>
            <w:r>
              <w:rPr>
                <w:rFonts w:ascii="宋体" w:hAnsi="宋体" w:eastAsia="宋体"/>
                <w:sz w:val="16"/>
              </w:rPr>
              <w:t>117.05</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2E2FDE2A">
            <w:pPr>
              <w:jc w:val="center"/>
            </w:pPr>
            <w:r>
              <w:rPr>
                <w:rFonts w:ascii="宋体" w:hAnsi="宋体" w:eastAsia="宋体"/>
                <w:sz w:val="16"/>
              </w:rPr>
              <w:t>117.61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7418A">
            <w:pPr>
              <w:jc w:val="center"/>
            </w:pPr>
            <w:r>
              <w:rPr>
                <w:rFonts w:ascii="宋体" w:hAnsi="宋体" w:eastAsia="宋体"/>
                <w:sz w:val="16"/>
              </w:rPr>
              <w:t>117.61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0DC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DB08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13452">
            <w:pPr>
              <w:jc w:val="center"/>
            </w:pPr>
            <w:r>
              <w:rPr>
                <w:rFonts w:ascii="宋体" w:hAnsi="宋体" w:eastAsia="宋体"/>
                <w:sz w:val="16"/>
              </w:rPr>
              <w:t>10</w:t>
            </w:r>
          </w:p>
        </w:tc>
      </w:tr>
      <w:tr w14:paraId="0B7B95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BEC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FFE1B">
            <w:pPr>
              <w:jc w:val="center"/>
            </w:pPr>
            <w:r>
              <w:rPr>
                <w:rFonts w:ascii="宋体" w:hAnsi="宋体" w:eastAsia="宋体"/>
                <w:sz w:val="16"/>
              </w:rPr>
              <w:t>上级资金：</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4722B803">
            <w:pPr>
              <w:jc w:val="center"/>
            </w:pPr>
            <w:r>
              <w:rPr>
                <w:rFonts w:ascii="宋体" w:hAnsi="宋体" w:eastAsia="宋体"/>
                <w:sz w:val="16"/>
              </w:rPr>
              <w:t>0.00</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6DCFD5A9">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C35B">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F08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4C54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10FA">
            <w:pPr>
              <w:jc w:val="center"/>
            </w:pPr>
            <w:r>
              <w:rPr>
                <w:rFonts w:ascii="宋体" w:hAnsi="宋体" w:eastAsia="宋体"/>
                <w:sz w:val="16"/>
              </w:rPr>
              <w:t>—</w:t>
            </w:r>
          </w:p>
        </w:tc>
      </w:tr>
      <w:tr w14:paraId="71450B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5E3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180FB">
            <w:pPr>
              <w:jc w:val="center"/>
            </w:pPr>
            <w:r>
              <w:rPr>
                <w:rFonts w:ascii="宋体" w:hAnsi="宋体" w:eastAsia="宋体"/>
                <w:sz w:val="16"/>
              </w:rPr>
              <w:t>本级资金：</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0DAF8B6C">
            <w:pPr>
              <w:jc w:val="center"/>
            </w:pPr>
            <w:r>
              <w:rPr>
                <w:rFonts w:ascii="宋体" w:hAnsi="宋体" w:eastAsia="宋体"/>
                <w:sz w:val="16"/>
              </w:rPr>
              <w:t>117.05</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1A2E2753">
            <w:pPr>
              <w:jc w:val="center"/>
            </w:pPr>
            <w:r>
              <w:rPr>
                <w:rFonts w:ascii="宋体" w:hAnsi="宋体" w:eastAsia="宋体"/>
                <w:sz w:val="16"/>
              </w:rPr>
              <w:t>115.61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47D3">
            <w:pPr>
              <w:jc w:val="center"/>
            </w:pPr>
            <w:r>
              <w:rPr>
                <w:rFonts w:ascii="宋体" w:hAnsi="宋体" w:eastAsia="宋体"/>
                <w:sz w:val="16"/>
              </w:rPr>
              <w:t>115.61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F5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7202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069B8">
            <w:pPr>
              <w:jc w:val="center"/>
            </w:pPr>
            <w:r>
              <w:rPr>
                <w:rFonts w:ascii="宋体" w:hAnsi="宋体" w:eastAsia="宋体"/>
                <w:sz w:val="16"/>
              </w:rPr>
              <w:t>—</w:t>
            </w:r>
          </w:p>
        </w:tc>
      </w:tr>
      <w:tr w14:paraId="306B9E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E0B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991C4">
            <w:pPr>
              <w:jc w:val="center"/>
            </w:pPr>
            <w:r>
              <w:rPr>
                <w:rFonts w:ascii="宋体" w:hAnsi="宋体" w:eastAsia="宋体"/>
                <w:sz w:val="16"/>
              </w:rPr>
              <w:t>其他资金：</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2E5374D9">
            <w:pPr>
              <w:jc w:val="center"/>
            </w:pPr>
            <w:r>
              <w:rPr>
                <w:rFonts w:ascii="宋体" w:hAnsi="宋体" w:eastAsia="宋体"/>
                <w:sz w:val="16"/>
              </w:rPr>
              <w:t>0.00</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62BA3B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2EC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B6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60C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FBCAB">
            <w:pPr>
              <w:jc w:val="center"/>
            </w:pPr>
            <w:r>
              <w:rPr>
                <w:rFonts w:ascii="宋体" w:hAnsi="宋体" w:eastAsia="宋体"/>
                <w:sz w:val="16"/>
              </w:rPr>
              <w:t>—</w:t>
            </w:r>
          </w:p>
        </w:tc>
      </w:tr>
      <w:tr w14:paraId="336808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4390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7563D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1E6F7F">
            <w:pPr>
              <w:jc w:val="center"/>
            </w:pPr>
            <w:r>
              <w:rPr>
                <w:rFonts w:ascii="宋体" w:hAnsi="宋体" w:eastAsia="宋体"/>
                <w:sz w:val="16"/>
              </w:rPr>
              <w:t>实际完成情况</w:t>
            </w:r>
          </w:p>
        </w:tc>
      </w:tr>
      <w:tr w14:paraId="101BF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E934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6F82FF">
            <w:pPr>
              <w:jc w:val="both"/>
            </w:pPr>
            <w:r>
              <w:rPr>
                <w:rFonts w:ascii="宋体" w:hAnsi="宋体" w:eastAsia="宋体"/>
                <w:sz w:val="16"/>
              </w:rPr>
              <w:t>2024年部门预算数为117.05万元，用于保障在职及退休工作人员基本支出的正常发放，保障1个单位的运转，完成日常工作任务确保机构正常运转，坚持“以兵为本”的服务宗旨，认真贯彻落实军粮供应管理暂行办法，保障县域范围内军队粮食供应，负责军粮调运、储存和供应工作，保证按时、按质、按量、按品种供应军粮，努力提高服务质量和服务水平，全力做好各项应急保障工作，圆满完成军粮供应工作的各项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3214B0">
            <w:pPr>
              <w:jc w:val="both"/>
            </w:pPr>
            <w:r>
              <w:rPr>
                <w:rFonts w:ascii="宋体" w:hAnsi="宋体" w:eastAsia="宋体"/>
                <w:sz w:val="16"/>
              </w:rPr>
              <w:t>严格执行国家军粮供应政策，不断提升军粮供应管理和服务水平，圆满完成了县域范围内所有保障单位的军粮供应任务。根据县委的安排部署，党支部制定学习方案与计划，每周按时开展党员学习，狠抓</w:t>
            </w:r>
            <w:r>
              <w:rPr>
                <w:rFonts w:hint="eastAsia" w:ascii="宋体" w:hAnsi="宋体"/>
                <w:sz w:val="16"/>
                <w:lang w:eastAsia="zh-CN"/>
              </w:rPr>
              <w:t>主题</w:t>
            </w:r>
            <w:r>
              <w:rPr>
                <w:rFonts w:ascii="宋体" w:hAnsi="宋体" w:eastAsia="宋体"/>
                <w:sz w:val="16"/>
              </w:rPr>
              <w:t>教育，强化党员干部思想管理。认真贯彻落实《军粮供应管理暂行办法》，军粮接收手续完善，已进行2次质量检验，建议质检报告齐全，做到了军粮接收入库一批一检。坚持质量标准，严格进货检验制度。始终坚持“以兵为本”的服务宗旨，军供站做到了室内货柜、货架摆放规范，地面、桌面整洁卫生，粮食码垛整齐，义务装车、免费送粮率已达到100%。年末走访部队，倾听部队官兵意见，以方便部队为出发点，开展品种串换服务，不断提高服务水平，全力做好各项应急保障工作，圆满完成了军粮供应的各项任务。</w:t>
            </w:r>
          </w:p>
        </w:tc>
      </w:tr>
      <w:tr w14:paraId="71A729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9D5F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E15A3">
            <w:pPr>
              <w:jc w:val="center"/>
            </w:pPr>
            <w:r>
              <w:rPr>
                <w:rFonts w:ascii="宋体" w:hAnsi="宋体" w:eastAsia="宋体"/>
                <w:sz w:val="16"/>
              </w:rPr>
              <w:t>二级指标</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436ABA67">
            <w:pPr>
              <w:jc w:val="center"/>
            </w:pPr>
            <w:r>
              <w:rPr>
                <w:rFonts w:ascii="宋体" w:hAnsi="宋体" w:eastAsia="宋体"/>
                <w:sz w:val="16"/>
              </w:rPr>
              <w:t>三级指标</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0ECD13A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E05F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CD5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DCF4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0F07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B8A6D">
            <w:pPr>
              <w:jc w:val="center"/>
            </w:pPr>
            <w:r>
              <w:rPr>
                <w:rFonts w:ascii="宋体" w:hAnsi="宋体" w:eastAsia="宋体"/>
                <w:sz w:val="16"/>
              </w:rPr>
              <w:t>得分</w:t>
            </w:r>
          </w:p>
        </w:tc>
      </w:tr>
      <w:tr w14:paraId="754455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9942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3A84D">
            <w:pPr>
              <w:jc w:val="center"/>
            </w:pPr>
            <w:r>
              <w:rPr>
                <w:rFonts w:ascii="宋体" w:hAnsi="宋体" w:eastAsia="宋体"/>
                <w:sz w:val="16"/>
              </w:rPr>
              <w:t>数量指标</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5720965F">
            <w:pPr>
              <w:jc w:val="center"/>
            </w:pPr>
            <w:r>
              <w:rPr>
                <w:rFonts w:ascii="宋体" w:hAnsi="宋体" w:eastAsia="宋体"/>
                <w:sz w:val="16"/>
              </w:rPr>
              <w:t>走访部队次数</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6C9E9516">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03E8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A8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305A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DEF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D29BA">
            <w:pPr>
              <w:jc w:val="center"/>
            </w:pPr>
            <w:r>
              <w:rPr>
                <w:rFonts w:ascii="宋体" w:hAnsi="宋体" w:eastAsia="宋体"/>
                <w:sz w:val="16"/>
              </w:rPr>
              <w:t>10</w:t>
            </w:r>
          </w:p>
        </w:tc>
      </w:tr>
      <w:tr w14:paraId="560A9A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5F1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BB9BA"/>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43B8D368">
            <w:pPr>
              <w:jc w:val="center"/>
            </w:pPr>
            <w:r>
              <w:rPr>
                <w:rFonts w:ascii="宋体" w:hAnsi="宋体" w:eastAsia="宋体"/>
                <w:sz w:val="16"/>
              </w:rPr>
              <w:t>政治学习工作开展次数</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5E0F2290">
            <w:pPr>
              <w:jc w:val="center"/>
            </w:pPr>
            <w:r>
              <w:rPr>
                <w:rFonts w:ascii="宋体" w:hAnsi="宋体" w:eastAsia="宋体"/>
                <w:sz w:val="16"/>
              </w:rPr>
              <w:t>&gt;=1次/周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15E8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DA2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BE3D4">
            <w:pPr>
              <w:jc w:val="center"/>
            </w:pPr>
            <w:r>
              <w:rPr>
                <w:rFonts w:ascii="宋体" w:hAnsi="宋体" w:eastAsia="宋体"/>
                <w:sz w:val="16"/>
              </w:rPr>
              <w:t>1次/周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97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6A37D">
            <w:pPr>
              <w:jc w:val="center"/>
            </w:pPr>
            <w:r>
              <w:rPr>
                <w:rFonts w:ascii="宋体" w:hAnsi="宋体" w:eastAsia="宋体"/>
                <w:sz w:val="16"/>
              </w:rPr>
              <w:t>20</w:t>
            </w:r>
          </w:p>
        </w:tc>
      </w:tr>
      <w:tr w14:paraId="36BFF9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B08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045FE"/>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48C530BC">
            <w:pPr>
              <w:jc w:val="center"/>
            </w:pPr>
            <w:r>
              <w:rPr>
                <w:rFonts w:ascii="宋体" w:hAnsi="宋体" w:eastAsia="宋体"/>
                <w:sz w:val="16"/>
              </w:rPr>
              <w:t>供应运输任务完成率</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51E5CC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8F5D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B4A3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43C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538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0194B">
            <w:pPr>
              <w:jc w:val="center"/>
            </w:pPr>
            <w:r>
              <w:rPr>
                <w:rFonts w:ascii="宋体" w:hAnsi="宋体" w:eastAsia="宋体"/>
                <w:sz w:val="16"/>
              </w:rPr>
              <w:t>20</w:t>
            </w:r>
          </w:p>
        </w:tc>
      </w:tr>
      <w:tr w14:paraId="42DDAA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1CA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F6112"/>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35D53D03">
            <w:pPr>
              <w:jc w:val="center"/>
            </w:pPr>
            <w:r>
              <w:rPr>
                <w:rFonts w:ascii="宋体" w:hAnsi="宋体" w:eastAsia="宋体"/>
                <w:sz w:val="16"/>
              </w:rPr>
              <w:t>军粮质量检验次数</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44940832">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7236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D3F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3613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6F8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951C2">
            <w:pPr>
              <w:jc w:val="center"/>
            </w:pPr>
            <w:r>
              <w:rPr>
                <w:rFonts w:ascii="宋体" w:hAnsi="宋体" w:eastAsia="宋体"/>
                <w:sz w:val="16"/>
              </w:rPr>
              <w:t>10</w:t>
            </w:r>
          </w:p>
        </w:tc>
      </w:tr>
      <w:tr w14:paraId="52CAFB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958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E2331"/>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3EC7725A">
            <w:pPr>
              <w:jc w:val="center"/>
            </w:pPr>
            <w:r>
              <w:rPr>
                <w:rFonts w:ascii="宋体" w:hAnsi="宋体" w:eastAsia="宋体"/>
                <w:sz w:val="16"/>
              </w:rPr>
              <w:t>县域范围部队覆盖率</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655913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FD9E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780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F49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4F2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F5B50">
            <w:pPr>
              <w:jc w:val="center"/>
            </w:pPr>
            <w:r>
              <w:rPr>
                <w:rFonts w:ascii="宋体" w:hAnsi="宋体" w:eastAsia="宋体"/>
                <w:sz w:val="16"/>
              </w:rPr>
              <w:t>20</w:t>
            </w:r>
          </w:p>
        </w:tc>
      </w:tr>
      <w:tr w14:paraId="5011F5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D783A">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25B05">
            <w:pPr>
              <w:jc w:val="center"/>
            </w:pPr>
            <w:r>
              <w:rPr>
                <w:rFonts w:ascii="宋体" w:hAnsi="宋体" w:eastAsia="宋体"/>
                <w:sz w:val="16"/>
              </w:rPr>
              <w:t>质量指标</w:t>
            </w:r>
          </w:p>
        </w:tc>
        <w:tc>
          <w:tcPr>
            <w:tcW w:w="1074" w:type="dxa"/>
            <w:tcBorders>
              <w:top w:val="single" w:color="auto" w:sz="10" w:space="0"/>
              <w:left w:val="single" w:color="auto" w:sz="10" w:space="0"/>
              <w:bottom w:val="single" w:color="auto" w:sz="10" w:space="0"/>
              <w:right w:val="single" w:color="auto" w:sz="10" w:space="0"/>
              <w:insideV w:val="single" w:sz="10" w:space="0"/>
            </w:tcBorders>
            <w:vAlign w:val="center"/>
          </w:tcPr>
          <w:p w14:paraId="4587D752">
            <w:pPr>
              <w:jc w:val="center"/>
            </w:pPr>
            <w:r>
              <w:rPr>
                <w:rFonts w:ascii="宋体" w:hAnsi="宋体" w:eastAsia="宋体"/>
                <w:sz w:val="16"/>
              </w:rPr>
              <w:t>义务装车、免费送粮</w:t>
            </w:r>
          </w:p>
        </w:tc>
        <w:tc>
          <w:tcPr>
            <w:tcW w:w="892" w:type="dxa"/>
            <w:tcBorders>
              <w:top w:val="single" w:color="auto" w:sz="10" w:space="0"/>
              <w:left w:val="single" w:color="auto" w:sz="10" w:space="0"/>
              <w:bottom w:val="single" w:color="auto" w:sz="10" w:space="0"/>
              <w:right w:val="single" w:color="auto" w:sz="10" w:space="0"/>
              <w:insideV w:val="single" w:sz="10" w:space="0"/>
            </w:tcBorders>
            <w:vAlign w:val="center"/>
          </w:tcPr>
          <w:p w14:paraId="7F03AB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43D8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B0D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86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832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28D5A">
            <w:pPr>
              <w:jc w:val="center"/>
            </w:pPr>
            <w:r>
              <w:rPr>
                <w:rFonts w:ascii="宋体" w:hAnsi="宋体" w:eastAsia="宋体"/>
                <w:sz w:val="16"/>
              </w:rPr>
              <w:t>10</w:t>
            </w:r>
          </w:p>
        </w:tc>
      </w:tr>
    </w:tbl>
    <w:p w14:paraId="2733F130">
      <w:r>
        <w:br w:type="page"/>
      </w:r>
    </w:p>
    <w:p w14:paraId="3388EE2E">
      <w:pPr>
        <w:spacing w:line="640" w:lineRule="exact"/>
        <w:ind w:firstLine="640"/>
        <w:jc w:val="both"/>
        <w:outlineLvl w:val="2"/>
      </w:pPr>
      <w:r>
        <w:rPr>
          <w:rFonts w:ascii="黑体" w:hAnsi="黑体" w:eastAsia="黑体"/>
          <w:sz w:val="32"/>
        </w:rPr>
        <w:t>十二、其他需说明的事项</w:t>
      </w:r>
    </w:p>
    <w:p w14:paraId="2FD1CEA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E065019">
      <w:r>
        <w:br w:type="page"/>
      </w:r>
    </w:p>
    <w:p w14:paraId="682603E2">
      <w:pPr>
        <w:spacing w:line="240" w:lineRule="auto"/>
        <w:jc w:val="center"/>
        <w:outlineLvl w:val="1"/>
      </w:pPr>
      <w:r>
        <w:rPr>
          <w:rFonts w:ascii="黑体" w:hAnsi="黑体" w:eastAsia="黑体"/>
          <w:sz w:val="32"/>
        </w:rPr>
        <w:t>第三部分 专业名词解释</w:t>
      </w:r>
    </w:p>
    <w:p w14:paraId="17ED03B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AA45A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C814D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BFEE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03867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D61D3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9A5F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2E2B7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2CA90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3F32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42FF8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5CB4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C37D2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738A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759B5F">
      <w:r>
        <w:br w:type="page"/>
      </w:r>
    </w:p>
    <w:p w14:paraId="511C6EA2">
      <w:pPr>
        <w:spacing w:line="240" w:lineRule="auto"/>
        <w:jc w:val="center"/>
        <w:outlineLvl w:val="1"/>
      </w:pPr>
      <w:r>
        <w:rPr>
          <w:rFonts w:ascii="黑体" w:hAnsi="黑体" w:eastAsia="黑体"/>
          <w:sz w:val="32"/>
        </w:rPr>
        <w:t>第四部分 部门决算报表（见附表）</w:t>
      </w:r>
    </w:p>
    <w:p w14:paraId="57434E43">
      <w:pPr>
        <w:spacing w:line="240" w:lineRule="auto"/>
        <w:ind w:firstLine="640"/>
        <w:jc w:val="both"/>
      </w:pPr>
      <w:r>
        <w:rPr>
          <w:rFonts w:ascii="仿宋_GB2312" w:hAnsi="仿宋_GB2312" w:eastAsia="仿宋_GB2312"/>
          <w:b w:val="0"/>
          <w:sz w:val="32"/>
        </w:rPr>
        <w:t>一、《收入支出决算总表》</w:t>
      </w:r>
    </w:p>
    <w:p w14:paraId="631F343E">
      <w:pPr>
        <w:spacing w:line="240" w:lineRule="auto"/>
        <w:ind w:firstLine="640"/>
        <w:jc w:val="both"/>
      </w:pPr>
      <w:r>
        <w:rPr>
          <w:rFonts w:ascii="仿宋_GB2312" w:hAnsi="仿宋_GB2312" w:eastAsia="仿宋_GB2312"/>
          <w:b w:val="0"/>
          <w:sz w:val="32"/>
        </w:rPr>
        <w:t>二、《收入决算表》</w:t>
      </w:r>
    </w:p>
    <w:p w14:paraId="27826C93">
      <w:pPr>
        <w:spacing w:line="240" w:lineRule="auto"/>
        <w:ind w:firstLine="640"/>
        <w:jc w:val="both"/>
      </w:pPr>
      <w:r>
        <w:rPr>
          <w:rFonts w:ascii="仿宋_GB2312" w:hAnsi="仿宋_GB2312" w:eastAsia="仿宋_GB2312"/>
          <w:b w:val="0"/>
          <w:sz w:val="32"/>
        </w:rPr>
        <w:t>三、《支出决算表》</w:t>
      </w:r>
    </w:p>
    <w:p w14:paraId="41B9EE33">
      <w:pPr>
        <w:spacing w:line="240" w:lineRule="auto"/>
        <w:ind w:firstLine="640"/>
        <w:jc w:val="both"/>
      </w:pPr>
      <w:r>
        <w:rPr>
          <w:rFonts w:ascii="仿宋_GB2312" w:hAnsi="仿宋_GB2312" w:eastAsia="仿宋_GB2312"/>
          <w:b w:val="0"/>
          <w:sz w:val="32"/>
        </w:rPr>
        <w:t>四、《财政拨款收入支出决算总表》</w:t>
      </w:r>
    </w:p>
    <w:p w14:paraId="2931173D">
      <w:pPr>
        <w:spacing w:line="240" w:lineRule="auto"/>
        <w:ind w:firstLine="640"/>
        <w:jc w:val="both"/>
      </w:pPr>
      <w:r>
        <w:rPr>
          <w:rFonts w:ascii="仿宋_GB2312" w:hAnsi="仿宋_GB2312" w:eastAsia="仿宋_GB2312"/>
          <w:b w:val="0"/>
          <w:sz w:val="32"/>
        </w:rPr>
        <w:t>五、《一般公共预算财政拨款支出决算表》</w:t>
      </w:r>
    </w:p>
    <w:p w14:paraId="7DAEB4F2">
      <w:pPr>
        <w:spacing w:line="240" w:lineRule="auto"/>
        <w:ind w:firstLine="640"/>
        <w:jc w:val="both"/>
      </w:pPr>
      <w:r>
        <w:rPr>
          <w:rFonts w:ascii="仿宋_GB2312" w:hAnsi="仿宋_GB2312" w:eastAsia="仿宋_GB2312"/>
          <w:b w:val="0"/>
          <w:sz w:val="32"/>
        </w:rPr>
        <w:t>六、《一般公共预算财政拨款基本支出决算表》</w:t>
      </w:r>
    </w:p>
    <w:p w14:paraId="28CC2F50">
      <w:pPr>
        <w:spacing w:line="240" w:lineRule="auto"/>
        <w:ind w:firstLine="640"/>
        <w:jc w:val="both"/>
      </w:pPr>
      <w:r>
        <w:rPr>
          <w:rFonts w:ascii="仿宋_GB2312" w:hAnsi="仿宋_GB2312" w:eastAsia="仿宋_GB2312"/>
          <w:b w:val="0"/>
          <w:sz w:val="32"/>
        </w:rPr>
        <w:t>七、《政府性基金预算财政拨款收入支出决算表》</w:t>
      </w:r>
    </w:p>
    <w:p w14:paraId="2532DEAE">
      <w:pPr>
        <w:spacing w:line="240" w:lineRule="auto"/>
        <w:ind w:firstLine="640"/>
        <w:jc w:val="both"/>
      </w:pPr>
      <w:r>
        <w:rPr>
          <w:rFonts w:ascii="仿宋_GB2312" w:hAnsi="仿宋_GB2312" w:eastAsia="仿宋_GB2312"/>
          <w:b w:val="0"/>
          <w:sz w:val="32"/>
        </w:rPr>
        <w:t>八、《国有资本经营预算财政拨款收入支出决算表》</w:t>
      </w:r>
    </w:p>
    <w:p w14:paraId="35367BB0">
      <w:pPr>
        <w:spacing w:line="240" w:lineRule="auto"/>
        <w:ind w:firstLine="640"/>
        <w:jc w:val="both"/>
      </w:pPr>
      <w:r>
        <w:rPr>
          <w:rFonts w:ascii="仿宋_GB2312" w:hAnsi="仿宋_GB2312" w:eastAsia="仿宋_GB2312"/>
          <w:b w:val="0"/>
          <w:sz w:val="32"/>
        </w:rPr>
        <w:t>九、《财政拨款“三公”经费支出决算表》</w:t>
      </w:r>
    </w:p>
    <w:p w14:paraId="1952E3A2">
      <w:pPr>
        <w:spacing w:line="240" w:lineRule="auto"/>
        <w:ind w:firstLine="640"/>
        <w:jc w:val="both"/>
      </w:pPr>
    </w:p>
    <w:p w14:paraId="32663CE1">
      <w:pPr>
        <w:spacing w:line="240" w:lineRule="auto"/>
        <w:ind w:firstLine="640"/>
        <w:jc w:val="both"/>
      </w:pPr>
    </w:p>
    <w:p w14:paraId="347E4D23">
      <w:pPr>
        <w:spacing w:line="240" w:lineRule="auto"/>
        <w:ind w:firstLine="640"/>
        <w:jc w:val="both"/>
      </w:pPr>
    </w:p>
    <w:p w14:paraId="03CE4961">
      <w:pPr>
        <w:spacing w:line="240" w:lineRule="auto"/>
        <w:ind w:firstLine="640"/>
        <w:jc w:val="both"/>
      </w:pPr>
    </w:p>
    <w:p w14:paraId="494AB34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D12408"/>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3E63E6"/>
    <w:rsid w:val="6E801ABC"/>
    <w:rsid w:val="71473612"/>
    <w:rsid w:val="718F7F65"/>
    <w:rsid w:val="73423603"/>
    <w:rsid w:val="737A5923"/>
    <w:rsid w:val="73DE4104"/>
    <w:rsid w:val="73FB6630"/>
    <w:rsid w:val="74CE04EC"/>
    <w:rsid w:val="74E76DCD"/>
    <w:rsid w:val="76660D7C"/>
    <w:rsid w:val="77ED6F44"/>
    <w:rsid w:val="795A0A34"/>
    <w:rsid w:val="7A0D3BC7"/>
    <w:rsid w:val="7A3A3CDB"/>
    <w:rsid w:val="7E2C78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5902</Words>
  <Characters>6665</Characters>
  <Lines>0</Lines>
  <Paragraphs>0</Paragraphs>
  <TotalTime>3</TotalTime>
  <ScaleCrop>false</ScaleCrop>
  <LinksUpToDate>false</LinksUpToDate>
  <CharactersWithSpaces>6675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