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疏勒县应急管理局2024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F850804">
      <w:r>
        <w:br w:type="page"/>
      </w:r>
    </w:p>
    <w:p w14:paraId="1CA0B2CA">
      <w:pPr>
        <w:spacing w:line="640" w:lineRule="exact"/>
        <w:jc w:val="center"/>
        <w:outlineLvl w:val="1"/>
      </w:pPr>
      <w:r>
        <w:rPr>
          <w:rFonts w:ascii="黑体" w:hAnsi="黑体" w:eastAsia="黑体"/>
          <w:sz w:val="32"/>
        </w:rPr>
        <w:t>第一部分 单位概况</w:t>
      </w:r>
    </w:p>
    <w:p w14:paraId="79CF9044">
      <w:pPr>
        <w:spacing w:line="640" w:lineRule="exact"/>
        <w:ind w:firstLine="640"/>
        <w:jc w:val="both"/>
        <w:outlineLvl w:val="2"/>
      </w:pPr>
      <w:r>
        <w:rPr>
          <w:rFonts w:ascii="黑体" w:hAnsi="黑体" w:eastAsia="黑体"/>
          <w:sz w:val="32"/>
        </w:rPr>
        <w:t>一、主要职能</w:t>
      </w:r>
    </w:p>
    <w:p w14:paraId="0323694E">
      <w:pPr>
        <w:spacing w:line="580" w:lineRule="exact"/>
        <w:ind w:firstLine="640"/>
        <w:jc w:val="both"/>
      </w:pPr>
      <w:r>
        <w:rPr>
          <w:rFonts w:ascii="仿宋_GB2312" w:hAnsi="仿宋_GB2312" w:eastAsia="仿宋_GB2312"/>
          <w:sz w:val="32"/>
        </w:rPr>
        <w:t>(一)负责县应急管理工作，指导各乡镇、各部门应对安全生产类、自然灾害类等突发事件和综合防灾减灾救灾工作。负责安全生产综合监督管理和工矿商贸行业安全生产监督管理工作。</w:t>
      </w:r>
    </w:p>
    <w:p w14:paraId="7128366F">
      <w:pPr>
        <w:spacing w:line="580" w:lineRule="exact"/>
        <w:ind w:firstLine="640"/>
        <w:jc w:val="both"/>
      </w:pPr>
      <w:r>
        <w:rPr>
          <w:rFonts w:ascii="仿宋_GB2312" w:hAnsi="仿宋_GB2312" w:eastAsia="仿宋_GB2312"/>
          <w:sz w:val="32"/>
        </w:rPr>
        <w:t>(二)组织编制应急体系建设、安全生产和综合防灾减灾规划，组织制定应急管理、安全生产类规范性文件并监督实施。</w:t>
      </w:r>
    </w:p>
    <w:p w14:paraId="1720AB86">
      <w:pPr>
        <w:spacing w:line="580" w:lineRule="exact"/>
        <w:ind w:firstLine="640"/>
        <w:jc w:val="both"/>
      </w:pPr>
      <w:r>
        <w:rPr>
          <w:rFonts w:ascii="仿宋_GB2312" w:hAnsi="仿宋_GB2312" w:eastAsia="仿宋_GB2312"/>
          <w:sz w:val="32"/>
        </w:rPr>
        <w:t>(三)负责安全生产类、自然灾害类应急预案体系建设，建立完善事故灾难和自然灾害分级应对制度，组织编制县总体应急预案和安全生产类、自然灾害类专项预案，综合协调应急预案衔接工作，组织开展预案演练，推动应急避难设施建设。</w:t>
      </w:r>
    </w:p>
    <w:p w14:paraId="6691CB2D">
      <w:pPr>
        <w:spacing w:line="580" w:lineRule="exact"/>
        <w:ind w:firstLine="640"/>
        <w:jc w:val="both"/>
      </w:pPr>
      <w:r>
        <w:rPr>
          <w:rFonts w:ascii="仿宋_GB2312" w:hAnsi="仿宋_GB2312" w:eastAsia="仿宋_GB2312"/>
          <w:sz w:val="32"/>
        </w:rPr>
        <w:t>(四)牵头建立县统一的应急管理信息系统，负责编制和落实信息传输渠道的规划和布局，建立监测预警和灾情报告制度，健全自然灾害信息资源获取和共享机制，依法统一发布灾情。</w:t>
      </w:r>
    </w:p>
    <w:p w14:paraId="4FAA4273">
      <w:pPr>
        <w:spacing w:line="580" w:lineRule="exact"/>
        <w:ind w:firstLine="640"/>
        <w:jc w:val="both"/>
      </w:pPr>
      <w:r>
        <w:rPr>
          <w:rFonts w:ascii="仿宋_GB2312" w:hAnsi="仿宋_GB2312" w:eastAsia="仿宋_GB2312"/>
          <w:sz w:val="32"/>
        </w:rPr>
        <w:t>(五)组织指导协调安全生产类、自然灾害类等突发事件应急救援，承担县应对较大灾害指挥部工作，综合研判突发事件发展态势并提出应对建议，协助县委、县人民政府组织重大灾害应急处置工作。</w:t>
      </w:r>
    </w:p>
    <w:p w14:paraId="6155C430">
      <w:pPr>
        <w:spacing w:line="580" w:lineRule="exact"/>
        <w:ind w:firstLine="640"/>
        <w:jc w:val="both"/>
      </w:pPr>
      <w:r>
        <w:rPr>
          <w:rFonts w:ascii="仿宋_GB2312" w:hAnsi="仿宋_GB2312" w:eastAsia="仿宋_GB2312"/>
          <w:sz w:val="32"/>
        </w:rPr>
        <w:t>(六)统一协调指挥各类应急专业队伍，建立应急协调联动机制，推进指挥平台对接，衔接解放军和武警部队参与应急救援工作。</w:t>
      </w:r>
    </w:p>
    <w:p w14:paraId="27007FFC">
      <w:pPr>
        <w:spacing w:line="580" w:lineRule="exact"/>
        <w:ind w:firstLine="640"/>
        <w:jc w:val="both"/>
      </w:pPr>
      <w:r>
        <w:rPr>
          <w:rFonts w:ascii="仿宋_GB2312" w:hAnsi="仿宋_GB2312" w:eastAsia="仿宋_GB2312"/>
          <w:sz w:val="32"/>
        </w:rPr>
        <w:t>(七)统筹应急救援力量建设，负责组织消防、森林火灾扑救、抗洪抢险、地震和地质灾害救援、生产安全事故救援等专业应急救援力量建设，管理指挥县综合性应急救援队伍，指导各乡镇及社会应急救援力量建设。</w:t>
      </w:r>
    </w:p>
    <w:p w14:paraId="172A125E">
      <w:pPr>
        <w:spacing w:line="580" w:lineRule="exact"/>
        <w:ind w:firstLine="640"/>
        <w:jc w:val="both"/>
        <w:rPr>
          <w:rFonts w:ascii="仿宋_GB2312" w:hAnsi="仿宋_GB2312" w:eastAsia="仿宋_GB2312"/>
          <w:sz w:val="32"/>
        </w:rPr>
      </w:pPr>
      <w:r>
        <w:rPr>
          <w:rFonts w:ascii="仿宋_GB2312" w:hAnsi="仿宋_GB2312" w:eastAsia="仿宋_GB2312"/>
          <w:sz w:val="32"/>
        </w:rPr>
        <w:t>(八)负责消防管理工作，指导消防监督、火灾预防、火灾扑救等工作。</w:t>
      </w:r>
    </w:p>
    <w:p w14:paraId="2D06D985">
      <w:pPr>
        <w:spacing w:line="580" w:lineRule="exact"/>
        <w:ind w:firstLine="640"/>
        <w:jc w:val="both"/>
      </w:pPr>
      <w:r>
        <w:rPr>
          <w:rFonts w:ascii="仿宋_GB2312" w:hAnsi="仿宋_GB2312" w:eastAsia="仿宋_GB2312"/>
          <w:sz w:val="32"/>
        </w:rPr>
        <w:t>(九)指导协调森林和草原火灾、水旱灾害、地震和地质灾害等工作，负责自然灾害综合监测预警工作，指导开展自然灾害综合风险评估工作。</w:t>
      </w:r>
    </w:p>
    <w:p w14:paraId="665A88B5">
      <w:pPr>
        <w:spacing w:line="580" w:lineRule="exact"/>
        <w:ind w:firstLine="640"/>
        <w:jc w:val="both"/>
      </w:pPr>
      <w:r>
        <w:rPr>
          <w:rFonts w:ascii="仿宋_GB2312" w:hAnsi="仿宋_GB2312" w:eastAsia="仿宋_GB2312"/>
          <w:sz w:val="32"/>
        </w:rPr>
        <w:t>(十)组织协调本县灾害救助工作，组织指导灾情核查、损失评估、救灾捐赠工作，管理、分配自治区、地区、县救灾款物并监督使用。</w:t>
      </w:r>
    </w:p>
    <w:p w14:paraId="3034529F">
      <w:pPr>
        <w:spacing w:line="580" w:lineRule="exact"/>
        <w:ind w:firstLine="640"/>
        <w:jc w:val="both"/>
      </w:pPr>
      <w:r>
        <w:rPr>
          <w:rFonts w:ascii="仿宋_GB2312" w:hAnsi="仿宋_GB2312" w:eastAsia="仿宋_GB2312"/>
          <w:sz w:val="32"/>
        </w:rPr>
        <w:t>(十一)依法行使安全生产综合监督管理职权，指导协调、监督检查各乡镇人民政府和县有关部门安全生产工作，组织开展安全生产巡查、考核工作。</w:t>
      </w:r>
    </w:p>
    <w:p w14:paraId="7A8B9762">
      <w:pPr>
        <w:spacing w:line="580" w:lineRule="exact"/>
        <w:ind w:firstLine="640"/>
        <w:jc w:val="both"/>
      </w:pPr>
      <w:r>
        <w:rPr>
          <w:rFonts w:ascii="仿宋_GB2312" w:hAnsi="仿宋_GB2312" w:eastAsia="仿宋_GB2312"/>
          <w:sz w:val="32"/>
        </w:rPr>
        <w:t>(十二)按照分级、属地原则，依法监督检查工矿商贸生产经营单位贯彻执行安全生产法律法规及其安全生产条件和有关设备(特种设备除外)、材料、劳动用品的安全生产管理工作。负责监督管理工矿商贸行业安全生产工作。依法组织并指导监督实施安全生产准入制度。负责危险化学品安全监督管理综合工作和烟花爆竹经营单位安全监督管理工作。负责煤矿、非煤矿山安全生产监督管理工作。</w:t>
      </w:r>
    </w:p>
    <w:p w14:paraId="1165C654">
      <w:pPr>
        <w:spacing w:line="580" w:lineRule="exact"/>
        <w:ind w:firstLine="640"/>
        <w:jc w:val="both"/>
      </w:pPr>
      <w:r>
        <w:rPr>
          <w:rFonts w:ascii="仿宋_GB2312" w:hAnsi="仿宋_GB2312" w:eastAsia="仿宋_GB2312"/>
          <w:sz w:val="32"/>
        </w:rPr>
        <w:t>(十三)依法组织指导生产安全事故调查处理，监督事故查处和责任追究落实情况。组织开展自然灾害类突发事件的调查评估工作。</w:t>
      </w:r>
    </w:p>
    <w:p w14:paraId="05D834D7">
      <w:pPr>
        <w:spacing w:line="580" w:lineRule="exact"/>
        <w:ind w:firstLine="640"/>
        <w:jc w:val="both"/>
      </w:pPr>
      <w:r>
        <w:rPr>
          <w:rFonts w:ascii="仿宋_GB2312" w:hAnsi="仿宋_GB2312" w:eastAsia="仿宋_GB2312"/>
          <w:sz w:val="32"/>
        </w:rPr>
        <w:t>(十四)制定应急物资储备和应急救援装备规划并组织实施，会同县发改委(粮食和物资储备局)等部门建立健全应急物资信息平台和调拨制度，在救灾时统一调度。</w:t>
      </w:r>
    </w:p>
    <w:p w14:paraId="2F3F8B53">
      <w:pPr>
        <w:spacing w:line="580" w:lineRule="exact"/>
        <w:ind w:firstLine="640"/>
        <w:jc w:val="both"/>
      </w:pPr>
      <w:r>
        <w:rPr>
          <w:rFonts w:ascii="仿宋_GB2312" w:hAnsi="仿宋_GB2312" w:eastAsia="仿宋_GB2312"/>
          <w:sz w:val="32"/>
        </w:rPr>
        <w:t>(十五)负责应急管理、安全生产宣传教育和培训工作，组织指导县应急管理、安全生产的科学技术研究、推广应用和信息化建设工作。开展应急管理方面的对外合作与交流。</w:t>
      </w:r>
    </w:p>
    <w:p w14:paraId="3DDF8BA6">
      <w:pPr>
        <w:spacing w:line="580" w:lineRule="exact"/>
        <w:ind w:firstLine="640"/>
        <w:jc w:val="both"/>
      </w:pPr>
      <w:r>
        <w:rPr>
          <w:rFonts w:ascii="仿宋_GB2312" w:hAnsi="仿宋_GB2312" w:eastAsia="仿宋_GB2312"/>
          <w:sz w:val="32"/>
        </w:rPr>
        <w:t>(十六)完成县委、县人民政府交办的其他任务。</w:t>
      </w:r>
    </w:p>
    <w:p w14:paraId="381D41BD">
      <w:pPr>
        <w:spacing w:line="640" w:lineRule="exact"/>
        <w:ind w:firstLine="640"/>
        <w:jc w:val="both"/>
        <w:outlineLvl w:val="2"/>
      </w:pPr>
      <w:r>
        <w:rPr>
          <w:rFonts w:ascii="黑体" w:hAnsi="黑体" w:eastAsia="黑体"/>
          <w:sz w:val="32"/>
        </w:rPr>
        <w:t>二、机构设置及人员情况</w:t>
      </w:r>
    </w:p>
    <w:p w14:paraId="73ACE15A">
      <w:pPr>
        <w:spacing w:line="580" w:lineRule="exact"/>
        <w:ind w:firstLine="640"/>
        <w:jc w:val="both"/>
      </w:pPr>
      <w:r>
        <w:rPr>
          <w:rFonts w:ascii="仿宋_GB2312" w:hAnsi="仿宋_GB2312" w:eastAsia="仿宋_GB2312"/>
          <w:sz w:val="32"/>
        </w:rPr>
        <w:t>疏勒县应急管理局2024年度，实有人数26人，其中：在职人员23人，减少2人；离休人员0人，增加0人；退休人员3人,增加0人。</w:t>
      </w:r>
    </w:p>
    <w:p w14:paraId="6F344311">
      <w:pPr>
        <w:spacing w:line="580" w:lineRule="exact"/>
        <w:ind w:firstLine="640"/>
        <w:jc w:val="both"/>
      </w:pPr>
      <w:r>
        <w:rPr>
          <w:rFonts w:ascii="仿宋_GB2312" w:hAnsi="仿宋_GB2312" w:eastAsia="仿宋_GB2312"/>
          <w:sz w:val="32"/>
        </w:rPr>
        <w:t>疏勒县应急管理局无下属预算单位，下设3个科室，分别是：综合办公室、应急办公室、安全生产办公室。</w:t>
      </w:r>
    </w:p>
    <w:p w14:paraId="0D66D5E3">
      <w:r>
        <w:br w:type="page"/>
      </w:r>
    </w:p>
    <w:p w14:paraId="605566F1">
      <w:pPr>
        <w:spacing w:line="240" w:lineRule="auto"/>
        <w:jc w:val="center"/>
        <w:outlineLvl w:val="1"/>
      </w:pPr>
      <w:r>
        <w:rPr>
          <w:rFonts w:ascii="黑体" w:hAnsi="黑体" w:eastAsia="黑体"/>
          <w:sz w:val="32"/>
        </w:rPr>
        <w:t>第二部分 部门决算情况说明</w:t>
      </w:r>
    </w:p>
    <w:p w14:paraId="7883358E">
      <w:pPr>
        <w:spacing w:line="640" w:lineRule="exact"/>
        <w:ind w:firstLine="640"/>
        <w:jc w:val="both"/>
        <w:outlineLvl w:val="2"/>
      </w:pPr>
      <w:r>
        <w:rPr>
          <w:rFonts w:ascii="黑体" w:hAnsi="黑体" w:eastAsia="黑体"/>
          <w:sz w:val="32"/>
        </w:rPr>
        <w:t>一、收入支出决算总体情况说明</w:t>
      </w:r>
    </w:p>
    <w:p w14:paraId="789AA9C9">
      <w:pPr>
        <w:spacing w:line="580" w:lineRule="exact"/>
        <w:ind w:firstLine="640"/>
        <w:jc w:val="both"/>
      </w:pPr>
      <w:r>
        <w:rPr>
          <w:rFonts w:ascii="仿宋_GB2312" w:hAnsi="仿宋_GB2312" w:eastAsia="仿宋_GB2312"/>
          <w:b/>
          <w:sz w:val="32"/>
        </w:rPr>
        <w:t>2024年度收入总计749.05万元，</w:t>
      </w:r>
      <w:r>
        <w:rPr>
          <w:rFonts w:ascii="仿宋_GB2312" w:hAnsi="仿宋_GB2312" w:eastAsia="仿宋_GB2312"/>
          <w:b w:val="0"/>
          <w:sz w:val="32"/>
        </w:rPr>
        <w:t>其中：本年收入合计749.05万元，使用非财政拨款结余（含专用结余）0.00万元，年初结转和结余0.00万元。</w:t>
      </w:r>
    </w:p>
    <w:p w14:paraId="7859B960">
      <w:pPr>
        <w:spacing w:line="580" w:lineRule="exact"/>
        <w:ind w:firstLine="640"/>
        <w:jc w:val="both"/>
      </w:pPr>
      <w:r>
        <w:rPr>
          <w:rFonts w:ascii="仿宋_GB2312" w:hAnsi="仿宋_GB2312" w:eastAsia="仿宋_GB2312"/>
          <w:b/>
          <w:sz w:val="32"/>
        </w:rPr>
        <w:t>2024年度支出总计749.05万元，</w:t>
      </w:r>
      <w:r>
        <w:rPr>
          <w:rFonts w:ascii="仿宋_GB2312" w:hAnsi="仿宋_GB2312" w:eastAsia="仿宋_GB2312"/>
          <w:b w:val="0"/>
          <w:sz w:val="32"/>
        </w:rPr>
        <w:t>其中：本年支出合计749.05万元，结余分配0.00万元，年末结转和结余0.00万元。</w:t>
      </w:r>
    </w:p>
    <w:p w14:paraId="6177F9A1">
      <w:pPr>
        <w:spacing w:line="580" w:lineRule="exact"/>
        <w:ind w:firstLine="640"/>
        <w:jc w:val="both"/>
      </w:pPr>
      <w:r>
        <w:rPr>
          <w:rFonts w:ascii="仿宋_GB2312" w:hAnsi="仿宋_GB2312" w:eastAsia="仿宋_GB2312"/>
          <w:b w:val="0"/>
          <w:sz w:val="32"/>
        </w:rPr>
        <w:t>收入支出总体与上年相比，增加227.71万元，增长43.68%，主要原因是：本年在职人员工资调增，社保、公积金基数调增，人员经费增加，增加今冬明春救灾资金项目资金，导致经费较上年增加。</w:t>
      </w:r>
    </w:p>
    <w:p w14:paraId="3F28B7B0">
      <w:pPr>
        <w:spacing w:line="640" w:lineRule="exact"/>
        <w:ind w:firstLine="640"/>
        <w:jc w:val="both"/>
        <w:outlineLvl w:val="2"/>
      </w:pPr>
      <w:r>
        <w:rPr>
          <w:rFonts w:ascii="黑体" w:hAnsi="黑体" w:eastAsia="黑体"/>
          <w:sz w:val="32"/>
        </w:rPr>
        <w:t>二、收入决算情况说明</w:t>
      </w:r>
    </w:p>
    <w:p w14:paraId="7A901641">
      <w:pPr>
        <w:spacing w:line="580" w:lineRule="exact"/>
        <w:ind w:firstLine="640"/>
        <w:jc w:val="both"/>
      </w:pPr>
      <w:r>
        <w:rPr>
          <w:rFonts w:ascii="仿宋_GB2312" w:hAnsi="仿宋_GB2312" w:eastAsia="仿宋_GB2312"/>
          <w:b/>
          <w:sz w:val="32"/>
        </w:rPr>
        <w:t>本年收入749.05万元，</w:t>
      </w:r>
      <w:r>
        <w:rPr>
          <w:rFonts w:ascii="仿宋_GB2312" w:hAnsi="仿宋_GB2312" w:eastAsia="仿宋_GB2312"/>
          <w:b w:val="0"/>
          <w:sz w:val="32"/>
        </w:rPr>
        <w:t>其中：财政拨款收入749.05万元，占100.00%；上级补助收入0.00万元，占0.00%；事业收入0.00万元，占0.00%；经营收入0.00万元，占0.00%；附属单位上缴收入0.00万元，占0.00%；其他收入0.00万元，占0.00%。</w:t>
      </w:r>
    </w:p>
    <w:p w14:paraId="17229F50">
      <w:pPr>
        <w:spacing w:line="640" w:lineRule="exact"/>
        <w:ind w:firstLine="640"/>
        <w:jc w:val="both"/>
        <w:outlineLvl w:val="2"/>
      </w:pPr>
      <w:r>
        <w:rPr>
          <w:rFonts w:ascii="黑体" w:hAnsi="黑体" w:eastAsia="黑体"/>
          <w:sz w:val="32"/>
        </w:rPr>
        <w:t>三、支出决算情况说明</w:t>
      </w:r>
    </w:p>
    <w:p w14:paraId="313A1BB0">
      <w:pPr>
        <w:spacing w:line="580" w:lineRule="exact"/>
        <w:ind w:firstLine="640"/>
        <w:jc w:val="both"/>
      </w:pPr>
      <w:r>
        <w:rPr>
          <w:rFonts w:ascii="仿宋_GB2312" w:hAnsi="仿宋_GB2312" w:eastAsia="仿宋_GB2312"/>
          <w:b/>
          <w:sz w:val="32"/>
        </w:rPr>
        <w:t>本年支出749.05万元，</w:t>
      </w:r>
      <w:r>
        <w:rPr>
          <w:rFonts w:ascii="仿宋_GB2312" w:hAnsi="仿宋_GB2312" w:eastAsia="仿宋_GB2312"/>
          <w:b w:val="0"/>
          <w:sz w:val="32"/>
        </w:rPr>
        <w:t>其中：基本支出418.80万元，占55.91%；项目支出330.25万元，占44.09%；上缴上级支出0.00万元，占0.00%；经营支出0.00万元，占0.00%；对附属单位补助支出0.00万元，占0.00%。</w:t>
      </w:r>
    </w:p>
    <w:p w14:paraId="61CFB051">
      <w:pPr>
        <w:spacing w:line="640" w:lineRule="exact"/>
        <w:ind w:firstLine="640"/>
        <w:jc w:val="both"/>
        <w:outlineLvl w:val="2"/>
      </w:pPr>
      <w:r>
        <w:rPr>
          <w:rFonts w:ascii="黑体" w:hAnsi="黑体" w:eastAsia="黑体"/>
          <w:sz w:val="32"/>
        </w:rPr>
        <w:t>四、财政拨款收入支出决算总体情况说明</w:t>
      </w:r>
    </w:p>
    <w:p w14:paraId="5FEB5037">
      <w:pPr>
        <w:spacing w:line="580" w:lineRule="exact"/>
        <w:ind w:firstLine="640"/>
        <w:jc w:val="both"/>
      </w:pPr>
      <w:r>
        <w:rPr>
          <w:rFonts w:ascii="仿宋_GB2312" w:hAnsi="仿宋_GB2312" w:eastAsia="仿宋_GB2312"/>
          <w:b/>
          <w:sz w:val="32"/>
        </w:rPr>
        <w:t>2024年度财政拨款收入总计749.05万元，</w:t>
      </w:r>
      <w:r>
        <w:rPr>
          <w:rFonts w:ascii="仿宋_GB2312" w:hAnsi="仿宋_GB2312" w:eastAsia="仿宋_GB2312"/>
          <w:b w:val="0"/>
          <w:sz w:val="32"/>
        </w:rPr>
        <w:t>其中：年初财政拨款结转和结余0.00万元，本年财政拨款收入749.05万元。</w:t>
      </w:r>
      <w:r>
        <w:rPr>
          <w:rFonts w:ascii="仿宋_GB2312" w:hAnsi="仿宋_GB2312" w:eastAsia="仿宋_GB2312"/>
          <w:b/>
          <w:sz w:val="32"/>
        </w:rPr>
        <w:t>财政拨款支出总计749.05万元，</w:t>
      </w:r>
      <w:r>
        <w:rPr>
          <w:rFonts w:ascii="仿宋_GB2312" w:hAnsi="仿宋_GB2312" w:eastAsia="仿宋_GB2312"/>
          <w:b w:val="0"/>
          <w:sz w:val="32"/>
        </w:rPr>
        <w:t>其中：年末财政拨款结转和结余0.00万元，本年财政拨款支出749.05万元。</w:t>
      </w:r>
    </w:p>
    <w:p w14:paraId="2B9D347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增加227.71万元，增长43.68%，主要原因是：本年在职人员工资调增，社保、公积金基数调增，人员经费增加，增加今冬明春救灾资金项目资金，导致经费较上年增加。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年初预算数823.34万元，决算数749.05万元，预决算差异率-9.02%，主要原因是：本年在职人员减少，年中调减人员经费，年中调减安全生产工作经费项目，导致预决算存在差异。</w:t>
      </w:r>
    </w:p>
    <w:p w14:paraId="7EEC0A6D">
      <w:pPr>
        <w:spacing w:line="640" w:lineRule="exact"/>
        <w:ind w:firstLine="640"/>
        <w:jc w:val="both"/>
        <w:outlineLvl w:val="2"/>
      </w:pPr>
      <w:r>
        <w:rPr>
          <w:rFonts w:ascii="黑体" w:hAnsi="黑体" w:eastAsia="黑体"/>
          <w:sz w:val="32"/>
        </w:rPr>
        <w:t>五、一般公共预算财政拨款支出决算情况说明</w:t>
      </w:r>
    </w:p>
    <w:p w14:paraId="7777A040">
      <w:pPr>
        <w:spacing w:line="640" w:lineRule="exact"/>
        <w:ind w:firstLine="640"/>
        <w:jc w:val="both"/>
        <w:outlineLvl w:val="3"/>
      </w:pPr>
      <w:r>
        <w:rPr>
          <w:rFonts w:ascii="楷体_GB2312" w:hAnsi="楷体_GB2312" w:eastAsia="楷体_GB2312"/>
          <w:b/>
          <w:sz w:val="32"/>
        </w:rPr>
        <w:t>（一）一般公共预算财政拨款支出决算总体情况</w:t>
      </w:r>
    </w:p>
    <w:p w14:paraId="3305B43A">
      <w:pPr>
        <w:spacing w:line="580" w:lineRule="exact"/>
        <w:ind w:firstLine="640"/>
        <w:jc w:val="both"/>
      </w:pPr>
      <w:r>
        <w:rPr>
          <w:rFonts w:ascii="仿宋_GB2312" w:hAnsi="仿宋_GB2312" w:eastAsia="仿宋_GB2312"/>
          <w:b/>
          <w:sz w:val="32"/>
        </w:rPr>
        <w:t>2024年度一般公共预算财政拨款支出749.05万元，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增加227.71万元，增长43.68%，主要原因是：本年在职人员工资调增，社保、公积金基数调增，人员经费增加，增加今冬明春救灾资金项目资金，导致经费较上年增加。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年初预算数823.34万元，决算数749.05万元，预决算差异率-9.02%，主要原因是：本年在职人员减少，年中调减人员经费，年中调减安全生产工作经费项目，导致预决算存在差异。</w:t>
      </w:r>
    </w:p>
    <w:p w14:paraId="5E21F6E8">
      <w:pPr>
        <w:spacing w:line="640" w:lineRule="exact"/>
        <w:ind w:firstLine="640"/>
        <w:jc w:val="both"/>
        <w:outlineLvl w:val="3"/>
      </w:pPr>
      <w:r>
        <w:rPr>
          <w:rFonts w:ascii="楷体_GB2312" w:hAnsi="楷体_GB2312" w:eastAsia="楷体_GB2312"/>
          <w:b/>
          <w:sz w:val="32"/>
        </w:rPr>
        <w:t>（二）一般公共预算财政拨款支出决算结构情况</w:t>
      </w:r>
    </w:p>
    <w:p w14:paraId="1BCD766D">
      <w:pPr>
        <w:spacing w:line="580" w:lineRule="exact"/>
        <w:ind w:firstLine="640"/>
        <w:jc w:val="both"/>
      </w:pPr>
      <w:r>
        <w:rPr>
          <w:rFonts w:ascii="仿宋_GB2312" w:hAnsi="仿宋_GB2312" w:eastAsia="仿宋_GB2312"/>
          <w:b w:val="0"/>
          <w:sz w:val="32"/>
        </w:rPr>
        <w:t>1.社会保障和就业支出(类)45.11万元,占6.02%。</w:t>
      </w:r>
    </w:p>
    <w:p w14:paraId="7098B8E4">
      <w:pPr>
        <w:spacing w:line="580" w:lineRule="exact"/>
        <w:ind w:firstLine="640"/>
        <w:jc w:val="both"/>
      </w:pPr>
      <w:r>
        <w:rPr>
          <w:rFonts w:ascii="仿宋_GB2312" w:hAnsi="仿宋_GB2312" w:eastAsia="仿宋_GB2312"/>
          <w:b w:val="0"/>
          <w:sz w:val="32"/>
        </w:rPr>
        <w:t>2.卫生健康支出(类)19.08万元,占2.55%。</w:t>
      </w:r>
    </w:p>
    <w:p w14:paraId="5EDB4B03">
      <w:pPr>
        <w:spacing w:line="580" w:lineRule="exact"/>
        <w:ind w:firstLine="640"/>
        <w:jc w:val="both"/>
      </w:pPr>
      <w:r>
        <w:rPr>
          <w:rFonts w:ascii="仿宋_GB2312" w:hAnsi="仿宋_GB2312" w:eastAsia="仿宋_GB2312"/>
          <w:b w:val="0"/>
          <w:sz w:val="32"/>
        </w:rPr>
        <w:t>3.农林水支出(类)3.25万元,占0.43%。</w:t>
      </w:r>
    </w:p>
    <w:p w14:paraId="0EF02D89">
      <w:pPr>
        <w:spacing w:line="580" w:lineRule="exact"/>
        <w:ind w:firstLine="640"/>
        <w:jc w:val="both"/>
      </w:pPr>
      <w:r>
        <w:rPr>
          <w:rFonts w:ascii="仿宋_GB2312" w:hAnsi="仿宋_GB2312" w:eastAsia="仿宋_GB2312"/>
          <w:b w:val="0"/>
          <w:sz w:val="32"/>
        </w:rPr>
        <w:t>4.住房保障支出(类)33.31万元,占4.45%。</w:t>
      </w:r>
    </w:p>
    <w:p w14:paraId="18FEEB08">
      <w:pPr>
        <w:spacing w:line="580" w:lineRule="exact"/>
        <w:ind w:firstLine="640"/>
        <w:jc w:val="both"/>
      </w:pPr>
      <w:r>
        <w:rPr>
          <w:rFonts w:ascii="仿宋_GB2312" w:hAnsi="仿宋_GB2312" w:eastAsia="仿宋_GB2312"/>
          <w:b w:val="0"/>
          <w:sz w:val="32"/>
        </w:rPr>
        <w:t>5.灾害防治及应急管理支出(类)648.30万元,占86.55%。</w:t>
      </w:r>
    </w:p>
    <w:p w14:paraId="2A04E10F">
      <w:pPr>
        <w:spacing w:line="640" w:lineRule="exact"/>
        <w:ind w:firstLine="640"/>
        <w:jc w:val="both"/>
        <w:outlineLvl w:val="3"/>
      </w:pPr>
      <w:r>
        <w:rPr>
          <w:rFonts w:ascii="楷体_GB2312" w:hAnsi="楷体_GB2312" w:eastAsia="楷体_GB2312"/>
          <w:b/>
          <w:sz w:val="32"/>
        </w:rPr>
        <w:t>（三）一般公共预算财政拨款支出决算具体情况</w:t>
      </w:r>
    </w:p>
    <w:p w14:paraId="04EE97BD">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1.社会保障和就业支出(类)行政事业单位养老支出(款)行政单位离退休(项):支出决算数为3.90万元，比上年决算增加0.14万元，增长3.72%,主要原因是：本年增加退休人员基础绩效奖，退休费支出增加。</w:t>
      </w:r>
    </w:p>
    <w:p w14:paraId="3E1ACE7B">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41.21万元，比上年决算增加7.47万元，增长22.14%,主要原因是：本年在职人员工资基数调增，养老缴费基数上涨，相应支出增加。</w:t>
      </w:r>
    </w:p>
    <w:p w14:paraId="4B75E873">
      <w:pPr>
        <w:spacing w:line="580" w:lineRule="exact"/>
        <w:ind w:firstLine="640"/>
        <w:jc w:val="both"/>
      </w:pPr>
      <w:r>
        <w:rPr>
          <w:rFonts w:ascii="仿宋_GB2312" w:hAnsi="仿宋_GB2312" w:eastAsia="仿宋_GB2312"/>
          <w:b w:val="0"/>
          <w:sz w:val="32"/>
        </w:rPr>
        <w:t>3.卫生健康支出(类)行政事业单位医疗(款)行政单位医疗(项):支出决算数为17.52万元，比上年决算增加3.61万元，增长25.95%,主要原因是：本年在职人员工资基数调增，医疗缴费基数上涨，相应支出增加。</w:t>
      </w:r>
    </w:p>
    <w:p w14:paraId="0466B685">
      <w:pPr>
        <w:spacing w:line="580" w:lineRule="exact"/>
        <w:ind w:firstLine="640"/>
        <w:jc w:val="both"/>
      </w:pPr>
      <w:r>
        <w:rPr>
          <w:rFonts w:ascii="仿宋_GB2312" w:hAnsi="仿宋_GB2312" w:eastAsia="仿宋_GB2312"/>
          <w:b w:val="0"/>
          <w:sz w:val="32"/>
        </w:rPr>
        <w:t>4.卫生健康支出(类)行政事业单位医疗(款)公务员医疗补助(项):支出决算数为1.57万元，比上年决算增加0.19万元，增长13.77%,主要原因是：本年在职人员工资基数调增，医疗缴费基数上涨，相应支出增加。</w:t>
      </w:r>
    </w:p>
    <w:p w14:paraId="54DB0FE8">
      <w:pPr>
        <w:spacing w:line="580" w:lineRule="exact"/>
        <w:ind w:firstLine="640"/>
        <w:jc w:val="both"/>
      </w:pPr>
      <w:r>
        <w:rPr>
          <w:rFonts w:ascii="仿宋_GB2312" w:hAnsi="仿宋_GB2312" w:eastAsia="仿宋_GB2312"/>
          <w:b w:val="0"/>
          <w:sz w:val="32"/>
        </w:rPr>
        <w:t>5.农林水支出(类)农业农村(款)其他农业农村支出(项):支出决算数为3.25万元，比上年决算增加3.25万元，增长100.00%,主要原因是：本年增加疏勒县2024年为民办实事项目。</w:t>
      </w:r>
    </w:p>
    <w:p w14:paraId="2E3DD8AF">
      <w:pPr>
        <w:spacing w:line="580" w:lineRule="exact"/>
        <w:ind w:firstLine="640"/>
        <w:jc w:val="both"/>
      </w:pPr>
      <w:r>
        <w:rPr>
          <w:rFonts w:ascii="仿宋_GB2312" w:hAnsi="仿宋_GB2312" w:eastAsia="仿宋_GB2312"/>
          <w:b w:val="0"/>
          <w:sz w:val="32"/>
        </w:rPr>
        <w:t>6.住房保障支出(类)住房改革支出(款)住房公积金(项):支出决算数为33.31万元，比上年决算增加7.37万元，增长28.41%,主要原因是：本年在职人员工资基数调增，公积金缴费基数上涨，相应支出增加。</w:t>
      </w:r>
    </w:p>
    <w:p w14:paraId="58D90468">
      <w:pPr>
        <w:spacing w:line="580" w:lineRule="exact"/>
        <w:ind w:firstLine="640"/>
        <w:jc w:val="both"/>
      </w:pPr>
      <w:r>
        <w:rPr>
          <w:rFonts w:ascii="仿宋_GB2312" w:hAnsi="仿宋_GB2312" w:eastAsia="仿宋_GB2312"/>
          <w:b w:val="0"/>
          <w:sz w:val="32"/>
        </w:rPr>
        <w:t>7.灾害防治及应急管理支出(类)应急管理事务(款)行政运行(项):支出决算数为321.30万元，比上年决算增加41.03万元，增长14.64%,主要原因是：本年在职人员工资调增，导致相关人员经费较上年有所增加。</w:t>
      </w:r>
    </w:p>
    <w:p w14:paraId="05B9BA0C">
      <w:pPr>
        <w:spacing w:line="580" w:lineRule="exact"/>
        <w:ind w:firstLine="640"/>
        <w:jc w:val="both"/>
      </w:pPr>
      <w:r>
        <w:rPr>
          <w:rFonts w:ascii="仿宋_GB2312" w:hAnsi="仿宋_GB2312" w:eastAsia="仿宋_GB2312"/>
          <w:b w:val="0"/>
          <w:sz w:val="32"/>
        </w:rPr>
        <w:t>8.灾害防治及应急管理支出(类)应急管理事务(款)应急救援(项):支出决算数为33.01万元，比上年决算增加33.01万元，增长100.00%,主要原因是：本年新增疏勒县安全生产工作经费。</w:t>
      </w:r>
    </w:p>
    <w:p w14:paraId="465A877D">
      <w:pPr>
        <w:spacing w:line="580" w:lineRule="exact"/>
        <w:ind w:firstLine="640"/>
        <w:jc w:val="both"/>
      </w:pPr>
      <w:r>
        <w:rPr>
          <w:rFonts w:ascii="仿宋_GB2312" w:hAnsi="仿宋_GB2312" w:eastAsia="仿宋_GB2312"/>
          <w:b w:val="0"/>
          <w:sz w:val="32"/>
        </w:rPr>
        <w:t>9.灾害防治及应急管理支出(类)应急管理事务(款)其他应急管理支出(项):支出决算数为6.59万元，比上年决算增加6.59万元，增长100.00%,主要原因是：本年新增疏勒县安全生产工作经费。</w:t>
      </w:r>
    </w:p>
    <w:p w14:paraId="135803FD">
      <w:pPr>
        <w:spacing w:line="580" w:lineRule="exact"/>
        <w:ind w:firstLine="640"/>
        <w:jc w:val="both"/>
      </w:pPr>
      <w:r>
        <w:rPr>
          <w:rFonts w:ascii="仿宋_GB2312" w:hAnsi="仿宋_GB2312" w:eastAsia="仿宋_GB2312"/>
          <w:b w:val="0"/>
          <w:sz w:val="32"/>
        </w:rPr>
        <w:t>10.灾害防治及应急管理支出(类)自然灾害救灾及恢复重建支出(款)自然灾害救灾补助(项):支出决算数为287.40万元，比上年决算增加125.06万元，增长77.04%,主要原因是：本年今冬明春救灾资金项目资金较上年增加。</w:t>
      </w:r>
    </w:p>
    <w:p w14:paraId="7E98E035">
      <w:pPr>
        <w:spacing w:line="640" w:lineRule="exact"/>
        <w:ind w:firstLine="640"/>
        <w:jc w:val="both"/>
        <w:outlineLvl w:val="2"/>
      </w:pPr>
      <w:r>
        <w:rPr>
          <w:rFonts w:ascii="黑体" w:hAnsi="黑体" w:eastAsia="黑体"/>
          <w:sz w:val="32"/>
        </w:rPr>
        <w:t>六、一般公共预算财政拨款基本支出决算情况说明</w:t>
      </w:r>
    </w:p>
    <w:p w14:paraId="02815D89">
      <w:pPr>
        <w:spacing w:line="580" w:lineRule="exact"/>
        <w:ind w:firstLine="640"/>
        <w:jc w:val="both"/>
      </w:pPr>
      <w:r>
        <w:rPr>
          <w:rFonts w:ascii="仿宋_GB2312" w:hAnsi="仿宋_GB2312" w:eastAsia="仿宋_GB2312"/>
          <w:b w:val="0"/>
          <w:sz w:val="32"/>
        </w:rPr>
        <w:t>2024年度一般公共预算财政拨款基本支出418.80万元，其中：</w:t>
      </w:r>
      <w:r>
        <w:rPr>
          <w:rFonts w:ascii="仿宋_GB2312" w:hAnsi="仿宋_GB2312" w:eastAsia="仿宋_GB2312"/>
          <w:b/>
          <w:sz w:val="32"/>
        </w:rPr>
        <w:t>人员经费411.17万元，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包括：基本工资、津贴补贴、奖金、绩效工资、机关事业单位基本养老保险缴费、职工基本医疗保险缴费、公务员医疗补助缴费、其他社会保障缴费、住房公积金、退休费。</w:t>
      </w:r>
    </w:p>
    <w:p w14:paraId="28ACBBCF">
      <w:pPr>
        <w:spacing w:line="580" w:lineRule="exact"/>
        <w:ind w:firstLine="640"/>
        <w:jc w:val="both"/>
      </w:pPr>
      <w:r>
        <w:rPr>
          <w:rFonts w:ascii="仿宋_GB2312" w:hAnsi="仿宋_GB2312" w:eastAsia="仿宋_GB2312"/>
          <w:b/>
          <w:sz w:val="32"/>
        </w:rPr>
        <w:t>公用经费7.63万元，</w:t>
      </w:r>
      <w:r>
        <w:rPr>
          <w:rFonts w:ascii="仿宋_GB2312" w:hAnsi="仿宋_GB2312" w:eastAsia="仿宋_GB2312"/>
          <w:b w:val="0"/>
          <w:sz w:val="32"/>
        </w:rPr>
        <w:t>包括：办公费、取暖费、物业管理费、差旅费、租赁费、公务用车运行维护费、其他商品和服务支出。</w:t>
      </w:r>
    </w:p>
    <w:p w14:paraId="5405D93B">
      <w:pPr>
        <w:spacing w:line="640" w:lineRule="exact"/>
        <w:ind w:firstLine="640"/>
        <w:jc w:val="both"/>
        <w:outlineLvl w:val="2"/>
      </w:pPr>
      <w:r>
        <w:rPr>
          <w:rFonts w:ascii="黑体" w:hAnsi="黑体" w:eastAsia="黑体"/>
          <w:sz w:val="32"/>
        </w:rPr>
        <w:t>七、政府性基金预算财政拨款收入支出决算情况说明</w:t>
      </w:r>
    </w:p>
    <w:p w14:paraId="1FAA270F">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27A3270">
      <w:pPr>
        <w:spacing w:line="640" w:lineRule="exact"/>
        <w:ind w:firstLine="640"/>
        <w:jc w:val="both"/>
        <w:outlineLvl w:val="2"/>
      </w:pPr>
      <w:r>
        <w:rPr>
          <w:rFonts w:ascii="黑体" w:hAnsi="黑体" w:eastAsia="黑体"/>
          <w:sz w:val="32"/>
        </w:rPr>
        <w:t>八、国有资本经营预算财政拨款收入支出决算情况说明</w:t>
      </w:r>
    </w:p>
    <w:p w14:paraId="667BDB5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AA7086E">
      <w:pPr>
        <w:spacing w:line="640" w:lineRule="exact"/>
        <w:ind w:firstLine="640"/>
        <w:jc w:val="both"/>
        <w:outlineLvl w:val="2"/>
      </w:pPr>
      <w:r>
        <w:rPr>
          <w:rFonts w:ascii="黑体" w:hAnsi="黑体" w:eastAsia="黑体"/>
          <w:sz w:val="32"/>
        </w:rPr>
        <w:t>九、财政拨款“三公”经费支出决算情况说明</w:t>
      </w:r>
    </w:p>
    <w:p w14:paraId="611737A2">
      <w:pPr>
        <w:spacing w:line="580" w:lineRule="exact"/>
        <w:ind w:firstLine="640"/>
        <w:jc w:val="both"/>
      </w:pPr>
      <w:r>
        <w:rPr>
          <w:rFonts w:ascii="仿宋_GB2312" w:hAnsi="仿宋_GB2312" w:eastAsia="仿宋_GB2312"/>
          <w:b/>
          <w:sz w:val="32"/>
        </w:rPr>
        <w:t>2024年度财政拨款“三公”经费支出0.78万元，</w:t>
      </w:r>
      <w:r>
        <w:rPr>
          <w:rFonts w:ascii="仿宋_GB2312" w:hAnsi="仿宋_GB2312" w:eastAsia="仿宋_GB2312"/>
          <w:b w:val="0"/>
          <w:sz w:val="32"/>
        </w:rPr>
        <w:t>比上年增加0.00万元，增长0.00%，主要原因是：本单位“三公”经费与上年一致无变化。其中：因公出国（境）费支出0.00万元，占0.00%，比上年增加0.00万元，增长0.00%，主要原因是：2023年与2024年均未安排因公出国（境）费支出。公务用车购置及运行维护费支出0.78万元，占100.00%，比上年增加0.00万元，增长0.00%，主要原因是：本单位公务用车运行维护费与上年一致无变化。公务接待费支出0.00万元，占0.00%，比上年增加0.00万元，增长0.00%，主要原因是：2023年与2024年均未安排公务接待费支出。</w:t>
      </w:r>
    </w:p>
    <w:p w14:paraId="61F80CCE">
      <w:pPr>
        <w:spacing w:line="580" w:lineRule="exact"/>
        <w:ind w:firstLine="640"/>
        <w:jc w:val="both"/>
      </w:pPr>
      <w:r>
        <w:rPr>
          <w:rFonts w:ascii="仿宋_GB2312" w:hAnsi="仿宋_GB2312" w:eastAsia="仿宋_GB2312"/>
          <w:b/>
          <w:sz w:val="32"/>
        </w:rPr>
        <w:t>具体情况如下：</w:t>
      </w:r>
    </w:p>
    <w:p w14:paraId="14149C2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B4D3C28">
      <w:pPr>
        <w:spacing w:line="580" w:lineRule="exact"/>
        <w:ind w:firstLine="640"/>
        <w:jc w:val="both"/>
      </w:pPr>
      <w:r>
        <w:rPr>
          <w:rFonts w:ascii="仿宋_GB2312" w:hAnsi="仿宋_GB2312" w:eastAsia="仿宋_GB2312"/>
          <w:b w:val="0"/>
          <w:sz w:val="32"/>
        </w:rPr>
        <w:t>公务用车购置及运行维护费0.78万元，其中：公务用车购置费0.00万元，公务用车运行维护费0.78万元。公务用车运行维护费开支内容包括车辆加油费、维修费、保险费、审车费。公务用车购置数0辆，公务用车保有量1辆。国有资产占用情况中固定资产车辆1辆，与公务用车保有量差异原因是：本单位固定资产车辆与公务用车保有量一致无差异。</w:t>
      </w:r>
    </w:p>
    <w:p w14:paraId="1EDE718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22D255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0.78万元，决算数0.78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0.78万元，决算数0.78万元，预决算差异率0.00%，主要原因是：严格按照预算执行，预决算无差异。公务接待费全年预算数0.00万元，决算数0.00万元，预决算差异率0.00%，主要原因是：本单位无公务接待费。</w:t>
      </w:r>
    </w:p>
    <w:p w14:paraId="7ED8E80F">
      <w:pPr>
        <w:spacing w:line="640" w:lineRule="exact"/>
        <w:ind w:firstLine="640"/>
        <w:jc w:val="both"/>
        <w:outlineLvl w:val="2"/>
      </w:pPr>
      <w:r>
        <w:rPr>
          <w:rFonts w:ascii="黑体" w:hAnsi="黑体" w:eastAsia="黑体"/>
          <w:sz w:val="32"/>
        </w:rPr>
        <w:t>十、其他重要事项的情况说明</w:t>
      </w:r>
    </w:p>
    <w:p w14:paraId="354C68B1">
      <w:pPr>
        <w:spacing w:line="640" w:lineRule="exact"/>
        <w:ind w:firstLine="640"/>
        <w:jc w:val="both"/>
        <w:outlineLvl w:val="3"/>
      </w:pPr>
      <w:r>
        <w:rPr>
          <w:rFonts w:ascii="楷体_GB2312" w:hAnsi="楷体_GB2312" w:eastAsia="楷体_GB2312"/>
          <w:b/>
          <w:sz w:val="32"/>
        </w:rPr>
        <w:t>（一）机关运行经费及公用经费支出情况</w:t>
      </w:r>
    </w:p>
    <w:p w14:paraId="19DD59D5">
      <w:pPr>
        <w:spacing w:line="580" w:lineRule="exact"/>
        <w:ind w:firstLine="640"/>
        <w:jc w:val="both"/>
      </w:pPr>
      <w:r>
        <w:rPr>
          <w:rFonts w:ascii="仿宋_GB2312" w:hAnsi="仿宋_GB2312" w:eastAsia="仿宋_GB2312"/>
          <w:b w:val="0"/>
          <w:sz w:val="32"/>
        </w:rPr>
        <w:t>2024年度疏勒县应急管理局（行政单位和参照公务员法管理事业单位）机关运行经费支出7.63万元，比上年增加4.03万元，增长111.94%，主要原因是：本年增加办公经费、志愿者取暖费、物业费、房租费，导致相应支出增加。</w:t>
      </w:r>
    </w:p>
    <w:p w14:paraId="58141D37">
      <w:pPr>
        <w:spacing w:line="640" w:lineRule="exact"/>
        <w:ind w:firstLine="640"/>
        <w:jc w:val="both"/>
        <w:outlineLvl w:val="3"/>
      </w:pPr>
      <w:r>
        <w:rPr>
          <w:rFonts w:ascii="楷体_GB2312" w:hAnsi="楷体_GB2312" w:eastAsia="楷体_GB2312"/>
          <w:b/>
          <w:sz w:val="32"/>
        </w:rPr>
        <w:t>（二）政府采购情况</w:t>
      </w:r>
    </w:p>
    <w:p w14:paraId="3158D8BD">
      <w:pPr>
        <w:spacing w:line="580" w:lineRule="exact"/>
        <w:ind w:firstLine="640"/>
        <w:jc w:val="both"/>
      </w:pPr>
      <w:r>
        <w:rPr>
          <w:rFonts w:ascii="仿宋_GB2312" w:hAnsi="仿宋_GB2312" w:eastAsia="仿宋_GB2312"/>
          <w:b w:val="0"/>
          <w:sz w:val="32"/>
        </w:rPr>
        <w:t>2024年度政府采购支出总额49.67万元，其中：政府采购货物支出21.48万元、政府采购工程支出23.50万元、政府采购服务支出4.69万元。</w:t>
      </w:r>
    </w:p>
    <w:p w14:paraId="02DFB91C">
      <w:pPr>
        <w:spacing w:line="580" w:lineRule="exact"/>
        <w:ind w:firstLine="640"/>
        <w:jc w:val="both"/>
      </w:pPr>
      <w:r>
        <w:rPr>
          <w:rFonts w:ascii="仿宋_GB2312" w:hAnsi="仿宋_GB2312" w:eastAsia="仿宋_GB2312"/>
          <w:b w:val="0"/>
          <w:sz w:val="32"/>
        </w:rPr>
        <w:t>授予中小企业合同金额48.53万元，占政府采购支出总额的97.70%，其中：授予小微企业合同金额48.53万元，占政府采购支出总额的97.70%。</w:t>
      </w:r>
    </w:p>
    <w:p w14:paraId="5514CD6C">
      <w:pPr>
        <w:spacing w:line="640" w:lineRule="exact"/>
        <w:ind w:firstLine="640"/>
        <w:jc w:val="both"/>
        <w:outlineLvl w:val="3"/>
      </w:pPr>
      <w:r>
        <w:rPr>
          <w:rFonts w:ascii="楷体_GB2312" w:hAnsi="楷体_GB2312" w:eastAsia="楷体_GB2312"/>
          <w:b/>
          <w:sz w:val="32"/>
        </w:rPr>
        <w:t>（三）国有资产占用情况说明</w:t>
      </w:r>
    </w:p>
    <w:p w14:paraId="1562787F">
      <w:pPr>
        <w:spacing w:line="580" w:lineRule="exact"/>
        <w:ind w:firstLine="640"/>
        <w:jc w:val="both"/>
      </w:pPr>
      <w:r>
        <w:rPr>
          <w:rFonts w:ascii="仿宋_GB2312" w:hAnsi="仿宋_GB2312" w:eastAsia="仿宋_GB2312"/>
          <w:b w:val="0"/>
          <w:sz w:val="32"/>
        </w:rPr>
        <w:t>截至2024年12月31日，房屋0.00平方米，价值0.00万元。车辆1辆，价值20.00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4F6CE269">
      <w:pPr>
        <w:spacing w:line="640" w:lineRule="exact"/>
        <w:ind w:firstLine="640"/>
        <w:jc w:val="both"/>
        <w:outlineLvl w:val="2"/>
      </w:pPr>
      <w:r>
        <w:rPr>
          <w:rFonts w:ascii="黑体" w:hAnsi="黑体" w:eastAsia="黑体"/>
          <w:sz w:val="32"/>
        </w:rPr>
        <w:t>十一、预算绩效的情况说明</w:t>
      </w:r>
    </w:p>
    <w:p w14:paraId="268E537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749.05万元，实际执行总额749.05万元；预算绩效评价项目1个，全年预算数39.60万元，全年执行数39.60万元。预算绩效管理取得的成效：一是通过预算绩效管理使得项目在运行过程中合法合规；二是资金运行经过5月、8月绩效自评，使得项目资金的使用进度得以保证；三是预算绩效全流程保证的项目资金的正常有序。发现的问题及原因：一是项目在年初进度缓慢，5月绩效自评时未支付，导致绩效进度较慢；二是项目负责人员需要及时提供印证资料。下一步改进措施：一是加强单位领导对绩效工作的重视；二是对项目具体经办人员进行培训，提供相关印证资料；三是加强项目资料的保持、归档。具体附整体支出绩效自评表，项目支出绩效自评表和评价报告。</w:t>
      </w:r>
    </w:p>
    <w:p w14:paraId="361A0D5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EFB88CD">
        <w:tblPrEx>
          <w:tblCellMar>
            <w:top w:w="0" w:type="dxa"/>
            <w:left w:w="108" w:type="dxa"/>
            <w:bottom w:w="0" w:type="dxa"/>
            <w:right w:w="108" w:type="dxa"/>
          </w:tblCellMar>
        </w:tblPrEx>
        <w:tc>
          <w:tcPr>
            <w:tcW w:w="8847" w:type="dxa"/>
            <w:gridSpan w:val="9"/>
            <w:vAlign w:val="center"/>
          </w:tcPr>
          <w:p w14:paraId="074A619F">
            <w:pPr>
              <w:jc w:val="center"/>
            </w:pPr>
            <w:r>
              <w:rPr>
                <w:rFonts w:ascii="宋体" w:hAnsi="宋体" w:eastAsia="宋体"/>
                <w:sz w:val="24"/>
              </w:rPr>
              <w:t>单位整体支出绩效自评表</w:t>
            </w:r>
          </w:p>
        </w:tc>
      </w:tr>
      <w:tr w14:paraId="3F33CE50">
        <w:tblPrEx>
          <w:tblCellMar>
            <w:top w:w="0" w:type="dxa"/>
            <w:left w:w="108" w:type="dxa"/>
            <w:bottom w:w="0" w:type="dxa"/>
            <w:right w:w="108" w:type="dxa"/>
          </w:tblCellMar>
        </w:tblPrEx>
        <w:tc>
          <w:tcPr>
            <w:tcW w:w="8847" w:type="dxa"/>
            <w:gridSpan w:val="9"/>
            <w:vAlign w:val="center"/>
          </w:tcPr>
          <w:p w14:paraId="2802FFF4">
            <w:pPr>
              <w:jc w:val="center"/>
            </w:pPr>
            <w:r>
              <w:rPr>
                <w:rFonts w:ascii="宋体" w:hAnsi="宋体" w:eastAsia="宋体"/>
                <w:sz w:val="24"/>
              </w:rPr>
              <w:t>（2024年度）</w:t>
            </w:r>
          </w:p>
        </w:tc>
      </w:tr>
      <w:tr w14:paraId="75F3EB5E">
        <w:tblPrEx>
          <w:tblCellMar>
            <w:top w:w="0" w:type="dxa"/>
            <w:left w:w="108" w:type="dxa"/>
            <w:bottom w:w="0" w:type="dxa"/>
            <w:right w:w="108" w:type="dxa"/>
          </w:tblCellMar>
        </w:tblPrEx>
        <w:trPr>
          <w:trHeight w:val="260" w:hRule="atLeast"/>
        </w:trPr>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50953">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E8AC7D5">
            <w:pPr>
              <w:jc w:val="center"/>
            </w:pPr>
            <w:r>
              <w:rPr>
                <w:rFonts w:ascii="宋体" w:hAnsi="宋体" w:eastAsia="宋体"/>
                <w:sz w:val="16"/>
              </w:rPr>
              <w:t>疏勒县应急管理局</w:t>
            </w:r>
          </w:p>
        </w:tc>
      </w:tr>
      <w:tr w14:paraId="22005D4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D6FA51">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5714F">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D8F67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0B0FFF">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AC7C4">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4DDC6">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C80431">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FB888">
            <w:pPr>
              <w:jc w:val="center"/>
            </w:pPr>
            <w:r>
              <w:rPr>
                <w:rFonts w:ascii="宋体" w:hAnsi="宋体" w:eastAsia="宋体"/>
                <w:sz w:val="16"/>
              </w:rPr>
              <w:t>得分</w:t>
            </w:r>
          </w:p>
        </w:tc>
      </w:tr>
      <w:tr w14:paraId="4384ED8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CB29D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DE45D">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E4B02">
            <w:pPr>
              <w:jc w:val="center"/>
            </w:pPr>
            <w:r>
              <w:rPr>
                <w:rFonts w:ascii="宋体" w:hAnsi="宋体" w:eastAsia="宋体"/>
                <w:sz w:val="16"/>
              </w:rPr>
              <w:t>823.34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3CF60">
            <w:pPr>
              <w:jc w:val="center"/>
            </w:pPr>
            <w:r>
              <w:rPr>
                <w:rFonts w:ascii="宋体" w:hAnsi="宋体" w:eastAsia="宋体"/>
                <w:sz w:val="16"/>
              </w:rPr>
              <w:t>749.05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ABF60F">
            <w:pPr>
              <w:jc w:val="center"/>
            </w:pPr>
            <w:r>
              <w:rPr>
                <w:rFonts w:ascii="宋体" w:hAnsi="宋体" w:eastAsia="宋体"/>
                <w:sz w:val="16"/>
              </w:rPr>
              <w:t>749.05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CD4D4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69697D">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210A0">
            <w:pPr>
              <w:jc w:val="center"/>
            </w:pPr>
            <w:r>
              <w:rPr>
                <w:rFonts w:ascii="宋体" w:hAnsi="宋体" w:eastAsia="宋体"/>
                <w:sz w:val="16"/>
              </w:rPr>
              <w:t>10</w:t>
            </w:r>
          </w:p>
        </w:tc>
      </w:tr>
      <w:tr w14:paraId="76F7C1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05679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BCFACE">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0989E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35E71B">
            <w:pPr>
              <w:jc w:val="center"/>
            </w:pPr>
            <w:r>
              <w:rPr>
                <w:rFonts w:ascii="宋体" w:hAnsi="宋体" w:eastAsia="宋体"/>
                <w:sz w:val="16"/>
              </w:rPr>
              <w:t>10.43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584E00">
            <w:pPr>
              <w:jc w:val="center"/>
            </w:pPr>
            <w:r>
              <w:rPr>
                <w:rFonts w:ascii="宋体" w:hAnsi="宋体" w:eastAsia="宋体"/>
                <w:sz w:val="16"/>
              </w:rPr>
              <w:t>10.43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87DF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03376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55EF2">
            <w:pPr>
              <w:jc w:val="center"/>
            </w:pPr>
            <w:r>
              <w:rPr>
                <w:rFonts w:ascii="宋体" w:hAnsi="宋体" w:eastAsia="宋体"/>
                <w:sz w:val="16"/>
              </w:rPr>
              <w:t>—</w:t>
            </w:r>
          </w:p>
        </w:tc>
      </w:tr>
      <w:tr w14:paraId="48AC64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9F6C8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7472C">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5DE4D2">
            <w:pPr>
              <w:jc w:val="center"/>
            </w:pPr>
            <w:r>
              <w:rPr>
                <w:rFonts w:ascii="宋体" w:hAnsi="宋体" w:eastAsia="宋体"/>
                <w:sz w:val="16"/>
              </w:rPr>
              <w:t>823.34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92A5FF">
            <w:pPr>
              <w:jc w:val="center"/>
            </w:pPr>
            <w:r>
              <w:rPr>
                <w:rFonts w:ascii="宋体" w:hAnsi="宋体" w:eastAsia="宋体"/>
                <w:sz w:val="16"/>
              </w:rPr>
              <w:t>738.62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B0AF1B">
            <w:pPr>
              <w:jc w:val="center"/>
            </w:pPr>
            <w:r>
              <w:rPr>
                <w:rFonts w:ascii="宋体" w:hAnsi="宋体" w:eastAsia="宋体"/>
                <w:sz w:val="16"/>
              </w:rPr>
              <w:t>738.62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E32D7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5094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0B314">
            <w:pPr>
              <w:jc w:val="center"/>
            </w:pPr>
            <w:r>
              <w:rPr>
                <w:rFonts w:ascii="宋体" w:hAnsi="宋体" w:eastAsia="宋体"/>
                <w:sz w:val="16"/>
              </w:rPr>
              <w:t>—</w:t>
            </w:r>
          </w:p>
        </w:tc>
      </w:tr>
      <w:tr w14:paraId="2054CF1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B55C0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0341F4">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03EBC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7D7A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CE97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9F0A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E6516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649F6">
            <w:pPr>
              <w:jc w:val="center"/>
            </w:pPr>
            <w:r>
              <w:rPr>
                <w:rFonts w:ascii="宋体" w:hAnsi="宋体" w:eastAsia="宋体"/>
                <w:sz w:val="16"/>
              </w:rPr>
              <w:t>—</w:t>
            </w:r>
          </w:p>
        </w:tc>
      </w:tr>
      <w:tr w14:paraId="48CB19E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97497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DEBDA0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7CEF99">
            <w:pPr>
              <w:jc w:val="center"/>
            </w:pPr>
            <w:r>
              <w:rPr>
                <w:rFonts w:ascii="宋体" w:hAnsi="宋体" w:eastAsia="宋体"/>
                <w:sz w:val="16"/>
              </w:rPr>
              <w:t>实际完成情况</w:t>
            </w:r>
          </w:p>
        </w:tc>
      </w:tr>
      <w:tr w14:paraId="48ACA24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3529B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EB7322B">
            <w:pPr>
              <w:jc w:val="both"/>
            </w:pPr>
            <w:r>
              <w:rPr>
                <w:rFonts w:ascii="宋体" w:hAnsi="宋体" w:eastAsia="宋体"/>
                <w:sz w:val="16"/>
              </w:rPr>
              <w:t>以习近平新时代中国特色社会主义思想为指导，全面贯彻党的二十大精神，坚持人民至上、生命至上，牢固树立安全发展理念。全面落实自治区、地区安全生产工作重大决策部署，始终把安全生产放在首要位置，严格按照“全覆盖、零容忍、严执法、重实效”的总体要求，认真履行安全监管职责。优化营商环境，寓执法监管于服务之中，推动企业高质量发展。严格执行行政执法“三项制度”，促进规范、文明、公正执法。加强监察执法、事故查处力度，规范企业生产行为，督促企业落实安全生产主体责任。及时消除事故隐患，依法防范化解重大安全风险，为建设更高水平的平安疏勒提供安全保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9E1867">
            <w:pPr>
              <w:jc w:val="both"/>
            </w:pPr>
            <w:r>
              <w:rPr>
                <w:rFonts w:ascii="宋体" w:hAnsi="宋体" w:eastAsia="宋体"/>
                <w:sz w:val="16"/>
              </w:rPr>
              <w:t>全面落实自治区、地区安全生产工作重大决策部署，始终把安全生产放在首要位置，严格按照“全覆盖、零容忍、严执法、重实效”的总体要求，认真履行安全监管职责。优化营商环境，寓执法监管于服务之中，推动企业高质量发展。严格执行行政执法“三项制度”，促进规范、文明、公正执法。加强监察执法、事故查处力度，规范企业生产行为，督促企业落实安全生产主体责任。及时消除事故隐患，今年以来，全县累计开展企业主要负责人培训144场次，覆盖3349人次，有效提升了企业安全生产意识，促进企业严格遵守安全生产法律法规和标准、完善并执行安全生产责任制。及时排查和整改安全生产事故隐患，采取现场帮扶指导等办法，帮扶指导企业复工复产565家，下发问题隐患整改移交函6份，发现问题隐患6404条（其中重大事故隐患7条），截至目前已全部整改完成。开展烟花爆竹零售店监管执法1家，促进企业落实主体责任。开展规范安全生产会议12次，提高规范安全生产意识。聘请12名自治区危化、工贸领域安全生产专家开展4轮次安全生产帮扶指导工作，共检查企业150家次，发现问题隐患1536条，督促企业有效落实企业安全生产主体责任。整合县乡村三级专兼职力量组建应急救援队伍11559人，组织开展地震演练9193次，投入资金9.4万元，参演队伍7199支108万余人次，应急救援能力得到有效提升。依法防范化解重大安全风险，为建设更高水平的平安疏勒提供安全保障。</w:t>
            </w:r>
          </w:p>
        </w:tc>
      </w:tr>
      <w:tr w14:paraId="34D4786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E0D6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9AE35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6EC4C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E6DF1">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CD59D">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F67EC">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623B8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DD1669">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B7DBBF">
            <w:pPr>
              <w:jc w:val="center"/>
            </w:pPr>
            <w:r>
              <w:rPr>
                <w:rFonts w:ascii="宋体" w:hAnsi="宋体" w:eastAsia="宋体"/>
                <w:sz w:val="16"/>
              </w:rPr>
              <w:t>得分</w:t>
            </w:r>
          </w:p>
        </w:tc>
      </w:tr>
      <w:tr w14:paraId="375586D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B0124A">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101D6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54B032">
            <w:pPr>
              <w:jc w:val="center"/>
            </w:pPr>
            <w:r>
              <w:rPr>
                <w:rFonts w:ascii="宋体" w:hAnsi="宋体" w:eastAsia="宋体"/>
                <w:sz w:val="16"/>
              </w:rPr>
              <w:t>召开规范生产会议次数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C90F58">
            <w:pPr>
              <w:jc w:val="center"/>
            </w:pPr>
            <w:r>
              <w:rPr>
                <w:rFonts w:ascii="宋体" w:hAnsi="宋体" w:eastAsia="宋体"/>
                <w:sz w:val="16"/>
              </w:rPr>
              <w:t>&gt;=12次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83066">
            <w:pPr>
              <w:jc w:val="center"/>
            </w:pPr>
            <w:r>
              <w:rPr>
                <w:rFonts w:ascii="宋体" w:hAnsi="宋体" w:eastAsia="宋体"/>
                <w:sz w:val="16"/>
              </w:rPr>
              <w:t>2024年工作计划及2023年工作总结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2B524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BF763">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B547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369D23">
            <w:pPr>
              <w:jc w:val="center"/>
            </w:pPr>
            <w:r>
              <w:rPr>
                <w:rFonts w:ascii="宋体" w:hAnsi="宋体" w:eastAsia="宋体"/>
                <w:sz w:val="16"/>
              </w:rPr>
              <w:t>20</w:t>
            </w:r>
          </w:p>
        </w:tc>
      </w:tr>
      <w:tr w14:paraId="538745D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A2FCF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654D7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8885E">
            <w:pPr>
              <w:jc w:val="center"/>
            </w:pPr>
            <w:r>
              <w:rPr>
                <w:rFonts w:ascii="宋体" w:hAnsi="宋体" w:eastAsia="宋体"/>
                <w:sz w:val="16"/>
              </w:rPr>
              <w:t>召开减灾委会议次数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DEEB44">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BB3645">
            <w:pPr>
              <w:jc w:val="center"/>
            </w:pPr>
            <w:r>
              <w:rPr>
                <w:rFonts w:ascii="宋体" w:hAnsi="宋体" w:eastAsia="宋体"/>
                <w:sz w:val="16"/>
              </w:rPr>
              <w:t>2024年工作计划及2023年工作总结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F1BA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919DF0">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0B4CF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4DC3FC">
            <w:pPr>
              <w:jc w:val="center"/>
            </w:pPr>
            <w:r>
              <w:rPr>
                <w:rFonts w:ascii="宋体" w:hAnsi="宋体" w:eastAsia="宋体"/>
                <w:sz w:val="16"/>
              </w:rPr>
              <w:t>10</w:t>
            </w:r>
          </w:p>
        </w:tc>
      </w:tr>
      <w:tr w14:paraId="0CA9C16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8DC00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53749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24BA8">
            <w:pPr>
              <w:jc w:val="center"/>
            </w:pPr>
            <w:r>
              <w:rPr>
                <w:rFonts w:ascii="宋体" w:hAnsi="宋体" w:eastAsia="宋体"/>
                <w:sz w:val="16"/>
              </w:rPr>
              <w:t>检查工贸企业数量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874393">
            <w:pPr>
              <w:jc w:val="center"/>
            </w:pPr>
            <w:r>
              <w:rPr>
                <w:rFonts w:ascii="宋体" w:hAnsi="宋体" w:eastAsia="宋体"/>
                <w:sz w:val="16"/>
              </w:rPr>
              <w:t>&gt;=1071次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7CEACB">
            <w:pPr>
              <w:jc w:val="center"/>
            </w:pPr>
            <w:r>
              <w:rPr>
                <w:rFonts w:ascii="宋体" w:hAnsi="宋体" w:eastAsia="宋体"/>
                <w:sz w:val="16"/>
              </w:rPr>
              <w:t>2024年工作计划及2023年工作总结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2973D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1E0AF">
            <w:pPr>
              <w:jc w:val="center"/>
            </w:pPr>
            <w:r>
              <w:rPr>
                <w:rFonts w:ascii="宋体" w:hAnsi="宋体" w:eastAsia="宋体"/>
                <w:sz w:val="16"/>
              </w:rPr>
              <w:t>1090次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ADF58">
            <w:pPr>
              <w:jc w:val="center"/>
            </w:pPr>
            <w:r>
              <w:rPr>
                <w:rFonts w:ascii="宋体" w:hAnsi="宋体" w:eastAsia="宋体"/>
                <w:sz w:val="16"/>
              </w:rPr>
              <w:t>101.77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12AAA">
            <w:pPr>
              <w:jc w:val="center"/>
            </w:pPr>
            <w:r>
              <w:rPr>
                <w:rFonts w:ascii="宋体" w:hAnsi="宋体" w:eastAsia="宋体"/>
                <w:sz w:val="16"/>
              </w:rPr>
              <w:t>10</w:t>
            </w:r>
          </w:p>
        </w:tc>
      </w:tr>
      <w:tr w14:paraId="5DB7FB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7C182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63844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F96070">
            <w:pPr>
              <w:jc w:val="center"/>
            </w:pPr>
            <w:r>
              <w:rPr>
                <w:rFonts w:ascii="宋体" w:hAnsi="宋体" w:eastAsia="宋体"/>
                <w:sz w:val="16"/>
              </w:rPr>
              <w:t>开展烟花爆竹零售点监管执法检查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71F297">
            <w:pPr>
              <w:jc w:val="center"/>
            </w:pPr>
            <w:r>
              <w:rPr>
                <w:rFonts w:ascii="宋体" w:hAnsi="宋体" w:eastAsia="宋体"/>
                <w:sz w:val="16"/>
              </w:rPr>
              <w:t>&gt;=1家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4E74C6">
            <w:pPr>
              <w:jc w:val="center"/>
            </w:pPr>
            <w:r>
              <w:rPr>
                <w:rFonts w:ascii="宋体" w:hAnsi="宋体" w:eastAsia="宋体"/>
                <w:sz w:val="16"/>
              </w:rPr>
              <w:t>2024年工作计划及2023年工作总结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EF07AB">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CBC9F1">
            <w:pPr>
              <w:jc w:val="center"/>
            </w:pPr>
            <w:r>
              <w:rPr>
                <w:rFonts w:ascii="宋体" w:hAnsi="宋体" w:eastAsia="宋体"/>
                <w:sz w:val="16"/>
              </w:rPr>
              <w:t>1家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3304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E5C1C1">
            <w:pPr>
              <w:jc w:val="center"/>
            </w:pPr>
            <w:r>
              <w:rPr>
                <w:rFonts w:ascii="宋体" w:hAnsi="宋体" w:eastAsia="宋体"/>
                <w:sz w:val="16"/>
              </w:rPr>
              <w:t>15</w:t>
            </w:r>
          </w:p>
        </w:tc>
      </w:tr>
      <w:tr w14:paraId="2D661E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108E8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2B677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36D5FD">
            <w:pPr>
              <w:jc w:val="center"/>
            </w:pPr>
            <w:r>
              <w:rPr>
                <w:rFonts w:ascii="宋体" w:hAnsi="宋体" w:eastAsia="宋体"/>
                <w:sz w:val="16"/>
              </w:rPr>
              <w:t>开展危险化学品监管执法检查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9AA7B">
            <w:pPr>
              <w:jc w:val="center"/>
            </w:pPr>
            <w:r>
              <w:rPr>
                <w:rFonts w:ascii="宋体" w:hAnsi="宋体" w:eastAsia="宋体"/>
                <w:sz w:val="16"/>
              </w:rPr>
              <w:t>&gt;=36家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75FAC7">
            <w:pPr>
              <w:jc w:val="center"/>
            </w:pPr>
            <w:r>
              <w:rPr>
                <w:rFonts w:ascii="宋体" w:hAnsi="宋体" w:eastAsia="宋体"/>
                <w:sz w:val="16"/>
              </w:rPr>
              <w:t>2024年工作计划及2023年工作总结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C75C96">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379FC2">
            <w:pPr>
              <w:jc w:val="center"/>
            </w:pPr>
            <w:r>
              <w:rPr>
                <w:rFonts w:ascii="宋体" w:hAnsi="宋体" w:eastAsia="宋体"/>
                <w:sz w:val="16"/>
              </w:rPr>
              <w:t>36家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C7C9A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3F5B32">
            <w:pPr>
              <w:jc w:val="center"/>
            </w:pPr>
            <w:r>
              <w:rPr>
                <w:rFonts w:ascii="宋体" w:hAnsi="宋体" w:eastAsia="宋体"/>
                <w:sz w:val="16"/>
              </w:rPr>
              <w:t>15</w:t>
            </w:r>
          </w:p>
        </w:tc>
      </w:tr>
      <w:tr w14:paraId="521B97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5EA2E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B9C6B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406D8">
            <w:pPr>
              <w:jc w:val="center"/>
            </w:pPr>
            <w:r>
              <w:rPr>
                <w:rFonts w:ascii="宋体" w:hAnsi="宋体" w:eastAsia="宋体"/>
                <w:sz w:val="16"/>
              </w:rPr>
              <w:t>推动高危企业开展安全检查次数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27708C">
            <w:pPr>
              <w:jc w:val="center"/>
            </w:pPr>
            <w:r>
              <w:rPr>
                <w:rFonts w:ascii="宋体" w:hAnsi="宋体" w:eastAsia="宋体"/>
                <w:sz w:val="16"/>
              </w:rPr>
              <w:t>&gt;=12次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6FC351">
            <w:pPr>
              <w:jc w:val="center"/>
            </w:pPr>
            <w:r>
              <w:rPr>
                <w:rFonts w:ascii="宋体" w:hAnsi="宋体" w:eastAsia="宋体"/>
                <w:sz w:val="16"/>
              </w:rPr>
              <w:t>2024年工作计划及2023年工作总结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1D352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FFC99">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5059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0DD009">
            <w:pPr>
              <w:jc w:val="center"/>
            </w:pPr>
            <w:r>
              <w:rPr>
                <w:rFonts w:ascii="宋体" w:hAnsi="宋体" w:eastAsia="宋体"/>
                <w:sz w:val="16"/>
              </w:rPr>
              <w:t>10</w:t>
            </w:r>
          </w:p>
        </w:tc>
      </w:tr>
      <w:tr w14:paraId="0D1C5E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53E97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54377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A03B6">
            <w:pPr>
              <w:jc w:val="center"/>
            </w:pPr>
            <w:r>
              <w:rPr>
                <w:rFonts w:ascii="宋体" w:hAnsi="宋体" w:eastAsia="宋体"/>
                <w:sz w:val="16"/>
              </w:rPr>
              <w:t>推动高危企业开展应急演练次数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02763F">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85C8A9">
            <w:pPr>
              <w:jc w:val="center"/>
            </w:pPr>
            <w:r>
              <w:rPr>
                <w:rFonts w:ascii="宋体" w:hAnsi="宋体" w:eastAsia="宋体"/>
                <w:sz w:val="16"/>
              </w:rPr>
              <w:t>2024年工作计划及2023年工作总结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B1072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4D0715">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70339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AB2D9">
            <w:pPr>
              <w:jc w:val="center"/>
            </w:pPr>
            <w:r>
              <w:rPr>
                <w:rFonts w:ascii="宋体" w:hAnsi="宋体" w:eastAsia="宋体"/>
                <w:sz w:val="16"/>
              </w:rPr>
              <w:t>10</w:t>
            </w:r>
          </w:p>
        </w:tc>
      </w:tr>
    </w:tbl>
    <w:p w14:paraId="6AB909ED">
      <w:r>
        <w:br w:type="page"/>
      </w:r>
    </w:p>
    <w:tbl>
      <w:tblPr>
        <w:tblStyle w:val="9"/>
        <w:tblW w:w="0" w:type="auto"/>
        <w:tblInd w:w="0" w:type="dxa"/>
        <w:tblLayout w:type="autofit"/>
        <w:tblCellMar>
          <w:top w:w="0" w:type="dxa"/>
          <w:left w:w="108" w:type="dxa"/>
          <w:bottom w:w="0" w:type="dxa"/>
          <w:right w:w="108" w:type="dxa"/>
        </w:tblCellMar>
      </w:tblPr>
      <w:tblGrid>
        <w:gridCol w:w="619"/>
        <w:gridCol w:w="597"/>
        <w:gridCol w:w="597"/>
        <w:gridCol w:w="619"/>
        <w:gridCol w:w="936"/>
        <w:gridCol w:w="597"/>
        <w:gridCol w:w="597"/>
        <w:gridCol w:w="608"/>
        <w:gridCol w:w="597"/>
        <w:gridCol w:w="608"/>
        <w:gridCol w:w="856"/>
        <w:gridCol w:w="632"/>
        <w:gridCol w:w="565"/>
        <w:gridCol w:w="632"/>
      </w:tblGrid>
      <w:tr w14:paraId="3B8AAB05">
        <w:tblPrEx>
          <w:tblCellMar>
            <w:top w:w="0" w:type="dxa"/>
            <w:left w:w="108" w:type="dxa"/>
            <w:bottom w:w="0" w:type="dxa"/>
            <w:right w:w="108" w:type="dxa"/>
          </w:tblCellMar>
        </w:tblPrEx>
        <w:tc>
          <w:tcPr>
            <w:tcW w:w="8848" w:type="dxa"/>
            <w:gridSpan w:val="14"/>
            <w:vAlign w:val="center"/>
          </w:tcPr>
          <w:p w14:paraId="6E4F7727">
            <w:pPr>
              <w:jc w:val="center"/>
            </w:pPr>
            <w:r>
              <w:rPr>
                <w:rFonts w:ascii="宋体" w:hAnsi="宋体" w:eastAsia="宋体"/>
                <w:sz w:val="24"/>
              </w:rPr>
              <w:t>项目支出绩效自评表</w:t>
            </w:r>
          </w:p>
        </w:tc>
      </w:tr>
      <w:tr w14:paraId="3453CA2E">
        <w:tblPrEx>
          <w:tblCellMar>
            <w:top w:w="0" w:type="dxa"/>
            <w:left w:w="108" w:type="dxa"/>
            <w:bottom w:w="0" w:type="dxa"/>
            <w:right w:w="108" w:type="dxa"/>
          </w:tblCellMar>
        </w:tblPrEx>
        <w:tc>
          <w:tcPr>
            <w:tcW w:w="8848" w:type="dxa"/>
            <w:gridSpan w:val="14"/>
            <w:vAlign w:val="center"/>
          </w:tcPr>
          <w:p w14:paraId="5F823102">
            <w:pPr>
              <w:jc w:val="center"/>
            </w:pPr>
            <w:r>
              <w:rPr>
                <w:rFonts w:ascii="宋体" w:hAnsi="宋体" w:eastAsia="宋体"/>
                <w:sz w:val="24"/>
              </w:rPr>
              <w:t>(2024年度)</w:t>
            </w:r>
          </w:p>
        </w:tc>
      </w:tr>
      <w:tr w14:paraId="550A23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89C7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6714F2C">
            <w:pPr>
              <w:jc w:val="center"/>
            </w:pPr>
            <w:r>
              <w:rPr>
                <w:rFonts w:ascii="宋体" w:hAnsi="宋体" w:eastAsia="宋体"/>
                <w:sz w:val="16"/>
              </w:rPr>
              <w:t>规范生产工作经费项目</w:t>
            </w:r>
          </w:p>
        </w:tc>
      </w:tr>
      <w:tr w14:paraId="4D22EA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4151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16C3D4">
            <w:pPr>
              <w:jc w:val="center"/>
            </w:pPr>
            <w:r>
              <w:rPr>
                <w:rFonts w:ascii="宋体" w:hAnsi="宋体" w:eastAsia="宋体"/>
                <w:sz w:val="16"/>
              </w:rPr>
              <w:t>疏勒县应急管理局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7E4C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5D9A36">
            <w:pPr>
              <w:jc w:val="center"/>
            </w:pPr>
            <w:r>
              <w:rPr>
                <w:rFonts w:ascii="宋体" w:hAnsi="宋体" w:eastAsia="宋体"/>
                <w:sz w:val="16"/>
              </w:rPr>
              <w:t>疏勒县应急管理局</w:t>
            </w:r>
          </w:p>
        </w:tc>
      </w:tr>
      <w:tr w14:paraId="7EE40C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D5379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9D21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8CF9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2B54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8274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0798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AC02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3F10B">
            <w:pPr>
              <w:jc w:val="center"/>
            </w:pPr>
            <w:r>
              <w:rPr>
                <w:rFonts w:ascii="宋体" w:hAnsi="宋体" w:eastAsia="宋体"/>
                <w:sz w:val="16"/>
              </w:rPr>
              <w:t>得分</w:t>
            </w:r>
          </w:p>
        </w:tc>
      </w:tr>
      <w:tr w14:paraId="140C6B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EB11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1863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7E419">
            <w:pPr>
              <w:jc w:val="center"/>
            </w:pPr>
            <w:r>
              <w:rPr>
                <w:rFonts w:ascii="宋体" w:hAnsi="宋体" w:eastAsia="宋体"/>
                <w:sz w:val="16"/>
              </w:rPr>
              <w:t>50.08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7E9EE">
            <w:pPr>
              <w:jc w:val="center"/>
            </w:pPr>
            <w:r>
              <w:rPr>
                <w:rFonts w:ascii="宋体" w:hAnsi="宋体" w:eastAsia="宋体"/>
                <w:sz w:val="16"/>
              </w:rPr>
              <w:t>39.60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6EB01">
            <w:pPr>
              <w:jc w:val="center"/>
            </w:pPr>
            <w:r>
              <w:rPr>
                <w:rFonts w:ascii="宋体" w:hAnsi="宋体" w:eastAsia="宋体"/>
                <w:sz w:val="16"/>
              </w:rPr>
              <w:t>39.60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EFD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8818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C5F20">
            <w:pPr>
              <w:jc w:val="center"/>
            </w:pPr>
            <w:r>
              <w:rPr>
                <w:rFonts w:ascii="宋体" w:hAnsi="宋体" w:eastAsia="宋体"/>
                <w:sz w:val="16"/>
              </w:rPr>
              <w:t>10.00分</w:t>
            </w:r>
          </w:p>
        </w:tc>
      </w:tr>
      <w:tr w14:paraId="571137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4CE1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40E5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2550C">
            <w:pPr>
              <w:jc w:val="center"/>
            </w:pPr>
            <w:r>
              <w:rPr>
                <w:rFonts w:ascii="宋体" w:hAnsi="宋体" w:eastAsia="宋体"/>
                <w:sz w:val="16"/>
              </w:rPr>
              <w:t>50.08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E1319">
            <w:pPr>
              <w:jc w:val="center"/>
            </w:pPr>
            <w:r>
              <w:rPr>
                <w:rFonts w:ascii="宋体" w:hAnsi="宋体" w:eastAsia="宋体"/>
                <w:sz w:val="16"/>
              </w:rPr>
              <w:t>39.60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C64F6">
            <w:pPr>
              <w:jc w:val="center"/>
            </w:pPr>
            <w:r>
              <w:rPr>
                <w:rFonts w:ascii="宋体" w:hAnsi="宋体" w:eastAsia="宋体"/>
                <w:sz w:val="16"/>
              </w:rPr>
              <w:t>39.60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AD6E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D4F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D6224">
            <w:pPr>
              <w:jc w:val="center"/>
            </w:pPr>
            <w:r>
              <w:rPr>
                <w:rFonts w:ascii="宋体" w:hAnsi="宋体" w:eastAsia="宋体"/>
                <w:sz w:val="16"/>
              </w:rPr>
              <w:t>—</w:t>
            </w:r>
          </w:p>
        </w:tc>
      </w:tr>
      <w:tr w14:paraId="76DA53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F7F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1B05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AB6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C48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E6F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0C74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31A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FC6C3">
            <w:pPr>
              <w:jc w:val="center"/>
            </w:pPr>
            <w:r>
              <w:rPr>
                <w:rFonts w:ascii="宋体" w:hAnsi="宋体" w:eastAsia="宋体"/>
                <w:sz w:val="16"/>
              </w:rPr>
              <w:t>—</w:t>
            </w:r>
          </w:p>
        </w:tc>
      </w:tr>
      <w:tr w14:paraId="009DE6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7B93A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6B989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7DBF7A">
            <w:pPr>
              <w:jc w:val="center"/>
            </w:pPr>
            <w:r>
              <w:rPr>
                <w:rFonts w:ascii="宋体" w:hAnsi="宋体" w:eastAsia="宋体"/>
                <w:sz w:val="16"/>
              </w:rPr>
              <w:t>实际完成情况</w:t>
            </w:r>
          </w:p>
        </w:tc>
      </w:tr>
      <w:tr w14:paraId="0477C6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14381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99C991">
            <w:pPr>
              <w:jc w:val="both"/>
            </w:pPr>
            <w:r>
              <w:rPr>
                <w:rFonts w:ascii="宋体" w:hAnsi="宋体" w:eastAsia="宋体"/>
                <w:sz w:val="16"/>
              </w:rPr>
              <w:t>项目计划投资39.60万元，主要实施内容为保障装备、网络终端等2个设备的正常运行、计划完成检查20次、进行业务培训2次，资金主要用于购买执法装备22.3345万元；规范生产、防灾减灾宣传、制作费1.98万；应急管理安全网络、系统、执法车辆维修、燃油费15.2817万元，预计项目实施后，有效提升减灾工作群众知晓率，有效提高我县规范生产工作水平，使参训人员满意度达95%及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482F50">
            <w:pPr>
              <w:jc w:val="both"/>
            </w:pPr>
            <w:bookmarkStart w:id="0" w:name="_GoBack"/>
            <w:r>
              <w:rPr>
                <w:rFonts w:hint="eastAsia" w:ascii="宋体" w:hAnsi="宋体"/>
                <w:sz w:val="16"/>
                <w:lang w:eastAsia="zh-CN"/>
              </w:rPr>
              <w:t>截至</w:t>
            </w:r>
            <w:bookmarkEnd w:id="0"/>
            <w:r>
              <w:rPr>
                <w:rFonts w:ascii="宋体" w:hAnsi="宋体" w:eastAsia="宋体"/>
                <w:sz w:val="16"/>
              </w:rPr>
              <w:t>2024年12月31日，项目实际投资总额为39.60万元，主要实施内容为保障装备、网络终端等2</w:t>
            </w:r>
            <w:r>
              <w:rPr>
                <w:rFonts w:hint="eastAsia" w:ascii="宋体" w:hAnsi="宋体"/>
                <w:sz w:val="16"/>
                <w:lang w:eastAsia="zh-CN"/>
              </w:rPr>
              <w:t>台</w:t>
            </w:r>
            <w:r>
              <w:rPr>
                <w:rFonts w:ascii="宋体" w:hAnsi="宋体" w:eastAsia="宋体"/>
                <w:sz w:val="16"/>
              </w:rPr>
              <w:t>设备的正常运行、</w:t>
            </w:r>
            <w:r>
              <w:rPr>
                <w:rFonts w:hint="eastAsia" w:ascii="宋体" w:hAnsi="宋体"/>
                <w:sz w:val="16"/>
                <w:lang w:eastAsia="zh-CN"/>
              </w:rPr>
              <w:t>完成</w:t>
            </w:r>
            <w:r>
              <w:rPr>
                <w:rFonts w:ascii="宋体" w:hAnsi="宋体" w:eastAsia="宋体"/>
                <w:sz w:val="16"/>
              </w:rPr>
              <w:t>检查20次、进行业务培训2次，资金主要用于购买执法装备22.3345万元；规范生产、防灾减灾宣传、制作费1.98万；应急管理安全网络、系统、执法车辆维修、燃油费15.2817万元，项目实施后，有效提升减灾工作群众知晓率，有效提高我县规范生产工作水平，参训人员满意度达100%。</w:t>
            </w:r>
          </w:p>
        </w:tc>
      </w:tr>
      <w:tr w14:paraId="0C6231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A0C44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2780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F9BE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1898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5B9B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2B97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1C02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38B0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D82B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E35E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EE1D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8AF7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E8CCE">
            <w:pPr>
              <w:jc w:val="center"/>
            </w:pPr>
            <w:r>
              <w:rPr>
                <w:rFonts w:ascii="宋体" w:hAnsi="宋体" w:eastAsia="宋体"/>
                <w:sz w:val="16"/>
              </w:rPr>
              <w:t>偏差原因分析及改进措施</w:t>
            </w:r>
          </w:p>
        </w:tc>
      </w:tr>
      <w:tr w14:paraId="604407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7BBEC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2C353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F5825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778FF">
            <w:pPr>
              <w:jc w:val="center"/>
            </w:pPr>
            <w:r>
              <w:rPr>
                <w:rFonts w:ascii="宋体" w:hAnsi="宋体" w:eastAsia="宋体"/>
                <w:sz w:val="16"/>
              </w:rPr>
              <w:t>保障装备、网络终端设备</w:t>
            </w:r>
            <w:r>
              <w:rPr>
                <w:rFonts w:hint="eastAsia" w:ascii="宋体" w:hAnsi="宋体"/>
                <w:sz w:val="16"/>
                <w:lang w:eastAsia="zh-CN"/>
              </w:rPr>
              <w:t>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1B30D">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864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DA7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7F2D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312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3434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73396">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3D58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24587">
            <w:pPr>
              <w:jc w:val="center"/>
            </w:pPr>
          </w:p>
        </w:tc>
      </w:tr>
      <w:tr w14:paraId="477544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C5AC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DFFF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483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5D2D4">
            <w:pPr>
              <w:jc w:val="center"/>
            </w:pPr>
            <w:r>
              <w:rPr>
                <w:rFonts w:ascii="宋体" w:hAnsi="宋体" w:eastAsia="宋体"/>
                <w:sz w:val="16"/>
              </w:rPr>
              <w:t>完成检查次数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33DEC">
            <w:pPr>
              <w:jc w:val="center"/>
            </w:pPr>
            <w:r>
              <w:rPr>
                <w:rFonts w:ascii="宋体" w:hAnsi="宋体" w:eastAsia="宋体"/>
                <w:sz w:val="16"/>
              </w:rPr>
              <w:t>&gt;=20次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C5F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CE7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4793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B73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1E4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7B6BA">
            <w:pPr>
              <w:jc w:val="center"/>
            </w:pPr>
            <w:r>
              <w:rPr>
                <w:rFonts w:ascii="宋体" w:hAnsi="宋体" w:eastAsia="宋体"/>
                <w:sz w:val="16"/>
              </w:rPr>
              <w: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6A86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DE0D5">
            <w:pPr>
              <w:jc w:val="center"/>
            </w:pPr>
          </w:p>
        </w:tc>
      </w:tr>
      <w:tr w14:paraId="7A0BF2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738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D72C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871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C1F3E">
            <w:pPr>
              <w:jc w:val="center"/>
            </w:pPr>
            <w:r>
              <w:rPr>
                <w:rFonts w:ascii="宋体" w:hAnsi="宋体" w:eastAsia="宋体"/>
                <w:sz w:val="16"/>
              </w:rPr>
              <w:t>进行业务培训场次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164A8">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6EF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887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5D67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651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20D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148E8">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7D0F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8A81C">
            <w:pPr>
              <w:jc w:val="center"/>
            </w:pPr>
          </w:p>
        </w:tc>
      </w:tr>
      <w:tr w14:paraId="78E71B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595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6C705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0E5F5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BF86C">
            <w:pPr>
              <w:jc w:val="center"/>
            </w:pPr>
            <w:r>
              <w:rPr>
                <w:rFonts w:ascii="宋体" w:hAnsi="宋体" w:eastAsia="宋体"/>
                <w:sz w:val="16"/>
              </w:rPr>
              <w:t>装备验收合格率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D35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509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D85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CCD0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893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6399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862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0A4E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471AE">
            <w:pPr>
              <w:jc w:val="center"/>
            </w:pPr>
          </w:p>
        </w:tc>
      </w:tr>
      <w:tr w14:paraId="66B18B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6A33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130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52B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704C5">
            <w:pPr>
              <w:jc w:val="center"/>
            </w:pPr>
            <w:r>
              <w:rPr>
                <w:rFonts w:ascii="宋体" w:hAnsi="宋体" w:eastAsia="宋体"/>
                <w:sz w:val="16"/>
              </w:rPr>
              <w:t>企业及群众规范生产教育、防灾减灾宣传普及率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E15C0">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961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5B9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4B89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4D8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FB6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37676">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9C3E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70F80">
            <w:pPr>
              <w:jc w:val="center"/>
            </w:pPr>
          </w:p>
        </w:tc>
      </w:tr>
      <w:tr w14:paraId="37F851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2AB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591B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B8914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DCF9D">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384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D6E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52C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C155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502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7B0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B12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2F921">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C4FFD">
            <w:pPr>
              <w:jc w:val="center"/>
            </w:pPr>
          </w:p>
        </w:tc>
      </w:tr>
      <w:tr w14:paraId="436F09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0B7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123F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0C49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8C50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AFD86">
            <w:pPr>
              <w:jc w:val="center"/>
            </w:pPr>
            <w:r>
              <w:rPr>
                <w:rFonts w:ascii="宋体" w:hAnsi="宋体" w:eastAsia="宋体"/>
                <w:sz w:val="16"/>
              </w:rPr>
              <w:t>=2024年11月18日前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EF9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96E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766F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F8A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439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3F526">
            <w:pPr>
              <w:jc w:val="center"/>
            </w:pPr>
            <w:r>
              <w:rPr>
                <w:rFonts w:ascii="宋体" w:hAnsi="宋体" w:eastAsia="宋体"/>
                <w:sz w:val="16"/>
              </w:rPr>
              <w:t>=2024年11月18日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16610">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693DF">
            <w:pPr>
              <w:jc w:val="center"/>
            </w:pPr>
          </w:p>
        </w:tc>
      </w:tr>
      <w:tr w14:paraId="528EE011">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6B80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38136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4C8A0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F7051">
            <w:pPr>
              <w:jc w:val="center"/>
            </w:pPr>
            <w:r>
              <w:rPr>
                <w:rFonts w:ascii="宋体" w:hAnsi="宋体" w:eastAsia="宋体"/>
                <w:sz w:val="16"/>
              </w:rPr>
              <w:t>购买执法装备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4A4E4">
            <w:pPr>
              <w:jc w:val="center"/>
            </w:pPr>
            <w:r>
              <w:rPr>
                <w:rFonts w:ascii="宋体" w:hAnsi="宋体" w:eastAsia="宋体"/>
                <w:sz w:val="16"/>
              </w:rPr>
              <w:t>&lt;=22.3345万元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85F9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8AE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A1C2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BDE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E368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B6FBA">
            <w:pPr>
              <w:jc w:val="center"/>
            </w:pPr>
            <w:r>
              <w:rPr>
                <w:rFonts w:ascii="宋体" w:hAnsi="宋体" w:eastAsia="宋体"/>
                <w:sz w:val="16"/>
              </w:rPr>
              <w:t>=22.3345万元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59CE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79B6F">
            <w:pPr>
              <w:jc w:val="center"/>
            </w:pPr>
          </w:p>
        </w:tc>
      </w:tr>
      <w:tr w14:paraId="131E0D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CB1D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1EB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128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5694A">
            <w:pPr>
              <w:jc w:val="center"/>
            </w:pPr>
            <w:r>
              <w:rPr>
                <w:rFonts w:ascii="宋体" w:hAnsi="宋体" w:eastAsia="宋体"/>
                <w:sz w:val="16"/>
              </w:rPr>
              <w:t>规范生产、防灾减灾宣传、制作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7ACCC">
            <w:pPr>
              <w:jc w:val="center"/>
            </w:pPr>
            <w:r>
              <w:rPr>
                <w:rFonts w:ascii="宋体" w:hAnsi="宋体" w:eastAsia="宋体"/>
                <w:sz w:val="16"/>
              </w:rPr>
              <w:t>&lt;=1.98万元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720F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CC6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B3B8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8D8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348D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47C6A">
            <w:pPr>
              <w:jc w:val="center"/>
            </w:pPr>
            <w:r>
              <w:rPr>
                <w:rFonts w:ascii="宋体" w:hAnsi="宋体" w:eastAsia="宋体"/>
                <w:sz w:val="16"/>
              </w:rPr>
              <w:t>=1.98万元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4D3F2">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C25D1">
            <w:pPr>
              <w:jc w:val="center"/>
            </w:pPr>
          </w:p>
        </w:tc>
      </w:tr>
      <w:tr w14:paraId="48FC8F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C6C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1064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CFB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8AEB3">
            <w:pPr>
              <w:jc w:val="center"/>
            </w:pPr>
            <w:r>
              <w:rPr>
                <w:rFonts w:ascii="宋体" w:hAnsi="宋体" w:eastAsia="宋体"/>
                <w:sz w:val="16"/>
              </w:rPr>
              <w:t>应急管理安全网络、系统、执法车辆维修、燃油费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30955">
            <w:pPr>
              <w:jc w:val="center"/>
            </w:pPr>
            <w:r>
              <w:rPr>
                <w:rFonts w:ascii="宋体" w:hAnsi="宋体" w:eastAsia="宋体"/>
                <w:sz w:val="16"/>
              </w:rPr>
              <w:t>&lt;=15.2817万元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6F32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F2D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6849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EE3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3735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8DD8B">
            <w:pPr>
              <w:jc w:val="center"/>
            </w:pPr>
            <w:r>
              <w:rPr>
                <w:rFonts w:ascii="宋体" w:hAnsi="宋体" w:eastAsia="宋体"/>
                <w:sz w:val="16"/>
              </w:rPr>
              <w:t>=15.2817万元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F9C8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4F7AC">
            <w:pPr>
              <w:jc w:val="center"/>
            </w:pPr>
          </w:p>
        </w:tc>
      </w:tr>
      <w:tr w14:paraId="06FBD3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5A80B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99E51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95144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A1F0A">
            <w:pPr>
              <w:jc w:val="center"/>
            </w:pPr>
            <w:r>
              <w:rPr>
                <w:rFonts w:ascii="宋体" w:hAnsi="宋体" w:eastAsia="宋体"/>
                <w:sz w:val="16"/>
              </w:rPr>
              <w:t>提升减灾工作群众知晓率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AEB6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D01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D3F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52F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D47F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304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C0E1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A6B2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1BE35">
            <w:pPr>
              <w:jc w:val="center"/>
            </w:pPr>
          </w:p>
        </w:tc>
      </w:tr>
      <w:tr w14:paraId="325048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549E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AF1C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62E5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8E963">
            <w:pPr>
              <w:jc w:val="center"/>
            </w:pPr>
            <w:r>
              <w:rPr>
                <w:rFonts w:ascii="宋体" w:hAnsi="宋体" w:eastAsia="宋体"/>
                <w:sz w:val="16"/>
              </w:rPr>
              <w:t>提高我县规范生产工作水平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9312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DEF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479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51D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4D08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CEA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4250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68A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E43A8">
            <w:pPr>
              <w:jc w:val="center"/>
            </w:pPr>
          </w:p>
        </w:tc>
      </w:tr>
      <w:tr w14:paraId="3071D0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F19D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AAEE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3783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2D891">
            <w:pPr>
              <w:jc w:val="center"/>
            </w:pPr>
            <w:r>
              <w:rPr>
                <w:rFonts w:ascii="宋体" w:hAnsi="宋体" w:eastAsia="宋体"/>
                <w:sz w:val="16"/>
              </w:rPr>
              <w:t>参训人员满意度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702E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5FD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778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82B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8840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1D9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DB0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2F7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3C828">
            <w:pPr>
              <w:jc w:val="center"/>
            </w:pPr>
            <w:r>
              <w:rPr>
                <w:rFonts w:ascii="宋体" w:hAnsi="宋体" w:eastAsia="宋体"/>
                <w:sz w:val="16"/>
              </w:rPr>
              <w:t>原因分析：该项目指标参训人员满意度≥95%，因项目实际问卷调查满意度为100%，故指标偏差为5.26%；改进措施:根据项目实施情况，合理设置预期指标值，使完成值和预期指标值相一致。</w:t>
            </w:r>
          </w:p>
        </w:tc>
      </w:tr>
      <w:tr w14:paraId="43BEC63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7CC3D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4DF3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DD049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6329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69823FF"/>
        </w:tc>
      </w:tr>
    </w:tbl>
    <w:p w14:paraId="2271B71E">
      <w:r>
        <w:br w:type="page"/>
      </w:r>
    </w:p>
    <w:p w14:paraId="562FA582">
      <w:pPr>
        <w:spacing w:line="640" w:lineRule="exact"/>
        <w:ind w:firstLine="640"/>
        <w:jc w:val="both"/>
        <w:outlineLvl w:val="2"/>
      </w:pPr>
      <w:r>
        <w:rPr>
          <w:rFonts w:ascii="黑体" w:hAnsi="黑体" w:eastAsia="黑体"/>
          <w:sz w:val="32"/>
        </w:rPr>
        <w:t>十二、其他需说明的事项</w:t>
      </w:r>
    </w:p>
    <w:p w14:paraId="37A9F943">
      <w:pPr>
        <w:spacing w:line="580" w:lineRule="exact"/>
        <w:ind w:firstLine="640"/>
        <w:jc w:val="both"/>
      </w:pPr>
      <w:r>
        <w:rPr>
          <w:rFonts w:ascii="仿宋_GB2312" w:hAnsi="仿宋_GB2312" w:eastAsia="仿宋_GB2312"/>
          <w:b w:val="0"/>
          <w:sz w:val="32"/>
        </w:rPr>
        <w:t>本单位无其他需说明的事项。</w:t>
      </w:r>
    </w:p>
    <w:p w14:paraId="61CB1532">
      <w:r>
        <w:br w:type="page"/>
      </w:r>
    </w:p>
    <w:p w14:paraId="38BDDC50">
      <w:pPr>
        <w:spacing w:line="240" w:lineRule="auto"/>
        <w:jc w:val="center"/>
        <w:outlineLvl w:val="1"/>
      </w:pPr>
      <w:r>
        <w:rPr>
          <w:rFonts w:ascii="黑体" w:hAnsi="黑体" w:eastAsia="黑体"/>
          <w:sz w:val="32"/>
        </w:rPr>
        <w:t>第三部分 专业名词解释</w:t>
      </w:r>
    </w:p>
    <w:p w14:paraId="56C0521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D5D0BF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73128F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F6D718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DA3B69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7FD503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1AF2BA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45319F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18B69A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844862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D7F438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1DABC2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E7ACAD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A9DCB8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E901FFA">
      <w:r>
        <w:br w:type="page"/>
      </w:r>
    </w:p>
    <w:p w14:paraId="1003F185">
      <w:pPr>
        <w:spacing w:line="240" w:lineRule="auto"/>
        <w:jc w:val="center"/>
        <w:outlineLvl w:val="1"/>
      </w:pPr>
      <w:r>
        <w:rPr>
          <w:rFonts w:ascii="黑体" w:hAnsi="黑体" w:eastAsia="黑体"/>
          <w:sz w:val="32"/>
        </w:rPr>
        <w:t>第四部分 部门决算报表（见附表）</w:t>
      </w:r>
    </w:p>
    <w:p w14:paraId="4B5566D1">
      <w:pPr>
        <w:spacing w:line="240" w:lineRule="auto"/>
        <w:ind w:firstLine="640"/>
        <w:jc w:val="both"/>
      </w:pPr>
      <w:r>
        <w:rPr>
          <w:rFonts w:ascii="仿宋_GB2312" w:hAnsi="仿宋_GB2312" w:eastAsia="仿宋_GB2312"/>
          <w:b w:val="0"/>
          <w:sz w:val="32"/>
        </w:rPr>
        <w:t>一、《收入支出决算总表》</w:t>
      </w:r>
    </w:p>
    <w:p w14:paraId="45149C4F">
      <w:pPr>
        <w:spacing w:line="240" w:lineRule="auto"/>
        <w:ind w:firstLine="640"/>
        <w:jc w:val="both"/>
      </w:pPr>
      <w:r>
        <w:rPr>
          <w:rFonts w:ascii="仿宋_GB2312" w:hAnsi="仿宋_GB2312" w:eastAsia="仿宋_GB2312"/>
          <w:b w:val="0"/>
          <w:sz w:val="32"/>
        </w:rPr>
        <w:t>二、《收入决算表》</w:t>
      </w:r>
    </w:p>
    <w:p w14:paraId="46EAA373">
      <w:pPr>
        <w:spacing w:line="240" w:lineRule="auto"/>
        <w:ind w:firstLine="640"/>
        <w:jc w:val="both"/>
      </w:pPr>
      <w:r>
        <w:rPr>
          <w:rFonts w:ascii="仿宋_GB2312" w:hAnsi="仿宋_GB2312" w:eastAsia="仿宋_GB2312"/>
          <w:b w:val="0"/>
          <w:sz w:val="32"/>
        </w:rPr>
        <w:t>三、《支出决算表》</w:t>
      </w:r>
    </w:p>
    <w:p w14:paraId="46C26116">
      <w:pPr>
        <w:spacing w:line="240" w:lineRule="auto"/>
        <w:ind w:firstLine="640"/>
        <w:jc w:val="both"/>
      </w:pPr>
      <w:r>
        <w:rPr>
          <w:rFonts w:ascii="仿宋_GB2312" w:hAnsi="仿宋_GB2312" w:eastAsia="仿宋_GB2312"/>
          <w:b w:val="0"/>
          <w:sz w:val="32"/>
        </w:rPr>
        <w:t>四、《财政拨款收入支出决算总表》</w:t>
      </w:r>
    </w:p>
    <w:p w14:paraId="75A1CE74">
      <w:pPr>
        <w:spacing w:line="240" w:lineRule="auto"/>
        <w:ind w:firstLine="640"/>
        <w:jc w:val="both"/>
      </w:pPr>
      <w:r>
        <w:rPr>
          <w:rFonts w:ascii="仿宋_GB2312" w:hAnsi="仿宋_GB2312" w:eastAsia="仿宋_GB2312"/>
          <w:b w:val="0"/>
          <w:sz w:val="32"/>
        </w:rPr>
        <w:t>五、《一般公共预算财政拨款支出决算表》</w:t>
      </w:r>
    </w:p>
    <w:p w14:paraId="7C6829FC">
      <w:pPr>
        <w:spacing w:line="240" w:lineRule="auto"/>
        <w:ind w:firstLine="640"/>
        <w:jc w:val="both"/>
      </w:pPr>
      <w:r>
        <w:rPr>
          <w:rFonts w:ascii="仿宋_GB2312" w:hAnsi="仿宋_GB2312" w:eastAsia="仿宋_GB2312"/>
          <w:b w:val="0"/>
          <w:sz w:val="32"/>
        </w:rPr>
        <w:t>六、《一般公共预算财政拨款基本支出决算表》</w:t>
      </w:r>
    </w:p>
    <w:p w14:paraId="2F60F073">
      <w:pPr>
        <w:spacing w:line="240" w:lineRule="auto"/>
        <w:ind w:firstLine="640"/>
        <w:jc w:val="both"/>
      </w:pPr>
      <w:r>
        <w:rPr>
          <w:rFonts w:ascii="仿宋_GB2312" w:hAnsi="仿宋_GB2312" w:eastAsia="仿宋_GB2312"/>
          <w:b w:val="0"/>
          <w:sz w:val="32"/>
        </w:rPr>
        <w:t>七、《政府性基金预算财政拨款收入支出决算表》</w:t>
      </w:r>
    </w:p>
    <w:p w14:paraId="0D0711F4">
      <w:pPr>
        <w:spacing w:line="240" w:lineRule="auto"/>
        <w:ind w:firstLine="640"/>
        <w:jc w:val="both"/>
      </w:pPr>
      <w:r>
        <w:rPr>
          <w:rFonts w:ascii="仿宋_GB2312" w:hAnsi="仿宋_GB2312" w:eastAsia="仿宋_GB2312"/>
          <w:b w:val="0"/>
          <w:sz w:val="32"/>
        </w:rPr>
        <w:t>八、《国有资本经营预算财政拨款收入支出决算表》</w:t>
      </w:r>
    </w:p>
    <w:p w14:paraId="093B7045">
      <w:pPr>
        <w:spacing w:line="240" w:lineRule="auto"/>
        <w:ind w:firstLine="640"/>
        <w:jc w:val="both"/>
      </w:pPr>
      <w:r>
        <w:rPr>
          <w:rFonts w:ascii="仿宋_GB2312" w:hAnsi="仿宋_GB2312" w:eastAsia="仿宋_GB2312"/>
          <w:b w:val="0"/>
          <w:sz w:val="32"/>
        </w:rPr>
        <w:t>九、《财政拨款“三公”经费支出决算表》</w:t>
      </w:r>
    </w:p>
    <w:p w14:paraId="175FEF3F">
      <w:pPr>
        <w:spacing w:line="240" w:lineRule="auto"/>
        <w:ind w:firstLine="640"/>
        <w:jc w:val="both"/>
      </w:pPr>
    </w:p>
    <w:p w14:paraId="0B3581B4">
      <w:pPr>
        <w:spacing w:line="240" w:lineRule="auto"/>
        <w:ind w:firstLine="640"/>
        <w:jc w:val="both"/>
      </w:pPr>
    </w:p>
    <w:p w14:paraId="632AFDAF">
      <w:pPr>
        <w:spacing w:line="240" w:lineRule="auto"/>
        <w:ind w:firstLine="640"/>
        <w:jc w:val="both"/>
      </w:pPr>
    </w:p>
    <w:p w14:paraId="42566467">
      <w:pPr>
        <w:spacing w:line="240" w:lineRule="auto"/>
        <w:ind w:firstLine="640"/>
        <w:jc w:val="both"/>
      </w:pPr>
    </w:p>
    <w:p w14:paraId="06785E9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390B46"/>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6848</Words>
  <Characters>7737</Characters>
  <Lines>0</Lines>
  <Paragraphs>0</Paragraphs>
  <TotalTime>9</TotalTime>
  <ScaleCrop>false</ScaleCrop>
  <LinksUpToDate>false</LinksUpToDate>
  <CharactersWithSpaces>7745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2025-09-26T07:54:14Z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