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5700"/>
        </w:tabs>
        <w:spacing w:line="560" w:lineRule="exact"/>
        <w:ind w:firstLine="0"/>
        <w:jc w:val="both"/>
        <w:rPr>
          <w:rFonts w:hint="eastAsia" w:ascii="兰米粗楷简体" w:hAnsi="兰米粗楷简体" w:eastAsia="兰米粗楷简体" w:cs="兰米粗楷简体"/>
          <w:b w:val="0"/>
          <w:bCs w:val="0"/>
          <w:sz w:val="52"/>
          <w:szCs w:val="52"/>
          <w:lang w:val="en-US" w:eastAsia="zh-CN"/>
        </w:rPr>
      </w:pPr>
    </w:p>
    <w:p>
      <w:pPr>
        <w:pStyle w:val="5"/>
        <w:tabs>
          <w:tab w:val="left" w:pos="5700"/>
        </w:tabs>
        <w:spacing w:line="560" w:lineRule="exact"/>
        <w:ind w:left="0" w:leftChars="0" w:firstLine="1760" w:firstLineChars="400"/>
        <w:jc w:val="both"/>
        <w:rPr>
          <w:rFonts w:hint="eastAsia" w:ascii="微软雅黑" w:hAnsi="微软雅黑" w:eastAsia="微软雅黑" w:cs="微软雅黑"/>
          <w:b w:val="0"/>
          <w:bCs w:val="0"/>
          <w:kern w:val="2"/>
          <w:sz w:val="44"/>
          <w:szCs w:val="44"/>
          <w:lang w:val="en-US" w:eastAsia="zh-CN" w:bidi="ar-SA"/>
        </w:rPr>
      </w:pPr>
    </w:p>
    <w:p>
      <w:pPr>
        <w:pStyle w:val="5"/>
        <w:tabs>
          <w:tab w:val="left" w:pos="5700"/>
        </w:tabs>
        <w:spacing w:line="560" w:lineRule="exact"/>
        <w:ind w:left="0" w:leftChars="0" w:firstLine="1760" w:firstLineChars="400"/>
        <w:jc w:val="both"/>
        <w:rPr>
          <w:rFonts w:hint="eastAsia" w:ascii="黑体" w:hAnsi="黑体" w:eastAsia="黑体" w:cs="黑体"/>
          <w:b/>
          <w:bCs/>
          <w:sz w:val="28"/>
          <w:szCs w:val="28"/>
          <w:lang w:val="en-US" w:eastAsia="zh-CN"/>
        </w:rPr>
      </w:pPr>
      <w:r>
        <w:rPr>
          <w:rFonts w:hint="eastAsia" w:ascii="微软雅黑" w:hAnsi="微软雅黑" w:eastAsia="微软雅黑" w:cs="微软雅黑"/>
          <w:b w:val="0"/>
          <w:bCs w:val="0"/>
          <w:kern w:val="2"/>
          <w:sz w:val="44"/>
          <w:szCs w:val="44"/>
          <w:lang w:val="en-US" w:eastAsia="zh-CN" w:bidi="ar-SA"/>
        </w:rPr>
        <w:t>2022年度会计监督检查报告</w:t>
      </w:r>
    </w:p>
    <w:p>
      <w:pPr>
        <w:pStyle w:val="5"/>
        <w:tabs>
          <w:tab w:val="left" w:pos="5700"/>
        </w:tabs>
        <w:spacing w:line="560" w:lineRule="exact"/>
        <w:ind w:firstLine="0"/>
        <w:jc w:val="both"/>
        <w:rPr>
          <w:rFonts w:hint="eastAsia" w:ascii="黑体" w:hAnsi="黑体" w:eastAsia="黑体" w:cs="黑体"/>
          <w:b/>
          <w:szCs w:val="21"/>
        </w:rPr>
      </w:pPr>
      <w:r>
        <w:rPr>
          <w:rFonts w:hint="eastAsia" w:ascii="黑体" w:hAnsi="黑体" w:eastAsia="黑体" w:cs="黑体"/>
          <w:b/>
          <w:bCs/>
          <w:sz w:val="28"/>
          <w:szCs w:val="28"/>
          <w:lang w:val="en-US" w:eastAsia="zh-CN"/>
        </w:rPr>
        <w:t xml:space="preserve"> </w:t>
      </w:r>
      <w:r>
        <w:rPr>
          <w:rFonts w:hint="eastAsia" w:ascii="黑体" w:hAnsi="黑体" w:eastAsia="黑体" w:cs="黑体"/>
          <w:b/>
          <w:bCs/>
          <w:sz w:val="52"/>
          <w:szCs w:val="52"/>
          <w:lang w:val="en-US" w:eastAsia="zh-CN"/>
        </w:rPr>
        <w:t xml:space="preserve"> </w:t>
      </w:r>
      <w:r>
        <w:rPr>
          <w:rFonts w:hint="eastAsia" w:ascii="黑体" w:hAnsi="黑体" w:eastAsia="黑体" w:cs="黑体"/>
          <w:b/>
          <w:bCs/>
          <w:sz w:val="24"/>
          <w:szCs w:val="24"/>
          <w:lang w:val="en-US" w:eastAsia="zh-CN"/>
        </w:rPr>
        <w:t xml:space="preserve"> </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bCs/>
          <w:kern w:val="2"/>
          <w:sz w:val="32"/>
          <w:szCs w:val="32"/>
          <w:lang w:val="en-US" w:eastAsia="zh-CN" w:bidi="ar-SA"/>
        </w:rPr>
        <w:t>疏勒县发改委（粮食与物资储备局）</w:t>
      </w:r>
      <w:r>
        <w:rPr>
          <w:rFonts w:hint="eastAsia" w:ascii="方正仿宋简体" w:hAnsi="方正仿宋简体" w:eastAsia="方正仿宋简体" w:cs="方正仿宋简体"/>
          <w:b/>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b/>
          <w:sz w:val="32"/>
          <w:szCs w:val="32"/>
          <w:lang w:val="en-US"/>
        </w:rPr>
      </w:pPr>
      <w:r>
        <w:rPr>
          <w:rFonts w:hint="eastAsia" w:ascii="方正仿宋简体" w:hAnsi="方正仿宋简体" w:eastAsia="方正仿宋简体" w:cs="方正仿宋简体"/>
          <w:kern w:val="2"/>
          <w:sz w:val="32"/>
          <w:szCs w:val="32"/>
          <w:lang w:val="en-US" w:eastAsia="zh-CN" w:bidi="ar-SA"/>
        </w:rPr>
        <w:t>疏勒县财政局（以下简称我局）根据《中华人民共和国会计法》、《政府会计准则》等相关规定，我局下发财政检查通知书，派出检查组并委托中瑞诚会计师事务所喀什分所，自2023年3月21日至3月27日对</w:t>
      </w:r>
      <w:r>
        <w:rPr>
          <w:rFonts w:hint="eastAsia" w:ascii="方正仿宋简体" w:hAnsi="方正仿宋简体" w:eastAsia="方正仿宋简体" w:cs="方正仿宋简体"/>
          <w:sz w:val="32"/>
          <w:szCs w:val="32"/>
        </w:rPr>
        <w:t>发改委（粮食与物资储备局）</w:t>
      </w:r>
      <w:r>
        <w:rPr>
          <w:rFonts w:hint="eastAsia" w:ascii="方正仿宋简体" w:hAnsi="方正仿宋简体" w:eastAsia="方正仿宋简体" w:cs="方正仿宋简体"/>
          <w:kern w:val="2"/>
          <w:sz w:val="32"/>
          <w:szCs w:val="32"/>
          <w:lang w:val="en-US" w:eastAsia="zh-CN" w:bidi="ar-SA"/>
        </w:rPr>
        <w:t>2021年会计信息质量进行检查。此次检查工作运用了查询、审阅、延伸等方法，检查了2021年</w:t>
      </w:r>
      <w:r>
        <w:rPr>
          <w:rFonts w:hint="eastAsia" w:ascii="方正仿宋简体" w:hAnsi="方正仿宋简体" w:eastAsia="方正仿宋简体" w:cs="方正仿宋简体"/>
          <w:sz w:val="32"/>
          <w:szCs w:val="32"/>
        </w:rPr>
        <w:t>发改委（粮食与物资储备局）</w:t>
      </w:r>
      <w:r>
        <w:rPr>
          <w:rFonts w:hint="eastAsia" w:ascii="方正仿宋简体" w:hAnsi="方正仿宋简体" w:eastAsia="方正仿宋简体" w:cs="方正仿宋简体"/>
          <w:kern w:val="2"/>
          <w:sz w:val="32"/>
          <w:szCs w:val="32"/>
          <w:lang w:val="en-US" w:eastAsia="zh-CN" w:bidi="ar-SA"/>
        </w:rPr>
        <w:t>财务会计资料及其他相关资料，被检查单位对其提供的财务会计资料的真实性、完整性负责，并承担法律依据。</w:t>
      </w:r>
    </w:p>
    <w:p>
      <w:pPr>
        <w:pStyle w:val="3"/>
        <w:ind w:firstLine="602"/>
        <w:rPr>
          <w:rFonts w:hint="eastAsia" w:ascii="方正仿宋简体" w:hAnsi="方正仿宋简体" w:eastAsia="方正仿宋简体" w:cs="方正仿宋简体"/>
          <w:bCs w:val="0"/>
          <w:kern w:val="2"/>
          <w:sz w:val="32"/>
          <w:szCs w:val="32"/>
        </w:rPr>
      </w:pPr>
      <w:r>
        <w:rPr>
          <w:rFonts w:hint="eastAsia" w:ascii="方正仿宋简体" w:hAnsi="方正仿宋简体" w:eastAsia="方正仿宋简体" w:cs="方正仿宋简体"/>
          <w:bCs w:val="0"/>
          <w:kern w:val="2"/>
          <w:sz w:val="32"/>
          <w:szCs w:val="32"/>
        </w:rPr>
        <w:t>一、</w:t>
      </w:r>
      <w:r>
        <w:rPr>
          <w:rFonts w:hint="eastAsia" w:ascii="方正仿宋简体" w:hAnsi="方正仿宋简体" w:eastAsia="方正仿宋简体" w:cs="方正仿宋简体"/>
          <w:bCs w:val="0"/>
          <w:kern w:val="2"/>
          <w:sz w:val="32"/>
          <w:szCs w:val="32"/>
          <w:lang w:eastAsia="zh-CN"/>
        </w:rPr>
        <w:t>被检查单位</w:t>
      </w:r>
      <w:r>
        <w:rPr>
          <w:rFonts w:hint="eastAsia" w:ascii="方正仿宋简体" w:hAnsi="方正仿宋简体" w:eastAsia="方正仿宋简体" w:cs="方正仿宋简体"/>
          <w:bCs w:val="0"/>
          <w:kern w:val="2"/>
          <w:sz w:val="32"/>
          <w:szCs w:val="32"/>
        </w:rPr>
        <w:t>基本情况</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疏勒县发改委为全额拨款的行政单位，由政府统一管理。单位实有在职人数7人，全部为行政在职人员。本年调入1人，调出1人。</w:t>
      </w:r>
    </w:p>
    <w:p>
      <w:pPr>
        <w:pStyle w:val="3"/>
        <w:ind w:firstLine="602"/>
        <w:rPr>
          <w:rFonts w:hint="eastAsia"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二、</w:t>
      </w:r>
      <w:r>
        <w:rPr>
          <w:rFonts w:hint="eastAsia" w:ascii="方正仿宋简体" w:hAnsi="方正仿宋简体" w:eastAsia="方正仿宋简体" w:cs="方正仿宋简体"/>
          <w:bCs w:val="0"/>
          <w:kern w:val="2"/>
          <w:sz w:val="32"/>
          <w:szCs w:val="32"/>
          <w:lang w:eastAsia="zh-CN"/>
        </w:rPr>
        <w:t>被检查单位</w:t>
      </w:r>
      <w:r>
        <w:rPr>
          <w:rFonts w:hint="eastAsia" w:ascii="方正仿宋简体" w:hAnsi="方正仿宋简体" w:eastAsia="方正仿宋简体" w:cs="方正仿宋简体"/>
          <w:kern w:val="2"/>
          <w:sz w:val="32"/>
          <w:szCs w:val="32"/>
        </w:rPr>
        <w:t>财务情况</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疏勒县发改委设立1个财务账套，使用财政大平台进行账务核算。银行账户2个，分别为工商银行基本账户、中国银行零余额账户。截至2021年12月31日，银行存款基本账户余额360,702.57元，无未达账项。</w:t>
      </w:r>
    </w:p>
    <w:p>
      <w:pPr>
        <w:pStyle w:val="2"/>
        <w:ind w:firstLine="602"/>
        <w:rPr>
          <w:rFonts w:hint="eastAsia" w:ascii="方正仿宋简体" w:hAnsi="方正仿宋简体" w:eastAsia="方正仿宋简体" w:cs="方正仿宋简体"/>
          <w:bCs/>
          <w:szCs w:val="30"/>
        </w:rPr>
      </w:pPr>
      <w:r>
        <w:rPr>
          <w:rFonts w:hint="eastAsia" w:ascii="方正仿宋简体" w:hAnsi="方正仿宋简体" w:eastAsia="方正仿宋简体" w:cs="方正仿宋简体"/>
          <w:bCs/>
          <w:szCs w:val="30"/>
        </w:rPr>
        <w:t>1、资产负债及净资产情况</w:t>
      </w:r>
    </w:p>
    <w:p>
      <w:pPr>
        <w:ind w:firstLine="602" w:firstLineChars="200"/>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（1）资产情况</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截至2021年12月31日，账面资产总额1,958,678.38元，其中：银行存款360,702.57元，其他应收款20,658.83元，固定资产984,172.00元。</w:t>
      </w:r>
    </w:p>
    <w:p>
      <w:pPr>
        <w:ind w:firstLine="602" w:firstLineChars="200"/>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（2）负债情况</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账面负债合计381,361.40元，其中：应付职工薪酬1,286.46元、其他应付款380,155.34元。</w:t>
      </w:r>
    </w:p>
    <w:p>
      <w:pPr>
        <w:ind w:firstLine="602" w:firstLineChars="200"/>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（3）净资产情况</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净资产账面金额391,027.02元（累计盈余391,027.02元）。</w:t>
      </w:r>
    </w:p>
    <w:p>
      <w:pPr>
        <w:pStyle w:val="2"/>
        <w:ind w:firstLine="602"/>
        <w:rPr>
          <w:rFonts w:hint="eastAsia" w:ascii="方正仿宋简体" w:hAnsi="方正仿宋简体" w:eastAsia="方正仿宋简体" w:cs="方正仿宋简体"/>
          <w:bCs/>
          <w:szCs w:val="30"/>
        </w:rPr>
      </w:pPr>
      <w:r>
        <w:rPr>
          <w:rFonts w:hint="eastAsia" w:ascii="方正仿宋简体" w:hAnsi="方正仿宋简体" w:eastAsia="方正仿宋简体" w:cs="方正仿宋简体"/>
          <w:bCs/>
          <w:szCs w:val="30"/>
        </w:rPr>
        <w:t>2、收入、支出情况</w:t>
      </w:r>
    </w:p>
    <w:p>
      <w:pPr>
        <w:ind w:firstLine="602" w:firstLineChars="200"/>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（1）收入情况</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据财务报告反映，2021年1月至2021年12月，账面收入总额11,889,500元，其中：财政拨款收入11,286,800元，其他收入602,700元。</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据决算报告反映，2021年1月至2021年12月，财政拨款预算收入11,286,739元，全部为一般公共预算财政拨款收入。</w:t>
      </w:r>
    </w:p>
    <w:p>
      <w:pPr>
        <w:ind w:firstLine="602" w:firstLineChars="200"/>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（2）支出情况</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据财务报告反映，2021年1月至2021年12月总支出11,889,500元，全部为业务活动费用。</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据决算报告反映，2021年1月至2021年12月行政总支出11,286,739元，其中：一般公共服务支出2,008,986元，社会保障和就业支出198,958元，卫生健康支出21,282元，农林水支出7,084,147元，住房保障支出82,115元，粮油物资储备支出1,791,251元，其他支出100,000元。</w:t>
      </w:r>
    </w:p>
    <w:p>
      <w:pPr>
        <w:pStyle w:val="4"/>
        <w:ind w:firstLine="602"/>
        <w:rPr>
          <w:rFonts w:hint="eastAsia" w:ascii="方正仿宋简体" w:hAnsi="方正仿宋简体" w:eastAsia="方正仿宋简体" w:cs="方正仿宋简体"/>
        </w:rPr>
      </w:pPr>
      <w:r>
        <w:rPr>
          <w:rFonts w:hint="eastAsia" w:ascii="方正仿宋简体" w:hAnsi="方正仿宋简体" w:eastAsia="方正仿宋简体" w:cs="方正仿宋简体"/>
          <w:szCs w:val="30"/>
          <w:lang w:eastAsia="zh-CN"/>
        </w:rPr>
        <w:t>三</w:t>
      </w:r>
      <w:r>
        <w:rPr>
          <w:rFonts w:hint="eastAsia" w:ascii="方正仿宋简体" w:hAnsi="方正仿宋简体" w:eastAsia="方正仿宋简体" w:cs="方正仿宋简体"/>
          <w:szCs w:val="30"/>
        </w:rPr>
        <w:t>、检查结果评价</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在本次检查中疏勒县发改委在会计工作中基本遵守会计法规制度，基本做到了会计账薄干净，装订规范，无涂改刮擦会计凭证的行为，同时会计档案保管也做到防潮、防蛀、防鼠等要求。但也存在财务内部管控机制不完善及审批制度执行不严，政府会计核算不规范，记帐凭证与原始凭证不符，账账不一致，往来账项长期未清理等情况。</w:t>
      </w:r>
    </w:p>
    <w:p>
      <w:pPr>
        <w:pStyle w:val="4"/>
        <w:ind w:firstLine="602"/>
        <w:rPr>
          <w:rFonts w:hint="eastAsia" w:ascii="方正仿宋简体" w:hAnsi="方正仿宋简体" w:eastAsia="方正仿宋简体" w:cs="方正仿宋简体"/>
          <w:szCs w:val="30"/>
        </w:rPr>
      </w:pPr>
      <w:r>
        <w:rPr>
          <w:rFonts w:hint="eastAsia" w:ascii="方正仿宋简体" w:hAnsi="方正仿宋简体" w:eastAsia="方正仿宋简体" w:cs="方正仿宋简体"/>
          <w:szCs w:val="30"/>
          <w:lang w:eastAsia="zh-CN"/>
        </w:rPr>
        <w:t>四</w:t>
      </w:r>
      <w:r>
        <w:rPr>
          <w:rFonts w:hint="eastAsia" w:ascii="方正仿宋简体" w:hAnsi="方正仿宋简体" w:eastAsia="方正仿宋简体" w:cs="方正仿宋简体"/>
          <w:szCs w:val="30"/>
        </w:rPr>
        <w:t>、检查发现的问题</w:t>
      </w:r>
    </w:p>
    <w:p>
      <w:pPr>
        <w:pStyle w:val="2"/>
        <w:ind w:firstLine="602"/>
        <w:rPr>
          <w:rFonts w:hint="eastAsia" w:ascii="方正仿宋简体" w:hAnsi="方正仿宋简体" w:eastAsia="方正仿宋简体" w:cs="方正仿宋简体"/>
          <w:bCs/>
          <w:szCs w:val="30"/>
        </w:rPr>
      </w:pPr>
      <w:r>
        <w:rPr>
          <w:rFonts w:hint="eastAsia" w:ascii="方正仿宋简体" w:hAnsi="方正仿宋简体" w:eastAsia="方正仿宋简体" w:cs="方正仿宋简体"/>
          <w:bCs/>
          <w:szCs w:val="30"/>
        </w:rPr>
        <w:t>（一）财务内部管控机制不完善</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（1）疏勒县发改委会计同时兼任出纳、人事以及援疆办会计岗位等；</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（2）无专人负责固定资产管理，目前是由会计负责固定资产卡片账管理。</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上述问题不符合《中华人民共和国会计法》第三十七条:“会计机构内部应当建立稽核制度。出纳人员不得兼任稽核、会计档案保管和收入、支出、费用、债权债务帐目的登记工作。”的规定。</w:t>
      </w:r>
    </w:p>
    <w:p>
      <w:pPr>
        <w:pStyle w:val="2"/>
        <w:ind w:firstLine="602"/>
        <w:rPr>
          <w:rFonts w:hint="eastAsia" w:ascii="方正仿宋简体" w:hAnsi="方正仿宋简体" w:eastAsia="方正仿宋简体" w:cs="方正仿宋简体"/>
          <w:bCs/>
          <w:szCs w:val="30"/>
        </w:rPr>
      </w:pPr>
      <w:r>
        <w:rPr>
          <w:rFonts w:hint="eastAsia" w:ascii="方正仿宋简体" w:hAnsi="方正仿宋简体" w:eastAsia="方正仿宋简体" w:cs="方正仿宋简体"/>
          <w:bCs/>
          <w:szCs w:val="30"/>
        </w:rPr>
        <w:t>（二）政府会计核算不规范</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（1）2021年1月8号凭证、1月9号凭证两笔援疆资金未做预算会计；</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（2）2021年1月14号凭证支付办公费、7月10号凭证支付价格检测费、12月26号凭证支付奖励性绩效未做预算会计;</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（3）2021年6月6号凭证、9月7号凭证、12月12号凭证收到银行存款利息收入未做预算会计；</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（4）2021年9月全部记账凭证、12月24号记账凭证、12月25号记账凭证、12月26号记账凭证、12月27号记账凭证记载的单据数量与实际所附单据数量不符；</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（5）2021年3月7号凭证、6月6号凭证、9月7号凭证、12月12号凭证收到银行存款利息收入，财务明细凭证：</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借:银行存款</w:t>
      </w:r>
    </w:p>
    <w:p>
      <w:pPr>
        <w:ind w:firstLine="900" w:firstLineChars="3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贷:其他应付款/单位/经费结余</w:t>
      </w:r>
    </w:p>
    <w:p>
      <w:pP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贷方会计科目使用有误。</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上述问题不符合《财政部关于印发《政府会计制度——行政事业单位会计科目和报表》与《行政单位会计制度》《事业单位会计制度》有关衔接问题处理规定的通知》“自2019年1月1日起，单位应当严格按照新制度的规定进行会计核算、编制财务报表和预算会计报表。”的规定。</w:t>
      </w:r>
    </w:p>
    <w:p>
      <w:pPr>
        <w:pStyle w:val="2"/>
        <w:ind w:firstLine="602"/>
        <w:rPr>
          <w:rFonts w:hint="eastAsia" w:ascii="方正仿宋简体" w:hAnsi="方正仿宋简体" w:eastAsia="方正仿宋简体" w:cs="方正仿宋简体"/>
          <w:bCs/>
          <w:szCs w:val="30"/>
        </w:rPr>
      </w:pPr>
      <w:r>
        <w:rPr>
          <w:rFonts w:hint="eastAsia" w:ascii="方正仿宋简体" w:hAnsi="方正仿宋简体" w:eastAsia="方正仿宋简体" w:cs="方正仿宋简体"/>
          <w:bCs/>
          <w:szCs w:val="30"/>
        </w:rPr>
        <w:t>（三）原始凭证缺失或与记账凭证不相符</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（1）2021年2月2号凭证代职工缴纳职业年金，未附社会保障基金划缴凭证；</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（2）2021年2月3号凭证为职工缴纳基本医疗保险费，未附税务局开具的完税凭证；</w:t>
      </w:r>
    </w:p>
    <w:p>
      <w:pPr>
        <w:ind w:firstLine="600" w:firstLineChars="200"/>
        <w:rPr>
          <w:rFonts w:hint="eastAsia" w:ascii="方正仿宋简体" w:hAnsi="方正仿宋简体" w:eastAsia="方正仿宋简体" w:cs="方正仿宋简体"/>
        </w:rPr>
      </w:pPr>
      <w:r>
        <w:rPr>
          <w:rFonts w:hint="eastAsia" w:ascii="方正仿宋简体" w:hAnsi="方正仿宋简体" w:eastAsia="方正仿宋简体" w:cs="方正仿宋简体"/>
          <w:sz w:val="30"/>
          <w:szCs w:val="30"/>
        </w:rPr>
        <w:t>（3）2021年2月7号凭证为支付电汇手续费35元，所附的2张业务回单总额为25元，缺少10元业务回单的原始凭证；</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（4）2021年4月13号凭证、4月17号凭证支付职工工资所附的原始凭证与记账凭证所反映的经济内容不相符；</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（5）2021年9月16号凭证所附的验收单显示帐篷等物资交货时间为2021年9月13日，而验收时间为2020年9月13日，时间违背合理性；</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（6）2021年12月1号凭证增加固定资产，未附固定资产购入时的增值税发票；</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（7）2021年12月25号凭证计提固定资产折旧，未附固定资产折旧计算表的原始凭证。</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上述问题不符合《中华人民共和国会计法》第九条：“各单位必须根据实际发生的经济业务事项进行会计核算，填制会计凭证，登记会计帐簿，编制财务会计报告。”及第十四条：“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的规定。</w:t>
      </w:r>
    </w:p>
    <w:p>
      <w:pPr>
        <w:pStyle w:val="2"/>
        <w:ind w:firstLine="602"/>
        <w:rPr>
          <w:rFonts w:hint="eastAsia" w:ascii="方正仿宋简体" w:hAnsi="方正仿宋简体" w:eastAsia="方正仿宋简体" w:cs="方正仿宋简体"/>
          <w:bCs/>
          <w:szCs w:val="30"/>
        </w:rPr>
      </w:pPr>
      <w:r>
        <w:rPr>
          <w:rFonts w:hint="eastAsia" w:ascii="方正仿宋简体" w:hAnsi="方正仿宋简体" w:eastAsia="方正仿宋简体" w:cs="方正仿宋简体"/>
          <w:bCs/>
          <w:szCs w:val="30"/>
        </w:rPr>
        <w:t>（四）账务核对不一致</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（1）固定资产累计折旧/通用设备科目明细账2021年12月29号凭证：计提2021年固定资产折旧127,012.07元，而2021年12月会计凭证中未见29号凭证。</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（2）收入支出表反映财政拨款收入11,286,800元，其他收入602,700元，而总账、明细账中未见其他收入602,700元。</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以上问题不符合《中华人民共和国会计法》第十七条：“各单位应当定期将会计帐簿记录与实物、款项及有关资料相互核对，保证会计帐簿记录与实物及款项的实有数额相符、会计帐簿记录与会计凭证的有关内容相符、会计帐簿之间相对应的记录相符、会计帐簿记录与会计报表的有关内容相符。”的规定。</w:t>
      </w:r>
    </w:p>
    <w:p>
      <w:pPr>
        <w:pStyle w:val="2"/>
        <w:ind w:firstLine="602"/>
        <w:rPr>
          <w:rFonts w:hint="eastAsia" w:ascii="方正仿宋简体" w:hAnsi="方正仿宋简体" w:eastAsia="方正仿宋简体" w:cs="方正仿宋简体"/>
          <w:bCs/>
          <w:szCs w:val="30"/>
        </w:rPr>
      </w:pPr>
      <w:r>
        <w:rPr>
          <w:rFonts w:hint="eastAsia" w:ascii="方正仿宋简体" w:hAnsi="方正仿宋简体" w:eastAsia="方正仿宋简体" w:cs="方正仿宋简体"/>
          <w:bCs/>
          <w:szCs w:val="30"/>
        </w:rPr>
        <w:t>（五）财务审批制度执行不严</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检查贵单位提供的会计凭证时发现，存在部分支付程序不规范，部分支出缺少签批手续，合同未签章等情况。如：</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（1）2021年9月16号凭证、12月13号凭证所附的网上超市购货合同乙方未签章；</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（2）2021年11月10号凭证、11月11号凭证、11月16号凭证、11月17号凭证、11月18号凭证所附的会议记录表中参会人员未签字；</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（3）2021年11月22号凭证所附的物资验收单未签章确认；</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（4）2021年12月3号凭证所附的行政事业单位资金往来结算票据领导未复核签字。</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上述问题不符合《中华人民共和国会计法》第四十八条“原始凭证的基本要求是：（一）原始凭证的内容必须具备：凭证的名称；填制凭证的日期；填制凭证单位名称或者填制人姓名；经办人员的签名或者盖章；..............”的规定。</w:t>
      </w:r>
    </w:p>
    <w:p>
      <w:pPr>
        <w:pStyle w:val="2"/>
        <w:ind w:firstLine="602"/>
        <w:rPr>
          <w:rFonts w:hint="eastAsia" w:ascii="方正仿宋简体" w:hAnsi="方正仿宋简体" w:eastAsia="方正仿宋简体" w:cs="方正仿宋简体"/>
          <w:bCs/>
          <w:szCs w:val="30"/>
        </w:rPr>
      </w:pPr>
      <w:r>
        <w:rPr>
          <w:rFonts w:hint="eastAsia" w:ascii="方正仿宋简体" w:hAnsi="方正仿宋简体" w:eastAsia="方正仿宋简体" w:cs="方正仿宋简体"/>
          <w:bCs/>
          <w:szCs w:val="30"/>
        </w:rPr>
        <w:t>（六）往来账项长期未清理</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（1）截至2021年12月31日末“其他应收款”未清理账款总额20,658.83元，具体如下：</w:t>
      </w:r>
    </w:p>
    <w:tbl>
      <w:tblPr>
        <w:tblStyle w:val="7"/>
        <w:tblW w:w="8359" w:type="dxa"/>
        <w:tblInd w:w="113" w:type="dxa"/>
        <w:tblLayout w:type="autofit"/>
        <w:tblCellMar>
          <w:top w:w="0" w:type="dxa"/>
          <w:left w:w="108" w:type="dxa"/>
          <w:bottom w:w="0" w:type="dxa"/>
          <w:right w:w="108" w:type="dxa"/>
        </w:tblCellMar>
      </w:tblPr>
      <w:tblGrid>
        <w:gridCol w:w="2821"/>
        <w:gridCol w:w="1515"/>
        <w:gridCol w:w="1471"/>
        <w:gridCol w:w="1134"/>
        <w:gridCol w:w="1418"/>
      </w:tblGrid>
      <w:tr>
        <w:tblPrEx>
          <w:tblCellMar>
            <w:top w:w="0" w:type="dxa"/>
            <w:left w:w="108" w:type="dxa"/>
            <w:bottom w:w="0" w:type="dxa"/>
            <w:right w:w="108" w:type="dxa"/>
          </w:tblCellMar>
        </w:tblPrEx>
        <w:trPr>
          <w:trHeight w:val="435" w:hRule="atLeast"/>
        </w:trPr>
        <w:tc>
          <w:tcPr>
            <w:tcW w:w="2821" w:type="dxa"/>
            <w:tcBorders>
              <w:top w:val="single" w:color="auto" w:sz="4" w:space="0"/>
              <w:left w:val="single" w:color="auto" w:sz="4" w:space="0"/>
              <w:bottom w:val="single" w:color="auto" w:sz="4" w:space="0"/>
              <w:right w:val="single" w:color="auto" w:sz="4" w:space="0"/>
            </w:tcBorders>
            <w:shd w:val="clear" w:color="000000" w:fill="D0CECE"/>
            <w:noWrap/>
            <w:vAlign w:val="center"/>
          </w:tcPr>
          <w:p>
            <w:pPr>
              <w:widowControl/>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科目名称</w:t>
            </w:r>
          </w:p>
        </w:tc>
        <w:tc>
          <w:tcPr>
            <w:tcW w:w="1515" w:type="dxa"/>
            <w:tcBorders>
              <w:top w:val="single" w:color="auto" w:sz="4" w:space="0"/>
              <w:left w:val="nil"/>
              <w:bottom w:val="single" w:color="auto" w:sz="4" w:space="0"/>
              <w:right w:val="single" w:color="auto" w:sz="4" w:space="0"/>
            </w:tcBorders>
            <w:shd w:val="clear" w:color="000000" w:fill="D0CECE"/>
            <w:noWrap/>
            <w:vAlign w:val="center"/>
          </w:tcPr>
          <w:p>
            <w:pPr>
              <w:widowControl/>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上年余额</w:t>
            </w:r>
          </w:p>
        </w:tc>
        <w:tc>
          <w:tcPr>
            <w:tcW w:w="1471" w:type="dxa"/>
            <w:tcBorders>
              <w:top w:val="single" w:color="auto" w:sz="4" w:space="0"/>
              <w:left w:val="nil"/>
              <w:bottom w:val="single" w:color="auto" w:sz="4" w:space="0"/>
              <w:right w:val="single" w:color="auto" w:sz="4" w:space="0"/>
            </w:tcBorders>
            <w:shd w:val="clear" w:color="000000" w:fill="D0CECE"/>
            <w:noWrap/>
            <w:vAlign w:val="center"/>
          </w:tcPr>
          <w:p>
            <w:pPr>
              <w:widowControl/>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本年借方</w:t>
            </w:r>
          </w:p>
        </w:tc>
        <w:tc>
          <w:tcPr>
            <w:tcW w:w="1134" w:type="dxa"/>
            <w:tcBorders>
              <w:top w:val="single" w:color="auto" w:sz="4" w:space="0"/>
              <w:left w:val="nil"/>
              <w:bottom w:val="single" w:color="auto" w:sz="4" w:space="0"/>
              <w:right w:val="single" w:color="auto" w:sz="4" w:space="0"/>
            </w:tcBorders>
            <w:shd w:val="clear" w:color="000000" w:fill="D0CECE"/>
            <w:noWrap/>
            <w:vAlign w:val="center"/>
          </w:tcPr>
          <w:p>
            <w:pPr>
              <w:widowControl/>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本年贷方</w:t>
            </w:r>
          </w:p>
        </w:tc>
        <w:tc>
          <w:tcPr>
            <w:tcW w:w="1418" w:type="dxa"/>
            <w:tcBorders>
              <w:top w:val="single" w:color="auto" w:sz="4" w:space="0"/>
              <w:left w:val="nil"/>
              <w:bottom w:val="single" w:color="auto" w:sz="4" w:space="0"/>
              <w:right w:val="single" w:color="auto" w:sz="4" w:space="0"/>
            </w:tcBorders>
            <w:shd w:val="clear" w:color="000000" w:fill="D0CECE"/>
            <w:noWrap/>
            <w:vAlign w:val="center"/>
          </w:tcPr>
          <w:p>
            <w:pPr>
              <w:widowControl/>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期末余额</w:t>
            </w:r>
          </w:p>
        </w:tc>
      </w:tr>
      <w:tr>
        <w:tblPrEx>
          <w:tblCellMar>
            <w:top w:w="0" w:type="dxa"/>
            <w:left w:w="108" w:type="dxa"/>
            <w:bottom w:w="0" w:type="dxa"/>
            <w:right w:w="108" w:type="dxa"/>
          </w:tblCellMar>
        </w:tblPrEx>
        <w:trPr>
          <w:trHeight w:val="274" w:hRule="atLeast"/>
        </w:trPr>
        <w:tc>
          <w:tcPr>
            <w:tcW w:w="28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其他应收款/职工工资</w:t>
            </w: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 xml:space="preserve">5,879.58 </w:t>
            </w:r>
          </w:p>
        </w:tc>
        <w:tc>
          <w:tcPr>
            <w:tcW w:w="14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　</w:t>
            </w:r>
          </w:p>
        </w:tc>
        <w:tc>
          <w:tcPr>
            <w:tcW w:w="1134" w:type="dxa"/>
            <w:tcBorders>
              <w:top w:val="nil"/>
              <w:left w:val="nil"/>
              <w:bottom w:val="nil"/>
              <w:right w:val="nil"/>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 xml:space="preserve">5,879.58 </w:t>
            </w:r>
          </w:p>
        </w:tc>
      </w:tr>
      <w:tr>
        <w:tblPrEx>
          <w:tblCellMar>
            <w:top w:w="0" w:type="dxa"/>
            <w:left w:w="108" w:type="dxa"/>
            <w:bottom w:w="0" w:type="dxa"/>
            <w:right w:w="108" w:type="dxa"/>
          </w:tblCellMar>
        </w:tblPrEx>
        <w:trPr>
          <w:trHeight w:val="261" w:hRule="atLeast"/>
        </w:trPr>
        <w:tc>
          <w:tcPr>
            <w:tcW w:w="28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其他应收款/医药公司</w:t>
            </w: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 xml:space="preserve">5,000.00 </w:t>
            </w:r>
          </w:p>
        </w:tc>
        <w:tc>
          <w:tcPr>
            <w:tcW w:w="14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　</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 xml:space="preserve">5,000.00 </w:t>
            </w:r>
          </w:p>
        </w:tc>
      </w:tr>
      <w:tr>
        <w:tblPrEx>
          <w:tblCellMar>
            <w:top w:w="0" w:type="dxa"/>
            <w:left w:w="108" w:type="dxa"/>
            <w:bottom w:w="0" w:type="dxa"/>
            <w:right w:w="108" w:type="dxa"/>
          </w:tblCellMar>
        </w:tblPrEx>
        <w:trPr>
          <w:trHeight w:val="261" w:hRule="atLeast"/>
        </w:trPr>
        <w:tc>
          <w:tcPr>
            <w:tcW w:w="28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其他应收款/养老保险</w:t>
            </w: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 xml:space="preserve">4,611.20 </w:t>
            </w:r>
          </w:p>
        </w:tc>
        <w:tc>
          <w:tcPr>
            <w:tcW w:w="14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 xml:space="preserve">4,611.20 </w:t>
            </w:r>
          </w:p>
        </w:tc>
      </w:tr>
      <w:tr>
        <w:tblPrEx>
          <w:tblCellMar>
            <w:top w:w="0" w:type="dxa"/>
            <w:left w:w="108" w:type="dxa"/>
            <w:bottom w:w="0" w:type="dxa"/>
            <w:right w:w="108" w:type="dxa"/>
          </w:tblCellMar>
        </w:tblPrEx>
        <w:trPr>
          <w:trHeight w:val="261" w:hRule="atLeast"/>
        </w:trPr>
        <w:tc>
          <w:tcPr>
            <w:tcW w:w="28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他应收款/待业保险</w:t>
            </w: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 xml:space="preserve">501.00 </w:t>
            </w:r>
          </w:p>
        </w:tc>
        <w:tc>
          <w:tcPr>
            <w:tcW w:w="14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 xml:space="preserve">501.00 </w:t>
            </w:r>
          </w:p>
        </w:tc>
      </w:tr>
      <w:tr>
        <w:tblPrEx>
          <w:tblCellMar>
            <w:top w:w="0" w:type="dxa"/>
            <w:left w:w="108" w:type="dxa"/>
            <w:bottom w:w="0" w:type="dxa"/>
            <w:right w:w="108" w:type="dxa"/>
          </w:tblCellMar>
        </w:tblPrEx>
        <w:trPr>
          <w:trHeight w:val="261" w:hRule="atLeast"/>
        </w:trPr>
        <w:tc>
          <w:tcPr>
            <w:tcW w:w="28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其他应收款/政府采购</w:t>
            </w: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 xml:space="preserve">1,500.00 </w:t>
            </w:r>
          </w:p>
        </w:tc>
        <w:tc>
          <w:tcPr>
            <w:tcW w:w="14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 xml:space="preserve">1,500.00 </w:t>
            </w:r>
          </w:p>
        </w:tc>
      </w:tr>
      <w:tr>
        <w:tblPrEx>
          <w:tblCellMar>
            <w:top w:w="0" w:type="dxa"/>
            <w:left w:w="108" w:type="dxa"/>
            <w:bottom w:w="0" w:type="dxa"/>
            <w:right w:w="108" w:type="dxa"/>
          </w:tblCellMar>
        </w:tblPrEx>
        <w:trPr>
          <w:trHeight w:val="261" w:hRule="atLeast"/>
        </w:trPr>
        <w:tc>
          <w:tcPr>
            <w:tcW w:w="28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其他应收款/艾山</w:t>
            </w: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 xml:space="preserve">1,186.60 </w:t>
            </w:r>
          </w:p>
        </w:tc>
        <w:tc>
          <w:tcPr>
            <w:tcW w:w="14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 xml:space="preserve">1,186.60 </w:t>
            </w:r>
          </w:p>
        </w:tc>
      </w:tr>
      <w:tr>
        <w:tblPrEx>
          <w:tblCellMar>
            <w:top w:w="0" w:type="dxa"/>
            <w:left w:w="108" w:type="dxa"/>
            <w:bottom w:w="0" w:type="dxa"/>
            <w:right w:w="108" w:type="dxa"/>
          </w:tblCellMar>
        </w:tblPrEx>
        <w:trPr>
          <w:trHeight w:val="261" w:hRule="atLeast"/>
        </w:trPr>
        <w:tc>
          <w:tcPr>
            <w:tcW w:w="28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其他应收款/张乾</w:t>
            </w: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 xml:space="preserve">1,980.45 </w:t>
            </w:r>
          </w:p>
        </w:tc>
        <w:tc>
          <w:tcPr>
            <w:tcW w:w="14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 xml:space="preserve">1,980.45 </w:t>
            </w:r>
          </w:p>
        </w:tc>
      </w:tr>
      <w:tr>
        <w:tblPrEx>
          <w:tblCellMar>
            <w:top w:w="0" w:type="dxa"/>
            <w:left w:w="108" w:type="dxa"/>
            <w:bottom w:w="0" w:type="dxa"/>
            <w:right w:w="108" w:type="dxa"/>
          </w:tblCellMar>
        </w:tblPrEx>
        <w:trPr>
          <w:trHeight w:val="261" w:hRule="atLeast"/>
        </w:trPr>
        <w:tc>
          <w:tcPr>
            <w:tcW w:w="28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总计</w:t>
            </w: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 xml:space="preserve">20,658.83 </w:t>
            </w:r>
          </w:p>
        </w:tc>
        <w:tc>
          <w:tcPr>
            <w:tcW w:w="14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 xml:space="preserve">20,658.83 </w:t>
            </w:r>
          </w:p>
        </w:tc>
      </w:tr>
    </w:tbl>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（2）截至2021年12月31日末“其他应付款”未清理账款总额359,616.87元，具体如下：</w:t>
      </w:r>
    </w:p>
    <w:tbl>
      <w:tblPr>
        <w:tblStyle w:val="7"/>
        <w:tblW w:w="8522" w:type="dxa"/>
        <w:tblInd w:w="0" w:type="dxa"/>
        <w:tblLayout w:type="fixed"/>
        <w:tblCellMar>
          <w:top w:w="0" w:type="dxa"/>
          <w:left w:w="108" w:type="dxa"/>
          <w:bottom w:w="0" w:type="dxa"/>
          <w:right w:w="108" w:type="dxa"/>
        </w:tblCellMar>
      </w:tblPr>
      <w:tblGrid>
        <w:gridCol w:w="3369"/>
        <w:gridCol w:w="1275"/>
        <w:gridCol w:w="1276"/>
        <w:gridCol w:w="1134"/>
        <w:gridCol w:w="1468"/>
      </w:tblGrid>
      <w:tr>
        <w:tblPrEx>
          <w:tblCellMar>
            <w:top w:w="0" w:type="dxa"/>
            <w:left w:w="108" w:type="dxa"/>
            <w:bottom w:w="0" w:type="dxa"/>
            <w:right w:w="108" w:type="dxa"/>
          </w:tblCellMar>
        </w:tblPrEx>
        <w:trPr>
          <w:trHeight w:val="631" w:hRule="atLeast"/>
        </w:trPr>
        <w:tc>
          <w:tcPr>
            <w:tcW w:w="3369" w:type="dxa"/>
            <w:tcBorders>
              <w:top w:val="single" w:color="auto" w:sz="4" w:space="0"/>
              <w:left w:val="single" w:color="auto" w:sz="4" w:space="0"/>
              <w:bottom w:val="single" w:color="auto" w:sz="4" w:space="0"/>
              <w:right w:val="single" w:color="auto" w:sz="4" w:space="0"/>
            </w:tcBorders>
            <w:shd w:val="clear" w:color="000000" w:fill="D0CECE"/>
            <w:noWrap/>
            <w:vAlign w:val="center"/>
          </w:tcPr>
          <w:p>
            <w:pPr>
              <w:widowControl/>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科目名称</w:t>
            </w:r>
          </w:p>
        </w:tc>
        <w:tc>
          <w:tcPr>
            <w:tcW w:w="1275" w:type="dxa"/>
            <w:tcBorders>
              <w:top w:val="single" w:color="auto" w:sz="4" w:space="0"/>
              <w:left w:val="nil"/>
              <w:bottom w:val="single" w:color="auto" w:sz="4" w:space="0"/>
              <w:right w:val="single" w:color="auto" w:sz="4" w:space="0"/>
            </w:tcBorders>
            <w:shd w:val="clear" w:color="000000" w:fill="D0CECE"/>
            <w:noWrap/>
            <w:vAlign w:val="center"/>
          </w:tcPr>
          <w:p>
            <w:pPr>
              <w:widowControl/>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上年余额</w:t>
            </w:r>
          </w:p>
        </w:tc>
        <w:tc>
          <w:tcPr>
            <w:tcW w:w="1276" w:type="dxa"/>
            <w:tcBorders>
              <w:top w:val="single" w:color="auto" w:sz="4" w:space="0"/>
              <w:left w:val="nil"/>
              <w:bottom w:val="single" w:color="auto" w:sz="4" w:space="0"/>
              <w:right w:val="single" w:color="auto" w:sz="4" w:space="0"/>
            </w:tcBorders>
            <w:shd w:val="clear" w:color="000000" w:fill="D0CECE"/>
            <w:noWrap/>
            <w:vAlign w:val="center"/>
          </w:tcPr>
          <w:p>
            <w:pPr>
              <w:widowControl/>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本年借方</w:t>
            </w:r>
          </w:p>
        </w:tc>
        <w:tc>
          <w:tcPr>
            <w:tcW w:w="1134" w:type="dxa"/>
            <w:tcBorders>
              <w:top w:val="single" w:color="auto" w:sz="4" w:space="0"/>
              <w:left w:val="nil"/>
              <w:bottom w:val="single" w:color="auto" w:sz="4" w:space="0"/>
              <w:right w:val="single" w:color="auto" w:sz="4" w:space="0"/>
            </w:tcBorders>
            <w:shd w:val="clear" w:color="000000" w:fill="D0CECE"/>
            <w:noWrap/>
            <w:vAlign w:val="center"/>
          </w:tcPr>
          <w:p>
            <w:pPr>
              <w:widowControl/>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本年贷方</w:t>
            </w:r>
          </w:p>
        </w:tc>
        <w:tc>
          <w:tcPr>
            <w:tcW w:w="1468" w:type="dxa"/>
            <w:tcBorders>
              <w:top w:val="single" w:color="auto" w:sz="4" w:space="0"/>
              <w:left w:val="nil"/>
              <w:bottom w:val="single" w:color="auto" w:sz="4" w:space="0"/>
              <w:right w:val="single" w:color="auto" w:sz="4" w:space="0"/>
            </w:tcBorders>
            <w:shd w:val="clear" w:color="000000" w:fill="D0CECE"/>
            <w:noWrap/>
            <w:vAlign w:val="center"/>
          </w:tcPr>
          <w:p>
            <w:pPr>
              <w:widowControl/>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期末余额</w:t>
            </w:r>
          </w:p>
        </w:tc>
      </w:tr>
      <w:tr>
        <w:tblPrEx>
          <w:tblCellMar>
            <w:top w:w="0" w:type="dxa"/>
            <w:left w:w="108" w:type="dxa"/>
            <w:bottom w:w="0" w:type="dxa"/>
            <w:right w:w="108" w:type="dxa"/>
          </w:tblCellMar>
        </w:tblPrEx>
        <w:trPr>
          <w:trHeight w:val="228" w:hRule="atLeast"/>
        </w:trPr>
        <w:tc>
          <w:tcPr>
            <w:tcW w:w="33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个人代缴代扣/单位扣款1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314.33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214.12</w:t>
            </w:r>
          </w:p>
        </w:tc>
        <w:tc>
          <w:tcPr>
            <w:tcW w:w="14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528.45</w:t>
            </w:r>
          </w:p>
        </w:tc>
      </w:tr>
      <w:tr>
        <w:tblPrEx>
          <w:tblCellMar>
            <w:top w:w="0" w:type="dxa"/>
            <w:left w:w="108" w:type="dxa"/>
            <w:bottom w:w="0" w:type="dxa"/>
            <w:right w:w="108" w:type="dxa"/>
          </w:tblCellMar>
        </w:tblPrEx>
        <w:trPr>
          <w:trHeight w:val="228" w:hRule="atLeast"/>
        </w:trPr>
        <w:tc>
          <w:tcPr>
            <w:tcW w:w="33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个人代缴代扣/阿卜杜艾尼图尔荪</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3,060.00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p>
        </w:tc>
        <w:tc>
          <w:tcPr>
            <w:tcW w:w="14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3,060.00</w:t>
            </w:r>
          </w:p>
        </w:tc>
      </w:tr>
      <w:tr>
        <w:tblPrEx>
          <w:tblCellMar>
            <w:top w:w="0" w:type="dxa"/>
            <w:left w:w="108" w:type="dxa"/>
            <w:bottom w:w="0" w:type="dxa"/>
            <w:right w:w="108" w:type="dxa"/>
          </w:tblCellMar>
        </w:tblPrEx>
        <w:trPr>
          <w:trHeight w:val="228" w:hRule="atLeast"/>
        </w:trPr>
        <w:tc>
          <w:tcPr>
            <w:tcW w:w="33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个人代缴代扣/社保费</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15,681.70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p>
        </w:tc>
        <w:tc>
          <w:tcPr>
            <w:tcW w:w="14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15,681.70</w:t>
            </w:r>
          </w:p>
        </w:tc>
      </w:tr>
      <w:tr>
        <w:tblPrEx>
          <w:tblCellMar>
            <w:top w:w="0" w:type="dxa"/>
            <w:left w:w="108" w:type="dxa"/>
            <w:bottom w:w="0" w:type="dxa"/>
            <w:right w:w="108" w:type="dxa"/>
          </w:tblCellMar>
        </w:tblPrEx>
        <w:trPr>
          <w:trHeight w:val="228" w:hRule="atLeast"/>
        </w:trPr>
        <w:tc>
          <w:tcPr>
            <w:tcW w:w="33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其他应付项目/教育基金</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1,173.24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p>
        </w:tc>
        <w:tc>
          <w:tcPr>
            <w:tcW w:w="14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1,173.24</w:t>
            </w:r>
          </w:p>
        </w:tc>
      </w:tr>
      <w:tr>
        <w:tblPrEx>
          <w:tblCellMar>
            <w:top w:w="0" w:type="dxa"/>
            <w:left w:w="108" w:type="dxa"/>
            <w:bottom w:w="0" w:type="dxa"/>
            <w:right w:w="108" w:type="dxa"/>
          </w:tblCellMar>
        </w:tblPrEx>
        <w:trPr>
          <w:trHeight w:val="228" w:hRule="atLeast"/>
        </w:trPr>
        <w:tc>
          <w:tcPr>
            <w:tcW w:w="33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其他应付项目/福利费</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5,342.50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p>
        </w:tc>
        <w:tc>
          <w:tcPr>
            <w:tcW w:w="14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5,342.50</w:t>
            </w:r>
          </w:p>
        </w:tc>
      </w:tr>
      <w:tr>
        <w:tblPrEx>
          <w:tblCellMar>
            <w:top w:w="0" w:type="dxa"/>
            <w:left w:w="108" w:type="dxa"/>
            <w:bottom w:w="0" w:type="dxa"/>
            <w:right w:w="108" w:type="dxa"/>
          </w:tblCellMar>
        </w:tblPrEx>
        <w:trPr>
          <w:trHeight w:val="228" w:hRule="atLeast"/>
        </w:trPr>
        <w:tc>
          <w:tcPr>
            <w:tcW w:w="33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其他应付项目/职工工资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5,649.82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p>
        </w:tc>
        <w:tc>
          <w:tcPr>
            <w:tcW w:w="14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5,649.82</w:t>
            </w:r>
          </w:p>
        </w:tc>
      </w:tr>
      <w:tr>
        <w:tblPrEx>
          <w:tblCellMar>
            <w:top w:w="0" w:type="dxa"/>
            <w:left w:w="108" w:type="dxa"/>
            <w:bottom w:w="0" w:type="dxa"/>
            <w:right w:w="108" w:type="dxa"/>
          </w:tblCellMar>
        </w:tblPrEx>
        <w:trPr>
          <w:trHeight w:val="228" w:hRule="atLeast"/>
        </w:trPr>
        <w:tc>
          <w:tcPr>
            <w:tcW w:w="33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其他应付项目/许可收费</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7,934.30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p>
        </w:tc>
        <w:tc>
          <w:tcPr>
            <w:tcW w:w="14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7,934.30</w:t>
            </w:r>
          </w:p>
        </w:tc>
      </w:tr>
      <w:tr>
        <w:tblPrEx>
          <w:tblCellMar>
            <w:top w:w="0" w:type="dxa"/>
            <w:left w:w="108" w:type="dxa"/>
            <w:bottom w:w="0" w:type="dxa"/>
            <w:right w:w="108" w:type="dxa"/>
          </w:tblCellMar>
        </w:tblPrEx>
        <w:trPr>
          <w:trHeight w:val="228" w:hRule="atLeast"/>
        </w:trPr>
        <w:tc>
          <w:tcPr>
            <w:tcW w:w="33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其他应付项目/标签号码章</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1,090.00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p>
        </w:tc>
        <w:tc>
          <w:tcPr>
            <w:tcW w:w="14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1,090.00</w:t>
            </w:r>
          </w:p>
        </w:tc>
      </w:tr>
      <w:tr>
        <w:tblPrEx>
          <w:tblCellMar>
            <w:top w:w="0" w:type="dxa"/>
            <w:left w:w="108" w:type="dxa"/>
            <w:bottom w:w="0" w:type="dxa"/>
            <w:right w:w="108" w:type="dxa"/>
          </w:tblCellMar>
        </w:tblPrEx>
        <w:trPr>
          <w:trHeight w:val="228" w:hRule="atLeast"/>
        </w:trPr>
        <w:tc>
          <w:tcPr>
            <w:tcW w:w="33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其他应付项目/基建款</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6,220.00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p>
        </w:tc>
        <w:tc>
          <w:tcPr>
            <w:tcW w:w="14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6,220.00</w:t>
            </w:r>
          </w:p>
        </w:tc>
      </w:tr>
      <w:tr>
        <w:tblPrEx>
          <w:tblCellMar>
            <w:top w:w="0" w:type="dxa"/>
            <w:left w:w="108" w:type="dxa"/>
            <w:bottom w:w="0" w:type="dxa"/>
            <w:right w:w="108" w:type="dxa"/>
          </w:tblCellMar>
        </w:tblPrEx>
        <w:trPr>
          <w:trHeight w:val="228" w:hRule="atLeast"/>
        </w:trPr>
        <w:tc>
          <w:tcPr>
            <w:tcW w:w="33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其他应付项目/月租金</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2,643.76</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p>
        </w:tc>
        <w:tc>
          <w:tcPr>
            <w:tcW w:w="14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2,643.76</w:t>
            </w:r>
          </w:p>
        </w:tc>
      </w:tr>
      <w:tr>
        <w:tblPrEx>
          <w:tblCellMar>
            <w:top w:w="0" w:type="dxa"/>
            <w:left w:w="108" w:type="dxa"/>
            <w:bottom w:w="0" w:type="dxa"/>
            <w:right w:w="108" w:type="dxa"/>
          </w:tblCellMar>
        </w:tblPrEx>
        <w:trPr>
          <w:trHeight w:val="228" w:hRule="atLeast"/>
        </w:trPr>
        <w:tc>
          <w:tcPr>
            <w:tcW w:w="33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其他应付项目/产业促进就业贷款贴息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300.00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p>
        </w:tc>
        <w:tc>
          <w:tcPr>
            <w:tcW w:w="14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300.00</w:t>
            </w:r>
          </w:p>
        </w:tc>
      </w:tr>
      <w:tr>
        <w:tblPrEx>
          <w:tblCellMar>
            <w:top w:w="0" w:type="dxa"/>
            <w:left w:w="108" w:type="dxa"/>
            <w:bottom w:w="0" w:type="dxa"/>
            <w:right w:w="108" w:type="dxa"/>
          </w:tblCellMar>
        </w:tblPrEx>
        <w:trPr>
          <w:trHeight w:val="228" w:hRule="atLeast"/>
        </w:trPr>
        <w:tc>
          <w:tcPr>
            <w:tcW w:w="33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其他应付项目/经费结余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738.95</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479.36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1,401.53</w:t>
            </w:r>
          </w:p>
        </w:tc>
        <w:tc>
          <w:tcPr>
            <w:tcW w:w="14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1,661.12</w:t>
            </w:r>
          </w:p>
        </w:tc>
      </w:tr>
      <w:tr>
        <w:tblPrEx>
          <w:tblCellMar>
            <w:top w:w="0" w:type="dxa"/>
            <w:left w:w="108" w:type="dxa"/>
            <w:bottom w:w="0" w:type="dxa"/>
            <w:right w:w="108" w:type="dxa"/>
          </w:tblCellMar>
        </w:tblPrEx>
        <w:trPr>
          <w:trHeight w:val="228" w:hRule="atLeast"/>
        </w:trPr>
        <w:tc>
          <w:tcPr>
            <w:tcW w:w="33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其他应付项目/投标保证金</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50,000.00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p>
        </w:tc>
        <w:tc>
          <w:tcPr>
            <w:tcW w:w="14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50,000.00</w:t>
            </w:r>
          </w:p>
        </w:tc>
      </w:tr>
      <w:tr>
        <w:tblPrEx>
          <w:tblCellMar>
            <w:top w:w="0" w:type="dxa"/>
            <w:left w:w="108" w:type="dxa"/>
            <w:bottom w:w="0" w:type="dxa"/>
            <w:right w:w="108" w:type="dxa"/>
          </w:tblCellMar>
        </w:tblPrEx>
        <w:trPr>
          <w:trHeight w:val="228" w:hRule="atLeast"/>
        </w:trPr>
        <w:tc>
          <w:tcPr>
            <w:tcW w:w="33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其他应付项目/十四五规划编制费</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376,794.98</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118,463.00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p>
        </w:tc>
        <w:tc>
          <w:tcPr>
            <w:tcW w:w="14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258,331.98</w:t>
            </w:r>
          </w:p>
        </w:tc>
      </w:tr>
      <w:tr>
        <w:tblPrEx>
          <w:tblCellMar>
            <w:top w:w="0" w:type="dxa"/>
            <w:left w:w="108" w:type="dxa"/>
            <w:bottom w:w="0" w:type="dxa"/>
            <w:right w:w="108" w:type="dxa"/>
          </w:tblCellMar>
        </w:tblPrEx>
        <w:trPr>
          <w:trHeight w:val="228" w:hRule="atLeast"/>
        </w:trPr>
        <w:tc>
          <w:tcPr>
            <w:tcW w:w="33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总计</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476,943.58</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118,942.36</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1,615.65</w:t>
            </w:r>
          </w:p>
        </w:tc>
        <w:tc>
          <w:tcPr>
            <w:tcW w:w="14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359,616.87</w:t>
            </w:r>
          </w:p>
        </w:tc>
      </w:tr>
    </w:tbl>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上述问题反映出疏勒县发改委未及时清理往来账，存在个人长期借用公款不及时归还的行为。</w:t>
      </w:r>
    </w:p>
    <w:p>
      <w:pPr>
        <w:pStyle w:val="4"/>
        <w:spacing w:line="500" w:lineRule="exact"/>
        <w:ind w:firstLine="602"/>
        <w:rPr>
          <w:rFonts w:hint="eastAsia" w:ascii="方正仿宋简体" w:hAnsi="方正仿宋简体" w:eastAsia="方正仿宋简体" w:cs="方正仿宋简体"/>
          <w:szCs w:val="30"/>
        </w:rPr>
      </w:pPr>
      <w:r>
        <w:rPr>
          <w:rFonts w:hint="eastAsia" w:ascii="方正仿宋简体" w:hAnsi="方正仿宋简体" w:eastAsia="方正仿宋简体" w:cs="方正仿宋简体"/>
          <w:szCs w:val="30"/>
          <w:lang w:eastAsia="zh-CN"/>
        </w:rPr>
        <w:t>五</w:t>
      </w:r>
      <w:r>
        <w:rPr>
          <w:rFonts w:hint="eastAsia" w:ascii="方正仿宋简体" w:hAnsi="方正仿宋简体" w:eastAsia="方正仿宋简体" w:cs="方正仿宋简体"/>
          <w:szCs w:val="30"/>
        </w:rPr>
        <w:t>、其他需要说明事项</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疏勒县发改委2015年以工代赈项目，由疏勒县城乡建设投资有限公司代建，按照合同约定已竣工决算完成并投入使用。由于工程审计滞后，2018年被县财政作为存量资金上缴国库。为解决农民工工资问题，2021年2月财政直接支付60万元（2021年2月14号财务明细凭证贷记：财政拨款收入/一般公共预算财政拨款60万元)，2021年12月财政直接支付25万元（(2021年12月25号财务明细凭证贷记：财政拨款收入/一般公共预算财政拨款25万元)），财政共计支付85万。但所附的税务发票总额670.2万元与项目合同总价款1,078.62万元不一致，差额为408.42万元（详见下表）。</w:t>
      </w:r>
    </w:p>
    <w:tbl>
      <w:tblPr>
        <w:tblStyle w:val="7"/>
        <w:tblW w:w="8414" w:type="dxa"/>
        <w:tblInd w:w="108" w:type="dxa"/>
        <w:tblLayout w:type="autofit"/>
        <w:tblCellMar>
          <w:top w:w="0" w:type="dxa"/>
          <w:left w:w="108" w:type="dxa"/>
          <w:bottom w:w="0" w:type="dxa"/>
          <w:right w:w="108" w:type="dxa"/>
        </w:tblCellMar>
      </w:tblPr>
      <w:tblGrid>
        <w:gridCol w:w="1044"/>
        <w:gridCol w:w="2144"/>
        <w:gridCol w:w="70"/>
        <w:gridCol w:w="1137"/>
        <w:gridCol w:w="724"/>
        <w:gridCol w:w="551"/>
        <w:gridCol w:w="901"/>
        <w:gridCol w:w="375"/>
        <w:gridCol w:w="1468"/>
      </w:tblGrid>
      <w:tr>
        <w:tblPrEx>
          <w:tblCellMar>
            <w:top w:w="0" w:type="dxa"/>
            <w:left w:w="108" w:type="dxa"/>
            <w:bottom w:w="0" w:type="dxa"/>
            <w:right w:w="108" w:type="dxa"/>
          </w:tblCellMar>
        </w:tblPrEx>
        <w:trPr>
          <w:trHeight w:val="204" w:hRule="atLeast"/>
        </w:trPr>
        <w:tc>
          <w:tcPr>
            <w:tcW w:w="8414" w:type="dxa"/>
            <w:gridSpan w:val="9"/>
            <w:shd w:val="clear" w:color="auto" w:fill="auto"/>
            <w:noWrap/>
            <w:vAlign w:val="center"/>
          </w:tcPr>
          <w:p>
            <w:pPr>
              <w:widowControl/>
              <w:snapToGrid w:val="0"/>
              <w:jc w:val="center"/>
              <w:rPr>
                <w:rFonts w:hint="eastAsia" w:ascii="方正仿宋简体" w:hAnsi="方正仿宋简体" w:eastAsia="方正仿宋简体" w:cs="方正仿宋简体"/>
                <w:b/>
                <w:bCs/>
                <w:color w:val="000000"/>
                <w:kern w:val="0"/>
                <w:szCs w:val="21"/>
              </w:rPr>
            </w:pPr>
          </w:p>
          <w:p>
            <w:pPr>
              <w:widowControl/>
              <w:snapToGrid w:val="0"/>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2015年以工代赈项目（疏勒县城投代建）</w:t>
            </w:r>
          </w:p>
        </w:tc>
      </w:tr>
      <w:tr>
        <w:tblPrEx>
          <w:tblCellMar>
            <w:top w:w="0" w:type="dxa"/>
            <w:left w:w="108" w:type="dxa"/>
            <w:bottom w:w="0" w:type="dxa"/>
            <w:right w:w="108" w:type="dxa"/>
          </w:tblCellMar>
        </w:tblPrEx>
        <w:trPr>
          <w:trHeight w:val="204" w:hRule="atLeast"/>
        </w:trPr>
        <w:tc>
          <w:tcPr>
            <w:tcW w:w="8414" w:type="dxa"/>
            <w:gridSpan w:val="9"/>
            <w:tcBorders>
              <w:bottom w:val="single" w:color="auto" w:sz="4" w:space="0"/>
            </w:tcBorders>
            <w:shd w:val="clear" w:color="auto" w:fill="auto"/>
            <w:noWrap/>
            <w:vAlign w:val="center"/>
          </w:tcPr>
          <w:p>
            <w:pPr>
              <w:widowControl/>
              <w:snapToGrid w:val="0"/>
              <w:jc w:val="left"/>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疏勒县马场水源地机井及渠道防渗工程（单位：万元）</w:t>
            </w:r>
          </w:p>
        </w:tc>
      </w:tr>
      <w:tr>
        <w:tblPrEx>
          <w:tblCellMar>
            <w:top w:w="0" w:type="dxa"/>
            <w:left w:w="108" w:type="dxa"/>
            <w:bottom w:w="0" w:type="dxa"/>
            <w:right w:w="108" w:type="dxa"/>
          </w:tblCellMar>
        </w:tblPrEx>
        <w:trPr>
          <w:trHeight w:val="204" w:hRule="atLeast"/>
        </w:trPr>
        <w:tc>
          <w:tcPr>
            <w:tcW w:w="1044" w:type="dxa"/>
            <w:tcBorders>
              <w:top w:val="single" w:color="auto" w:sz="4" w:space="0"/>
              <w:left w:val="single" w:color="auto" w:sz="4" w:space="0"/>
              <w:bottom w:val="single" w:color="auto" w:sz="4" w:space="0"/>
              <w:right w:val="single" w:color="auto" w:sz="4" w:space="0"/>
            </w:tcBorders>
            <w:shd w:val="clear" w:color="000000" w:fill="D0CECE"/>
            <w:noWrap/>
            <w:vAlign w:val="center"/>
          </w:tcPr>
          <w:p>
            <w:pPr>
              <w:widowControl/>
              <w:snapToGrid w:val="0"/>
              <w:jc w:val="left"/>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标段</w:t>
            </w:r>
          </w:p>
        </w:tc>
        <w:tc>
          <w:tcPr>
            <w:tcW w:w="2214" w:type="dxa"/>
            <w:gridSpan w:val="2"/>
            <w:tcBorders>
              <w:top w:val="single" w:color="auto" w:sz="4" w:space="0"/>
              <w:left w:val="nil"/>
              <w:bottom w:val="single" w:color="auto" w:sz="4" w:space="0"/>
              <w:right w:val="single" w:color="auto" w:sz="4" w:space="0"/>
            </w:tcBorders>
            <w:shd w:val="clear" w:color="000000" w:fill="D0CECE"/>
            <w:noWrap/>
            <w:vAlign w:val="center"/>
          </w:tcPr>
          <w:p>
            <w:pPr>
              <w:widowControl/>
              <w:snapToGrid w:val="0"/>
              <w:jc w:val="left"/>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中标方</w:t>
            </w:r>
          </w:p>
        </w:tc>
        <w:tc>
          <w:tcPr>
            <w:tcW w:w="1861" w:type="dxa"/>
            <w:gridSpan w:val="2"/>
            <w:tcBorders>
              <w:top w:val="single" w:color="auto" w:sz="4" w:space="0"/>
              <w:left w:val="nil"/>
              <w:bottom w:val="single" w:color="auto" w:sz="4" w:space="0"/>
              <w:right w:val="single" w:color="auto" w:sz="4" w:space="0"/>
            </w:tcBorders>
            <w:shd w:val="clear" w:color="000000" w:fill="D0CECE"/>
            <w:noWrap/>
            <w:vAlign w:val="center"/>
          </w:tcPr>
          <w:p>
            <w:pPr>
              <w:widowControl/>
              <w:snapToGrid w:val="0"/>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合同价款</w:t>
            </w:r>
          </w:p>
        </w:tc>
        <w:tc>
          <w:tcPr>
            <w:tcW w:w="1452" w:type="dxa"/>
            <w:gridSpan w:val="2"/>
            <w:tcBorders>
              <w:top w:val="single" w:color="auto" w:sz="4" w:space="0"/>
              <w:left w:val="nil"/>
              <w:bottom w:val="single" w:color="auto" w:sz="4" w:space="0"/>
              <w:right w:val="single" w:color="auto" w:sz="4" w:space="0"/>
            </w:tcBorders>
            <w:shd w:val="clear" w:color="000000" w:fill="D0CECE"/>
            <w:noWrap/>
            <w:vAlign w:val="center"/>
          </w:tcPr>
          <w:p>
            <w:pPr>
              <w:widowControl/>
              <w:snapToGrid w:val="0"/>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截至2021年2月剩余尾款</w:t>
            </w:r>
          </w:p>
        </w:tc>
        <w:tc>
          <w:tcPr>
            <w:tcW w:w="1843" w:type="dxa"/>
            <w:gridSpan w:val="2"/>
            <w:tcBorders>
              <w:top w:val="single" w:color="auto" w:sz="4" w:space="0"/>
              <w:left w:val="nil"/>
              <w:bottom w:val="single" w:color="auto" w:sz="4" w:space="0"/>
              <w:right w:val="single" w:color="auto" w:sz="4" w:space="0"/>
            </w:tcBorders>
            <w:shd w:val="clear" w:color="000000" w:fill="D0CECE"/>
            <w:noWrap/>
            <w:vAlign w:val="center"/>
          </w:tcPr>
          <w:p>
            <w:pPr>
              <w:widowControl/>
              <w:snapToGrid w:val="0"/>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截至2021年12月剩余尾款</w:t>
            </w:r>
          </w:p>
        </w:tc>
      </w:tr>
      <w:tr>
        <w:tblPrEx>
          <w:tblCellMar>
            <w:top w:w="0" w:type="dxa"/>
            <w:left w:w="108" w:type="dxa"/>
            <w:bottom w:w="0" w:type="dxa"/>
            <w:right w:w="108" w:type="dxa"/>
          </w:tblCellMar>
        </w:tblPrEx>
        <w:trPr>
          <w:trHeight w:val="204" w:hRule="atLeast"/>
        </w:trPr>
        <w:tc>
          <w:tcPr>
            <w:tcW w:w="1044"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第一标段</w:t>
            </w:r>
          </w:p>
        </w:tc>
        <w:tc>
          <w:tcPr>
            <w:tcW w:w="2214" w:type="dxa"/>
            <w:gridSpan w:val="2"/>
            <w:tcBorders>
              <w:top w:val="nil"/>
              <w:left w:val="nil"/>
              <w:bottom w:val="single" w:color="auto" w:sz="4" w:space="0"/>
              <w:right w:val="single" w:color="auto" w:sz="4" w:space="0"/>
            </w:tcBorders>
            <w:shd w:val="clear" w:color="auto" w:fill="auto"/>
            <w:noWrap/>
            <w:vAlign w:val="center"/>
          </w:tcPr>
          <w:p>
            <w:pPr>
              <w:widowControl/>
              <w:snapToGrid w:val="0"/>
              <w:jc w:val="left"/>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喀什地区长河水利水电工程有限责任公司</w:t>
            </w:r>
          </w:p>
        </w:tc>
        <w:tc>
          <w:tcPr>
            <w:tcW w:w="1861" w:type="dxa"/>
            <w:gridSpan w:val="2"/>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115.33</w:t>
            </w:r>
          </w:p>
        </w:tc>
        <w:tc>
          <w:tcPr>
            <w:tcW w:w="1452" w:type="dxa"/>
            <w:gridSpan w:val="2"/>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36.60</w:t>
            </w:r>
          </w:p>
        </w:tc>
        <w:tc>
          <w:tcPr>
            <w:tcW w:w="1843" w:type="dxa"/>
            <w:gridSpan w:val="2"/>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29.50</w:t>
            </w:r>
          </w:p>
        </w:tc>
      </w:tr>
      <w:tr>
        <w:tblPrEx>
          <w:tblCellMar>
            <w:top w:w="0" w:type="dxa"/>
            <w:left w:w="108" w:type="dxa"/>
            <w:bottom w:w="0" w:type="dxa"/>
            <w:right w:w="108" w:type="dxa"/>
          </w:tblCellMar>
        </w:tblPrEx>
        <w:trPr>
          <w:trHeight w:val="204" w:hRule="atLeast"/>
        </w:trPr>
        <w:tc>
          <w:tcPr>
            <w:tcW w:w="1044"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第二标段</w:t>
            </w:r>
          </w:p>
        </w:tc>
        <w:tc>
          <w:tcPr>
            <w:tcW w:w="2214" w:type="dxa"/>
            <w:gridSpan w:val="2"/>
            <w:tcBorders>
              <w:top w:val="nil"/>
              <w:left w:val="nil"/>
              <w:bottom w:val="single" w:color="auto" w:sz="4" w:space="0"/>
              <w:right w:val="single" w:color="auto" w:sz="4" w:space="0"/>
            </w:tcBorders>
            <w:shd w:val="clear" w:color="auto" w:fill="auto"/>
            <w:noWrap/>
            <w:vAlign w:val="center"/>
          </w:tcPr>
          <w:p>
            <w:pPr>
              <w:widowControl/>
              <w:snapToGrid w:val="0"/>
              <w:jc w:val="left"/>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喀什广建集团有限责任公司</w:t>
            </w:r>
          </w:p>
        </w:tc>
        <w:tc>
          <w:tcPr>
            <w:tcW w:w="1861" w:type="dxa"/>
            <w:gridSpan w:val="2"/>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133.64</w:t>
            </w:r>
          </w:p>
        </w:tc>
        <w:tc>
          <w:tcPr>
            <w:tcW w:w="1452" w:type="dxa"/>
            <w:gridSpan w:val="2"/>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36.23</w:t>
            </w:r>
          </w:p>
        </w:tc>
        <w:tc>
          <w:tcPr>
            <w:tcW w:w="1843" w:type="dxa"/>
            <w:gridSpan w:val="2"/>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29.20</w:t>
            </w:r>
          </w:p>
        </w:tc>
      </w:tr>
      <w:tr>
        <w:tblPrEx>
          <w:tblCellMar>
            <w:top w:w="0" w:type="dxa"/>
            <w:left w:w="108" w:type="dxa"/>
            <w:bottom w:w="0" w:type="dxa"/>
            <w:right w:w="108" w:type="dxa"/>
          </w:tblCellMar>
        </w:tblPrEx>
        <w:trPr>
          <w:trHeight w:val="204" w:hRule="atLeast"/>
        </w:trPr>
        <w:tc>
          <w:tcPr>
            <w:tcW w:w="1044"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第三标段</w:t>
            </w:r>
          </w:p>
        </w:tc>
        <w:tc>
          <w:tcPr>
            <w:tcW w:w="2214" w:type="dxa"/>
            <w:gridSpan w:val="2"/>
            <w:tcBorders>
              <w:top w:val="nil"/>
              <w:left w:val="nil"/>
              <w:bottom w:val="single" w:color="auto" w:sz="4" w:space="0"/>
              <w:right w:val="single" w:color="auto" w:sz="4" w:space="0"/>
            </w:tcBorders>
            <w:shd w:val="clear" w:color="auto" w:fill="auto"/>
            <w:noWrap/>
            <w:vAlign w:val="center"/>
          </w:tcPr>
          <w:p>
            <w:pPr>
              <w:widowControl/>
              <w:snapToGrid w:val="0"/>
              <w:jc w:val="left"/>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石河子市金泉凿井有限责任公司</w:t>
            </w:r>
          </w:p>
        </w:tc>
        <w:tc>
          <w:tcPr>
            <w:tcW w:w="1861" w:type="dxa"/>
            <w:gridSpan w:val="2"/>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413.93</w:t>
            </w:r>
          </w:p>
        </w:tc>
        <w:tc>
          <w:tcPr>
            <w:tcW w:w="1452" w:type="dxa"/>
            <w:gridSpan w:val="2"/>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112.09</w:t>
            </w:r>
          </w:p>
        </w:tc>
        <w:tc>
          <w:tcPr>
            <w:tcW w:w="1843" w:type="dxa"/>
            <w:gridSpan w:val="2"/>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90.35</w:t>
            </w:r>
          </w:p>
        </w:tc>
      </w:tr>
      <w:tr>
        <w:tblPrEx>
          <w:tblCellMar>
            <w:top w:w="0" w:type="dxa"/>
            <w:left w:w="108" w:type="dxa"/>
            <w:bottom w:w="0" w:type="dxa"/>
            <w:right w:w="108" w:type="dxa"/>
          </w:tblCellMar>
        </w:tblPrEx>
        <w:trPr>
          <w:trHeight w:val="448" w:hRule="atLeast"/>
        </w:trPr>
        <w:tc>
          <w:tcPr>
            <w:tcW w:w="325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总计</w:t>
            </w:r>
          </w:p>
        </w:tc>
        <w:tc>
          <w:tcPr>
            <w:tcW w:w="1861" w:type="dxa"/>
            <w:gridSpan w:val="2"/>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662.90</w:t>
            </w:r>
          </w:p>
        </w:tc>
        <w:tc>
          <w:tcPr>
            <w:tcW w:w="1452" w:type="dxa"/>
            <w:gridSpan w:val="2"/>
            <w:tcBorders>
              <w:top w:val="nil"/>
              <w:left w:val="nil"/>
              <w:bottom w:val="single" w:color="auto" w:sz="4" w:space="0"/>
              <w:right w:val="single" w:color="auto" w:sz="4" w:space="0"/>
            </w:tcBorders>
            <w:shd w:val="clear" w:color="auto" w:fill="auto"/>
            <w:noWrap/>
            <w:vAlign w:val="center"/>
          </w:tcPr>
          <w:p>
            <w:pPr>
              <w:snapToGrid w:val="0"/>
              <w:jc w:val="center"/>
              <w:rPr>
                <w:rFonts w:hint="eastAsia"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184.92</w:t>
            </w:r>
          </w:p>
        </w:tc>
        <w:tc>
          <w:tcPr>
            <w:tcW w:w="1843" w:type="dxa"/>
            <w:gridSpan w:val="2"/>
            <w:tcBorders>
              <w:top w:val="nil"/>
              <w:left w:val="nil"/>
              <w:bottom w:val="single" w:color="auto" w:sz="4" w:space="0"/>
              <w:right w:val="single" w:color="auto" w:sz="4" w:space="0"/>
            </w:tcBorders>
            <w:shd w:val="clear" w:color="auto" w:fill="auto"/>
            <w:noWrap/>
            <w:vAlign w:val="center"/>
          </w:tcPr>
          <w:p>
            <w:pPr>
              <w:snapToGrid w:val="0"/>
              <w:jc w:val="center"/>
              <w:rPr>
                <w:rFonts w:hint="eastAsia"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149.05</w:t>
            </w:r>
          </w:p>
        </w:tc>
      </w:tr>
      <w:tr>
        <w:tblPrEx>
          <w:tblCellMar>
            <w:top w:w="0" w:type="dxa"/>
            <w:left w:w="108" w:type="dxa"/>
            <w:bottom w:w="0" w:type="dxa"/>
            <w:right w:w="108" w:type="dxa"/>
          </w:tblCellMar>
        </w:tblPrEx>
        <w:trPr>
          <w:trHeight w:val="204" w:hRule="atLeast"/>
        </w:trPr>
        <w:tc>
          <w:tcPr>
            <w:tcW w:w="1044" w:type="dxa"/>
            <w:tcBorders>
              <w:top w:val="nil"/>
              <w:left w:val="nil"/>
              <w:bottom w:val="nil"/>
              <w:right w:val="nil"/>
            </w:tcBorders>
            <w:shd w:val="clear" w:color="auto" w:fill="auto"/>
            <w:noWrap/>
            <w:vAlign w:val="center"/>
          </w:tcPr>
          <w:p>
            <w:pPr>
              <w:widowControl/>
              <w:snapToGrid w:val="0"/>
              <w:jc w:val="center"/>
              <w:rPr>
                <w:rFonts w:hint="eastAsia" w:ascii="方正仿宋简体" w:hAnsi="方正仿宋简体" w:eastAsia="方正仿宋简体" w:cs="方正仿宋简体"/>
                <w:color w:val="000000"/>
                <w:kern w:val="0"/>
                <w:szCs w:val="21"/>
              </w:rPr>
            </w:pPr>
          </w:p>
        </w:tc>
        <w:tc>
          <w:tcPr>
            <w:tcW w:w="2214" w:type="dxa"/>
            <w:gridSpan w:val="2"/>
            <w:tcBorders>
              <w:top w:val="nil"/>
              <w:left w:val="nil"/>
              <w:bottom w:val="nil"/>
              <w:right w:val="nil"/>
            </w:tcBorders>
            <w:shd w:val="clear" w:color="auto" w:fill="auto"/>
            <w:noWrap/>
            <w:vAlign w:val="center"/>
          </w:tcPr>
          <w:p>
            <w:pPr>
              <w:widowControl/>
              <w:snapToGrid w:val="0"/>
              <w:jc w:val="left"/>
              <w:rPr>
                <w:rFonts w:hint="eastAsia" w:ascii="方正仿宋简体" w:hAnsi="方正仿宋简体" w:eastAsia="方正仿宋简体" w:cs="方正仿宋简体"/>
                <w:kern w:val="0"/>
                <w:szCs w:val="21"/>
              </w:rPr>
            </w:pPr>
          </w:p>
        </w:tc>
        <w:tc>
          <w:tcPr>
            <w:tcW w:w="1861" w:type="dxa"/>
            <w:gridSpan w:val="2"/>
            <w:tcBorders>
              <w:top w:val="nil"/>
              <w:left w:val="nil"/>
              <w:bottom w:val="nil"/>
              <w:right w:val="nil"/>
            </w:tcBorders>
            <w:shd w:val="clear" w:color="auto" w:fill="auto"/>
            <w:noWrap/>
            <w:vAlign w:val="center"/>
          </w:tcPr>
          <w:p>
            <w:pPr>
              <w:widowControl/>
              <w:snapToGrid w:val="0"/>
              <w:jc w:val="left"/>
              <w:rPr>
                <w:rFonts w:hint="eastAsia" w:ascii="方正仿宋简体" w:hAnsi="方正仿宋简体" w:eastAsia="方正仿宋简体" w:cs="方正仿宋简体"/>
                <w:kern w:val="0"/>
                <w:szCs w:val="21"/>
              </w:rPr>
            </w:pPr>
          </w:p>
        </w:tc>
        <w:tc>
          <w:tcPr>
            <w:tcW w:w="1452" w:type="dxa"/>
            <w:gridSpan w:val="2"/>
            <w:tcBorders>
              <w:top w:val="nil"/>
              <w:left w:val="nil"/>
              <w:bottom w:val="nil"/>
              <w:right w:val="nil"/>
            </w:tcBorders>
            <w:shd w:val="clear" w:color="auto" w:fill="auto"/>
            <w:noWrap/>
            <w:vAlign w:val="center"/>
          </w:tcPr>
          <w:p>
            <w:pPr>
              <w:widowControl/>
              <w:snapToGrid w:val="0"/>
              <w:jc w:val="center"/>
              <w:rPr>
                <w:rFonts w:hint="eastAsia" w:ascii="方正仿宋简体" w:hAnsi="方正仿宋简体" w:eastAsia="方正仿宋简体" w:cs="方正仿宋简体"/>
                <w:kern w:val="0"/>
                <w:szCs w:val="21"/>
              </w:rPr>
            </w:pPr>
          </w:p>
        </w:tc>
        <w:tc>
          <w:tcPr>
            <w:tcW w:w="1843" w:type="dxa"/>
            <w:gridSpan w:val="2"/>
            <w:tcBorders>
              <w:top w:val="nil"/>
              <w:left w:val="nil"/>
              <w:bottom w:val="nil"/>
              <w:right w:val="nil"/>
            </w:tcBorders>
            <w:shd w:val="clear" w:color="auto" w:fill="auto"/>
            <w:noWrap/>
            <w:vAlign w:val="center"/>
          </w:tcPr>
          <w:p>
            <w:pPr>
              <w:widowControl/>
              <w:snapToGrid w:val="0"/>
              <w:jc w:val="center"/>
              <w:rPr>
                <w:rFonts w:hint="eastAsia" w:ascii="方正仿宋简体" w:hAnsi="方正仿宋简体" w:eastAsia="方正仿宋简体" w:cs="方正仿宋简体"/>
                <w:kern w:val="0"/>
                <w:szCs w:val="21"/>
              </w:rPr>
            </w:pPr>
          </w:p>
        </w:tc>
      </w:tr>
      <w:tr>
        <w:tblPrEx>
          <w:tblCellMar>
            <w:top w:w="0" w:type="dxa"/>
            <w:left w:w="108" w:type="dxa"/>
            <w:bottom w:w="0" w:type="dxa"/>
            <w:right w:w="108" w:type="dxa"/>
          </w:tblCellMar>
        </w:tblPrEx>
        <w:trPr>
          <w:trHeight w:val="204" w:hRule="atLeast"/>
        </w:trPr>
        <w:tc>
          <w:tcPr>
            <w:tcW w:w="8414" w:type="dxa"/>
            <w:gridSpan w:val="9"/>
            <w:tcBorders>
              <w:top w:val="nil"/>
              <w:bottom w:val="single" w:color="auto" w:sz="4" w:space="0"/>
            </w:tcBorders>
            <w:shd w:val="clear" w:color="auto" w:fill="auto"/>
            <w:noWrap/>
            <w:vAlign w:val="center"/>
          </w:tcPr>
          <w:p>
            <w:pPr>
              <w:widowControl/>
              <w:snapToGrid w:val="0"/>
              <w:jc w:val="left"/>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疏勒县塔尕尔其乡干渠防渗改建工程（单位：万元）</w:t>
            </w:r>
          </w:p>
        </w:tc>
      </w:tr>
      <w:tr>
        <w:tblPrEx>
          <w:tblCellMar>
            <w:top w:w="0" w:type="dxa"/>
            <w:left w:w="108" w:type="dxa"/>
            <w:bottom w:w="0" w:type="dxa"/>
            <w:right w:w="108" w:type="dxa"/>
          </w:tblCellMar>
        </w:tblPrEx>
        <w:trPr>
          <w:trHeight w:val="204" w:hRule="atLeast"/>
        </w:trPr>
        <w:tc>
          <w:tcPr>
            <w:tcW w:w="1044" w:type="dxa"/>
            <w:tcBorders>
              <w:top w:val="single" w:color="auto" w:sz="4" w:space="0"/>
              <w:left w:val="single" w:color="auto" w:sz="4" w:space="0"/>
              <w:bottom w:val="single" w:color="auto" w:sz="4" w:space="0"/>
              <w:right w:val="single" w:color="auto" w:sz="4" w:space="0"/>
            </w:tcBorders>
            <w:shd w:val="clear" w:color="000000" w:fill="D0CECE"/>
            <w:noWrap/>
            <w:vAlign w:val="center"/>
          </w:tcPr>
          <w:p>
            <w:pPr>
              <w:widowControl/>
              <w:snapToGrid w:val="0"/>
              <w:jc w:val="left"/>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标段</w:t>
            </w:r>
          </w:p>
        </w:tc>
        <w:tc>
          <w:tcPr>
            <w:tcW w:w="2214" w:type="dxa"/>
            <w:gridSpan w:val="2"/>
            <w:tcBorders>
              <w:top w:val="single" w:color="auto" w:sz="4" w:space="0"/>
              <w:left w:val="nil"/>
              <w:bottom w:val="single" w:color="auto" w:sz="4" w:space="0"/>
              <w:right w:val="single" w:color="auto" w:sz="4" w:space="0"/>
            </w:tcBorders>
            <w:shd w:val="clear" w:color="000000" w:fill="D0CECE"/>
            <w:noWrap/>
            <w:vAlign w:val="center"/>
          </w:tcPr>
          <w:p>
            <w:pPr>
              <w:widowControl/>
              <w:snapToGrid w:val="0"/>
              <w:jc w:val="left"/>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中标方</w:t>
            </w:r>
          </w:p>
        </w:tc>
        <w:tc>
          <w:tcPr>
            <w:tcW w:w="1861" w:type="dxa"/>
            <w:gridSpan w:val="2"/>
            <w:tcBorders>
              <w:top w:val="single" w:color="auto" w:sz="4" w:space="0"/>
              <w:left w:val="nil"/>
              <w:bottom w:val="single" w:color="auto" w:sz="4" w:space="0"/>
              <w:right w:val="single" w:color="auto" w:sz="4" w:space="0"/>
            </w:tcBorders>
            <w:shd w:val="clear" w:color="000000" w:fill="D0CECE"/>
            <w:noWrap/>
            <w:vAlign w:val="center"/>
          </w:tcPr>
          <w:p>
            <w:pPr>
              <w:widowControl/>
              <w:snapToGrid w:val="0"/>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合同价款</w:t>
            </w:r>
          </w:p>
        </w:tc>
        <w:tc>
          <w:tcPr>
            <w:tcW w:w="1452" w:type="dxa"/>
            <w:gridSpan w:val="2"/>
            <w:tcBorders>
              <w:top w:val="single" w:color="auto" w:sz="4" w:space="0"/>
              <w:left w:val="nil"/>
              <w:bottom w:val="single" w:color="auto" w:sz="4" w:space="0"/>
              <w:right w:val="single" w:color="auto" w:sz="4" w:space="0"/>
            </w:tcBorders>
            <w:shd w:val="clear" w:color="000000" w:fill="D0CECE"/>
            <w:noWrap/>
            <w:vAlign w:val="center"/>
          </w:tcPr>
          <w:p>
            <w:pPr>
              <w:widowControl/>
              <w:snapToGrid w:val="0"/>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截至2021年2月剩余尾款</w:t>
            </w:r>
          </w:p>
        </w:tc>
        <w:tc>
          <w:tcPr>
            <w:tcW w:w="1843" w:type="dxa"/>
            <w:gridSpan w:val="2"/>
            <w:tcBorders>
              <w:top w:val="single" w:color="auto" w:sz="4" w:space="0"/>
              <w:left w:val="nil"/>
              <w:bottom w:val="single" w:color="auto" w:sz="4" w:space="0"/>
              <w:right w:val="single" w:color="auto" w:sz="4" w:space="0"/>
            </w:tcBorders>
            <w:shd w:val="clear" w:color="000000" w:fill="D0CECE"/>
            <w:noWrap/>
            <w:vAlign w:val="center"/>
          </w:tcPr>
          <w:p>
            <w:pPr>
              <w:widowControl/>
              <w:snapToGrid w:val="0"/>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截至2021年12月剩余尾款</w:t>
            </w:r>
          </w:p>
        </w:tc>
      </w:tr>
      <w:tr>
        <w:tblPrEx>
          <w:tblCellMar>
            <w:top w:w="0" w:type="dxa"/>
            <w:left w:w="108" w:type="dxa"/>
            <w:bottom w:w="0" w:type="dxa"/>
            <w:right w:w="108" w:type="dxa"/>
          </w:tblCellMar>
        </w:tblPrEx>
        <w:trPr>
          <w:trHeight w:val="204" w:hRule="atLeast"/>
        </w:trPr>
        <w:tc>
          <w:tcPr>
            <w:tcW w:w="1044"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第一标段</w:t>
            </w:r>
          </w:p>
        </w:tc>
        <w:tc>
          <w:tcPr>
            <w:tcW w:w="2214" w:type="dxa"/>
            <w:gridSpan w:val="2"/>
            <w:tcBorders>
              <w:top w:val="nil"/>
              <w:left w:val="nil"/>
              <w:bottom w:val="single" w:color="auto" w:sz="4" w:space="0"/>
              <w:right w:val="single" w:color="auto" w:sz="4" w:space="0"/>
            </w:tcBorders>
            <w:shd w:val="clear" w:color="auto" w:fill="auto"/>
            <w:noWrap/>
            <w:vAlign w:val="center"/>
          </w:tcPr>
          <w:p>
            <w:pPr>
              <w:widowControl/>
              <w:snapToGrid w:val="0"/>
              <w:jc w:val="left"/>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喀什地区长河水利水电工程有限责任公司</w:t>
            </w:r>
          </w:p>
        </w:tc>
        <w:tc>
          <w:tcPr>
            <w:tcW w:w="1861" w:type="dxa"/>
            <w:gridSpan w:val="2"/>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208.02</w:t>
            </w:r>
          </w:p>
        </w:tc>
        <w:tc>
          <w:tcPr>
            <w:tcW w:w="1452" w:type="dxa"/>
            <w:gridSpan w:val="2"/>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47.96</w:t>
            </w:r>
          </w:p>
        </w:tc>
        <w:tc>
          <w:tcPr>
            <w:tcW w:w="1843" w:type="dxa"/>
            <w:gridSpan w:val="2"/>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38.66</w:t>
            </w:r>
          </w:p>
        </w:tc>
      </w:tr>
      <w:tr>
        <w:tblPrEx>
          <w:tblCellMar>
            <w:top w:w="0" w:type="dxa"/>
            <w:left w:w="108" w:type="dxa"/>
            <w:bottom w:w="0" w:type="dxa"/>
            <w:right w:w="108" w:type="dxa"/>
          </w:tblCellMar>
        </w:tblPrEx>
        <w:trPr>
          <w:trHeight w:val="204" w:hRule="atLeast"/>
        </w:trPr>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left"/>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第二标段</w:t>
            </w:r>
          </w:p>
        </w:tc>
        <w:tc>
          <w:tcPr>
            <w:tcW w:w="221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jc w:val="left"/>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喀什宝地建筑有限责任公司</w:t>
            </w:r>
          </w:p>
        </w:tc>
        <w:tc>
          <w:tcPr>
            <w:tcW w:w="186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207.70</w:t>
            </w:r>
          </w:p>
        </w:tc>
        <w:tc>
          <w:tcPr>
            <w:tcW w:w="145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76.55</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61.71</w:t>
            </w:r>
          </w:p>
        </w:tc>
      </w:tr>
      <w:tr>
        <w:tblPrEx>
          <w:tblCellMar>
            <w:top w:w="0" w:type="dxa"/>
            <w:left w:w="108" w:type="dxa"/>
            <w:bottom w:w="0" w:type="dxa"/>
            <w:right w:w="108" w:type="dxa"/>
          </w:tblCellMar>
        </w:tblPrEx>
        <w:trPr>
          <w:trHeight w:val="549" w:hRule="atLeast"/>
        </w:trPr>
        <w:tc>
          <w:tcPr>
            <w:tcW w:w="325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总计</w:t>
            </w:r>
          </w:p>
        </w:tc>
        <w:tc>
          <w:tcPr>
            <w:tcW w:w="1861" w:type="dxa"/>
            <w:gridSpan w:val="2"/>
            <w:tcBorders>
              <w:top w:val="single" w:color="auto" w:sz="4" w:space="0"/>
              <w:left w:val="nil"/>
              <w:bottom w:val="single" w:color="auto" w:sz="4" w:space="0"/>
              <w:right w:val="single" w:color="auto" w:sz="4" w:space="0"/>
            </w:tcBorders>
            <w:shd w:val="clear" w:color="auto" w:fill="auto"/>
            <w:noWrap/>
            <w:vAlign w:val="center"/>
          </w:tcPr>
          <w:p>
            <w:pPr>
              <w:snapToGrid w:val="0"/>
              <w:jc w:val="center"/>
              <w:rPr>
                <w:rFonts w:hint="eastAsia"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415.72</w:t>
            </w:r>
          </w:p>
        </w:tc>
        <w:tc>
          <w:tcPr>
            <w:tcW w:w="1452" w:type="dxa"/>
            <w:gridSpan w:val="2"/>
            <w:tcBorders>
              <w:top w:val="single" w:color="auto" w:sz="4" w:space="0"/>
              <w:left w:val="nil"/>
              <w:bottom w:val="single" w:color="auto" w:sz="4" w:space="0"/>
              <w:right w:val="single" w:color="auto" w:sz="4" w:space="0"/>
            </w:tcBorders>
            <w:shd w:val="clear" w:color="auto" w:fill="auto"/>
            <w:noWrap/>
            <w:vAlign w:val="center"/>
          </w:tcPr>
          <w:p>
            <w:pPr>
              <w:snapToGrid w:val="0"/>
              <w:jc w:val="center"/>
              <w:rPr>
                <w:rFonts w:hint="eastAsia"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124.51</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pPr>
              <w:snapToGrid w:val="0"/>
              <w:jc w:val="center"/>
              <w:rPr>
                <w:rFonts w:hint="eastAsia"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100.37</w:t>
            </w:r>
          </w:p>
        </w:tc>
      </w:tr>
      <w:tr>
        <w:tblPrEx>
          <w:tblCellMar>
            <w:top w:w="0" w:type="dxa"/>
            <w:left w:w="108" w:type="dxa"/>
            <w:bottom w:w="0" w:type="dxa"/>
            <w:right w:w="108" w:type="dxa"/>
          </w:tblCellMar>
        </w:tblPrEx>
        <w:trPr>
          <w:trHeight w:val="250" w:hRule="atLeast"/>
          <w:tblHeader/>
        </w:trPr>
        <w:tc>
          <w:tcPr>
            <w:tcW w:w="8414" w:type="dxa"/>
            <w:gridSpan w:val="9"/>
            <w:tcBorders>
              <w:left w:val="nil"/>
              <w:bottom w:val="single" w:color="auto" w:sz="4" w:space="0"/>
              <w:right w:val="nil"/>
            </w:tcBorders>
            <w:shd w:val="clear" w:color="auto" w:fill="auto"/>
            <w:noWrap/>
            <w:vAlign w:val="center"/>
          </w:tcPr>
          <w:p>
            <w:pPr>
              <w:widowControl/>
              <w:snapToGrid w:val="0"/>
              <w:rPr>
                <w:rFonts w:hint="eastAsia" w:ascii="方正仿宋简体" w:hAnsi="方正仿宋简体" w:eastAsia="方正仿宋简体" w:cs="方正仿宋简体"/>
                <w:b/>
                <w:bCs/>
                <w:color w:val="000000"/>
                <w:kern w:val="0"/>
                <w:szCs w:val="21"/>
              </w:rPr>
            </w:pPr>
          </w:p>
          <w:p>
            <w:pPr>
              <w:widowControl/>
              <w:snapToGrid w:val="0"/>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所附税务发票凭证（单位：万元）</w:t>
            </w:r>
          </w:p>
        </w:tc>
      </w:tr>
      <w:tr>
        <w:tblPrEx>
          <w:tblCellMar>
            <w:top w:w="0" w:type="dxa"/>
            <w:left w:w="108" w:type="dxa"/>
            <w:bottom w:w="0" w:type="dxa"/>
            <w:right w:w="108" w:type="dxa"/>
          </w:tblCellMar>
        </w:tblPrEx>
        <w:trPr>
          <w:trHeight w:val="232" w:hRule="atLeast"/>
          <w:tblHeader/>
        </w:trPr>
        <w:tc>
          <w:tcPr>
            <w:tcW w:w="3188" w:type="dxa"/>
            <w:gridSpan w:val="2"/>
            <w:vMerge w:val="restart"/>
            <w:tcBorders>
              <w:top w:val="nil"/>
              <w:left w:val="single" w:color="auto" w:sz="4" w:space="0"/>
              <w:bottom w:val="single" w:color="000000" w:sz="4" w:space="0"/>
              <w:right w:val="single" w:color="auto" w:sz="4" w:space="0"/>
            </w:tcBorders>
            <w:shd w:val="clear" w:color="000000" w:fill="D0CECE"/>
            <w:noWrap/>
            <w:vAlign w:val="center"/>
          </w:tcPr>
          <w:p>
            <w:pPr>
              <w:widowControl/>
              <w:snapToGrid w:val="0"/>
              <w:jc w:val="left"/>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收款方名称</w:t>
            </w:r>
          </w:p>
        </w:tc>
        <w:tc>
          <w:tcPr>
            <w:tcW w:w="1207" w:type="dxa"/>
            <w:gridSpan w:val="2"/>
            <w:vMerge w:val="restart"/>
            <w:tcBorders>
              <w:top w:val="nil"/>
              <w:left w:val="single" w:color="auto" w:sz="4" w:space="0"/>
              <w:bottom w:val="single" w:color="000000" w:sz="4" w:space="0"/>
              <w:right w:val="single" w:color="auto" w:sz="4" w:space="0"/>
            </w:tcBorders>
            <w:shd w:val="clear" w:color="000000" w:fill="D0CECE"/>
            <w:noWrap/>
            <w:vAlign w:val="center"/>
          </w:tcPr>
          <w:p>
            <w:pPr>
              <w:widowControl/>
              <w:snapToGrid w:val="0"/>
              <w:jc w:val="left"/>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项目合同金额</w:t>
            </w:r>
          </w:p>
        </w:tc>
        <w:tc>
          <w:tcPr>
            <w:tcW w:w="1275" w:type="dxa"/>
            <w:gridSpan w:val="2"/>
            <w:vMerge w:val="restart"/>
            <w:tcBorders>
              <w:top w:val="nil"/>
              <w:left w:val="single" w:color="auto" w:sz="4" w:space="0"/>
              <w:bottom w:val="single" w:color="000000" w:sz="4" w:space="0"/>
              <w:right w:val="single" w:color="auto" w:sz="4" w:space="0"/>
            </w:tcBorders>
            <w:shd w:val="clear" w:color="000000" w:fill="D0CECE"/>
            <w:noWrap/>
            <w:vAlign w:val="center"/>
          </w:tcPr>
          <w:p>
            <w:pPr>
              <w:widowControl/>
              <w:snapToGrid w:val="0"/>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发票金额</w:t>
            </w:r>
          </w:p>
        </w:tc>
        <w:tc>
          <w:tcPr>
            <w:tcW w:w="2744" w:type="dxa"/>
            <w:gridSpan w:val="3"/>
            <w:tcBorders>
              <w:top w:val="single" w:color="auto" w:sz="4" w:space="0"/>
              <w:left w:val="nil"/>
              <w:bottom w:val="single" w:color="auto" w:sz="4" w:space="0"/>
              <w:right w:val="single" w:color="auto" w:sz="4" w:space="0"/>
            </w:tcBorders>
            <w:shd w:val="clear" w:color="000000" w:fill="D0CECE"/>
            <w:noWrap/>
            <w:vAlign w:val="center"/>
          </w:tcPr>
          <w:p>
            <w:pPr>
              <w:widowControl/>
              <w:snapToGrid w:val="0"/>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财政直接支付金额/凭证记载金额</w:t>
            </w:r>
          </w:p>
        </w:tc>
      </w:tr>
      <w:tr>
        <w:tblPrEx>
          <w:tblCellMar>
            <w:top w:w="0" w:type="dxa"/>
            <w:left w:w="108" w:type="dxa"/>
            <w:bottom w:w="0" w:type="dxa"/>
            <w:right w:w="108" w:type="dxa"/>
          </w:tblCellMar>
        </w:tblPrEx>
        <w:trPr>
          <w:trHeight w:val="232" w:hRule="atLeast"/>
          <w:tblHeader/>
        </w:trPr>
        <w:tc>
          <w:tcPr>
            <w:tcW w:w="3188" w:type="dxa"/>
            <w:gridSpan w:val="2"/>
            <w:vMerge w:val="continue"/>
            <w:tcBorders>
              <w:top w:val="nil"/>
              <w:left w:val="single" w:color="auto" w:sz="4" w:space="0"/>
              <w:bottom w:val="single" w:color="000000" w:sz="4" w:space="0"/>
              <w:right w:val="single" w:color="auto" w:sz="4" w:space="0"/>
            </w:tcBorders>
            <w:vAlign w:val="center"/>
          </w:tcPr>
          <w:p>
            <w:pPr>
              <w:widowControl/>
              <w:snapToGrid w:val="0"/>
              <w:jc w:val="left"/>
              <w:rPr>
                <w:rFonts w:hint="eastAsia" w:ascii="方正仿宋简体" w:hAnsi="方正仿宋简体" w:eastAsia="方正仿宋简体" w:cs="方正仿宋简体"/>
                <w:b/>
                <w:bCs/>
                <w:color w:val="000000"/>
                <w:kern w:val="0"/>
                <w:szCs w:val="21"/>
              </w:rPr>
            </w:pPr>
          </w:p>
        </w:tc>
        <w:tc>
          <w:tcPr>
            <w:tcW w:w="1207" w:type="dxa"/>
            <w:gridSpan w:val="2"/>
            <w:vMerge w:val="continue"/>
            <w:tcBorders>
              <w:top w:val="nil"/>
              <w:left w:val="single" w:color="auto" w:sz="4" w:space="0"/>
              <w:bottom w:val="single" w:color="000000" w:sz="4" w:space="0"/>
              <w:right w:val="single" w:color="auto" w:sz="4" w:space="0"/>
            </w:tcBorders>
            <w:vAlign w:val="center"/>
          </w:tcPr>
          <w:p>
            <w:pPr>
              <w:widowControl/>
              <w:snapToGrid w:val="0"/>
              <w:jc w:val="left"/>
              <w:rPr>
                <w:rFonts w:hint="eastAsia" w:ascii="方正仿宋简体" w:hAnsi="方正仿宋简体" w:eastAsia="方正仿宋简体" w:cs="方正仿宋简体"/>
                <w:b/>
                <w:bCs/>
                <w:color w:val="000000"/>
                <w:kern w:val="0"/>
                <w:szCs w:val="21"/>
              </w:rPr>
            </w:pPr>
          </w:p>
        </w:tc>
        <w:tc>
          <w:tcPr>
            <w:tcW w:w="1275" w:type="dxa"/>
            <w:gridSpan w:val="2"/>
            <w:vMerge w:val="continue"/>
            <w:tcBorders>
              <w:top w:val="nil"/>
              <w:left w:val="single" w:color="auto" w:sz="4" w:space="0"/>
              <w:bottom w:val="single" w:color="000000" w:sz="4" w:space="0"/>
              <w:right w:val="single" w:color="auto" w:sz="4" w:space="0"/>
            </w:tcBorders>
            <w:vAlign w:val="center"/>
          </w:tcPr>
          <w:p>
            <w:pPr>
              <w:widowControl/>
              <w:snapToGrid w:val="0"/>
              <w:jc w:val="left"/>
              <w:rPr>
                <w:rFonts w:hint="eastAsia" w:ascii="方正仿宋简体" w:hAnsi="方正仿宋简体" w:eastAsia="方正仿宋简体" w:cs="方正仿宋简体"/>
                <w:b/>
                <w:bCs/>
                <w:color w:val="000000"/>
                <w:kern w:val="0"/>
                <w:szCs w:val="21"/>
              </w:rPr>
            </w:pPr>
          </w:p>
        </w:tc>
        <w:tc>
          <w:tcPr>
            <w:tcW w:w="1276" w:type="dxa"/>
            <w:gridSpan w:val="2"/>
            <w:tcBorders>
              <w:top w:val="nil"/>
              <w:left w:val="nil"/>
              <w:bottom w:val="single" w:color="auto" w:sz="4" w:space="0"/>
              <w:right w:val="single" w:color="auto" w:sz="4" w:space="0"/>
            </w:tcBorders>
            <w:shd w:val="clear" w:color="000000" w:fill="D0CECE"/>
            <w:noWrap/>
            <w:vAlign w:val="center"/>
          </w:tcPr>
          <w:p>
            <w:pPr>
              <w:widowControl/>
              <w:snapToGrid w:val="0"/>
              <w:jc w:val="left"/>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2021年2月</w:t>
            </w:r>
          </w:p>
        </w:tc>
        <w:tc>
          <w:tcPr>
            <w:tcW w:w="1468" w:type="dxa"/>
            <w:tcBorders>
              <w:top w:val="nil"/>
              <w:left w:val="nil"/>
              <w:bottom w:val="single" w:color="auto" w:sz="4" w:space="0"/>
              <w:right w:val="single" w:color="auto" w:sz="4" w:space="0"/>
            </w:tcBorders>
            <w:shd w:val="clear" w:color="000000" w:fill="D0CECE"/>
            <w:noWrap/>
            <w:vAlign w:val="center"/>
          </w:tcPr>
          <w:p>
            <w:pPr>
              <w:widowControl/>
              <w:snapToGrid w:val="0"/>
              <w:jc w:val="left"/>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2021年12月</w:t>
            </w:r>
          </w:p>
        </w:tc>
      </w:tr>
      <w:tr>
        <w:tblPrEx>
          <w:tblCellMar>
            <w:top w:w="0" w:type="dxa"/>
            <w:left w:w="108" w:type="dxa"/>
            <w:bottom w:w="0" w:type="dxa"/>
            <w:right w:w="108" w:type="dxa"/>
          </w:tblCellMar>
        </w:tblPrEx>
        <w:trPr>
          <w:trHeight w:val="343" w:hRule="atLeast"/>
          <w:tblHeader/>
        </w:trPr>
        <w:tc>
          <w:tcPr>
            <w:tcW w:w="318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喀什宝地建筑有限责任公司</w:t>
            </w:r>
          </w:p>
        </w:tc>
        <w:tc>
          <w:tcPr>
            <w:tcW w:w="1207" w:type="dxa"/>
            <w:gridSpan w:val="2"/>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207.70</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176.55</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14.84</w:t>
            </w:r>
          </w:p>
        </w:tc>
        <w:tc>
          <w:tcPr>
            <w:tcW w:w="1468"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6.17</w:t>
            </w:r>
          </w:p>
        </w:tc>
      </w:tr>
      <w:tr>
        <w:tblPrEx>
          <w:tblCellMar>
            <w:top w:w="0" w:type="dxa"/>
            <w:left w:w="108" w:type="dxa"/>
            <w:bottom w:w="0" w:type="dxa"/>
            <w:right w:w="108" w:type="dxa"/>
          </w:tblCellMar>
        </w:tblPrEx>
        <w:trPr>
          <w:trHeight w:val="232" w:hRule="atLeast"/>
          <w:tblHeader/>
        </w:trPr>
        <w:tc>
          <w:tcPr>
            <w:tcW w:w="318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喀什地区长河水利水电工程有限责任公司</w:t>
            </w:r>
          </w:p>
        </w:tc>
        <w:tc>
          <w:tcPr>
            <w:tcW w:w="1207" w:type="dxa"/>
            <w:gridSpan w:val="2"/>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323.35</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166.41</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16.40</w:t>
            </w:r>
          </w:p>
        </w:tc>
        <w:tc>
          <w:tcPr>
            <w:tcW w:w="1468"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6.87</w:t>
            </w:r>
          </w:p>
        </w:tc>
      </w:tr>
      <w:tr>
        <w:tblPrEx>
          <w:tblCellMar>
            <w:top w:w="0" w:type="dxa"/>
            <w:left w:w="108" w:type="dxa"/>
            <w:bottom w:w="0" w:type="dxa"/>
            <w:right w:w="108" w:type="dxa"/>
          </w:tblCellMar>
        </w:tblPrEx>
        <w:trPr>
          <w:trHeight w:val="298" w:hRule="atLeast"/>
          <w:tblHeader/>
        </w:trPr>
        <w:tc>
          <w:tcPr>
            <w:tcW w:w="318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石河子市金泉凿井有限责任公司</w:t>
            </w:r>
          </w:p>
        </w:tc>
        <w:tc>
          <w:tcPr>
            <w:tcW w:w="1207" w:type="dxa"/>
            <w:gridSpan w:val="2"/>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413.93</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206.97</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21.74</w:t>
            </w:r>
          </w:p>
        </w:tc>
        <w:tc>
          <w:tcPr>
            <w:tcW w:w="1468"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9.04</w:t>
            </w:r>
          </w:p>
        </w:tc>
      </w:tr>
      <w:tr>
        <w:tblPrEx>
          <w:tblCellMar>
            <w:top w:w="0" w:type="dxa"/>
            <w:left w:w="108" w:type="dxa"/>
            <w:bottom w:w="0" w:type="dxa"/>
            <w:right w:w="108" w:type="dxa"/>
          </w:tblCellMar>
        </w:tblPrEx>
        <w:trPr>
          <w:trHeight w:val="417" w:hRule="atLeast"/>
          <w:tblHeader/>
        </w:trPr>
        <w:tc>
          <w:tcPr>
            <w:tcW w:w="318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喀什广建集团有限责任公司</w:t>
            </w:r>
          </w:p>
        </w:tc>
        <w:tc>
          <w:tcPr>
            <w:tcW w:w="1207" w:type="dxa"/>
            <w:gridSpan w:val="2"/>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133.64</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120.27</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7.02</w:t>
            </w:r>
          </w:p>
        </w:tc>
        <w:tc>
          <w:tcPr>
            <w:tcW w:w="1468"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2.92</w:t>
            </w:r>
          </w:p>
        </w:tc>
      </w:tr>
      <w:tr>
        <w:tblPrEx>
          <w:tblCellMar>
            <w:top w:w="0" w:type="dxa"/>
            <w:left w:w="108" w:type="dxa"/>
            <w:bottom w:w="0" w:type="dxa"/>
            <w:right w:w="108" w:type="dxa"/>
          </w:tblCellMar>
        </w:tblPrEx>
        <w:trPr>
          <w:trHeight w:val="404" w:hRule="atLeast"/>
          <w:tblHeader/>
        </w:trPr>
        <w:tc>
          <w:tcPr>
            <w:tcW w:w="318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合计</w:t>
            </w:r>
          </w:p>
        </w:tc>
        <w:tc>
          <w:tcPr>
            <w:tcW w:w="1207" w:type="dxa"/>
            <w:gridSpan w:val="2"/>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b/>
                <w:bCs/>
                <w:color w:val="000000"/>
                <w:kern w:val="0"/>
                <w:szCs w:val="21"/>
              </w:rPr>
            </w:pPr>
            <w:bookmarkStart w:id="0" w:name="_Hlk130588606"/>
            <w:r>
              <w:rPr>
                <w:rFonts w:hint="eastAsia" w:ascii="方正仿宋简体" w:hAnsi="方正仿宋简体" w:eastAsia="方正仿宋简体" w:cs="方正仿宋简体"/>
                <w:b/>
                <w:bCs/>
                <w:color w:val="000000"/>
                <w:kern w:val="0"/>
                <w:szCs w:val="21"/>
              </w:rPr>
              <w:t>1,078.6</w:t>
            </w:r>
            <w:bookmarkEnd w:id="0"/>
            <w:r>
              <w:rPr>
                <w:rFonts w:hint="eastAsia" w:ascii="方正仿宋简体" w:hAnsi="方正仿宋简体" w:eastAsia="方正仿宋简体" w:cs="方正仿宋简体"/>
                <w:b/>
                <w:bCs/>
                <w:color w:val="000000"/>
                <w:kern w:val="0"/>
                <w:szCs w:val="21"/>
              </w:rPr>
              <w:t>2</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670.20</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60</w:t>
            </w:r>
          </w:p>
        </w:tc>
        <w:tc>
          <w:tcPr>
            <w:tcW w:w="1468"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25</w:t>
            </w:r>
          </w:p>
        </w:tc>
      </w:tr>
    </w:tbl>
    <w:p>
      <w:pPr>
        <w:pStyle w:val="4"/>
        <w:spacing w:line="520" w:lineRule="exact"/>
        <w:ind w:firstLine="602"/>
        <w:rPr>
          <w:rFonts w:hint="eastAsia" w:ascii="方正仿宋简体" w:hAnsi="方正仿宋简体" w:eastAsia="方正仿宋简体" w:cs="方正仿宋简体"/>
          <w:szCs w:val="30"/>
        </w:rPr>
      </w:pPr>
      <w:r>
        <w:rPr>
          <w:rFonts w:hint="eastAsia" w:ascii="方正仿宋简体" w:hAnsi="方正仿宋简体" w:eastAsia="方正仿宋简体" w:cs="方正仿宋简体"/>
          <w:szCs w:val="30"/>
          <w:lang w:eastAsia="zh-CN"/>
        </w:rPr>
        <w:t>六</w:t>
      </w:r>
      <w:r>
        <w:rPr>
          <w:rFonts w:hint="eastAsia" w:ascii="方正仿宋简体" w:hAnsi="方正仿宋简体" w:eastAsia="方正仿宋简体" w:cs="方正仿宋简体"/>
          <w:szCs w:val="30"/>
        </w:rPr>
        <w:t>、</w:t>
      </w:r>
      <w:r>
        <w:rPr>
          <w:rFonts w:hint="eastAsia" w:ascii="方正仿宋简体" w:hAnsi="方正仿宋简体" w:eastAsia="方正仿宋简体" w:cs="方正仿宋简体"/>
          <w:szCs w:val="30"/>
          <w:lang w:eastAsia="zh-CN"/>
        </w:rPr>
        <w:t>财政监督检查</w:t>
      </w:r>
      <w:r>
        <w:rPr>
          <w:rFonts w:hint="eastAsia" w:ascii="方正仿宋简体" w:hAnsi="方正仿宋简体" w:eastAsia="方正仿宋简体" w:cs="方正仿宋简体"/>
          <w:szCs w:val="30"/>
        </w:rPr>
        <w:t>建议</w:t>
      </w:r>
    </w:p>
    <w:p>
      <w:pPr>
        <w:spacing w:line="520" w:lineRule="exact"/>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一）为有效防范和预防腐败，被检查单位需遵循《中华人民共和国会计法》，强化单位内部监督稽核制度，会计岗位和出纳岗位应由不同人员担任，还需做到岗位职责清晰，授权明确合理，不相容职务相互分离，相互制约，防范风险。</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（二）被检查单位应严格执行政府会计准则，对纳入财政预算内的收入和支出做预算会计；正确使用会计科目，准确反映会计信息。</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三）强化财务管理在各项工作的核心作用，充分发挥会计在管理中的监督作用，拒绝不真实、不合规、不完整的原始凭证入账核算。建议被检查单位梳理每项经济业务核算时应当具备的各类证明单据，确保核算有充分的做账依据，同时加强对原始凭证完整性的审核及记账凭证与所附单据之间关联性的审核。</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（四）被检查单位固定资产折旧明细账与会计凭证记载核对不一致，经查明原因为电子账和纸质凭证未同步更新导致的差异，建议被检查单位及时进行自查，确保电子账务与纸质凭证记载的内容保持一致。</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五）被检查单位应建立健全内部财务审批制度，费用支出严格遵循审批程序，经领导批准、经办人签字、会计审核后方可由出纳进行资金支付；规范采购程序，保留完整的采购记录，如审批单、采购合同、税务发票、验收证明等材料。</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（六）被检查单位应重点关注超过一年以上未清理的往来账项，清晰了解资金往来情况，及时偿还债务，追回借款，避免长期挂账造成呆账，杜绝出现个人长期借用公款不及时归还的行为。</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责令</w:t>
      </w:r>
      <w:r>
        <w:rPr>
          <w:rFonts w:hint="eastAsia" w:ascii="方正仿宋简体" w:hAnsi="方正仿宋简体" w:eastAsia="方正仿宋简体" w:cs="方正仿宋简体"/>
          <w:sz w:val="30"/>
          <w:szCs w:val="30"/>
        </w:rPr>
        <w:t>疏勒县发展与改革委员会（疏勒县粮食和物资储备局）</w:t>
      </w:r>
      <w:r>
        <w:rPr>
          <w:rFonts w:hint="eastAsia" w:ascii="方正仿宋简体" w:hAnsi="方正仿宋简体" w:eastAsia="方正仿宋简体" w:cs="方正仿宋简体"/>
          <w:sz w:val="32"/>
          <w:szCs w:val="32"/>
        </w:rPr>
        <w:t>尽快组织有关人员，及时对检查发现的问题进行纠正和整改</w:t>
      </w:r>
      <w:r>
        <w:rPr>
          <w:rFonts w:hint="eastAsia" w:ascii="方正仿宋简体" w:hAnsi="方正仿宋简体" w:eastAsia="方正仿宋简体" w:cs="方正仿宋简体"/>
          <w:sz w:val="32"/>
          <w:szCs w:val="32"/>
          <w:lang w:eastAsia="zh-CN"/>
        </w:rPr>
        <w:t>，并将整改完成情况报财政局</w:t>
      </w:r>
      <w:r>
        <w:rPr>
          <w:rFonts w:hint="eastAsia" w:ascii="方正仿宋简体" w:hAnsi="方正仿宋简体" w:eastAsia="方正仿宋简体" w:cs="方正仿宋简体"/>
          <w:sz w:val="32"/>
          <w:szCs w:val="32"/>
        </w:rPr>
        <w:t>。</w:t>
      </w:r>
    </w:p>
    <w:p>
      <w:pPr>
        <w:pStyle w:val="2"/>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疏勒县财政局</w:t>
      </w:r>
    </w:p>
    <w:p>
      <w:pPr>
        <w:spacing w:line="600" w:lineRule="exact"/>
        <w:ind w:firstLine="5440" w:firstLineChars="17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2023</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日</w:t>
      </w:r>
    </w:p>
    <w:p>
      <w:pPr>
        <w:rPr>
          <w:rFonts w:hint="eastAsia" w:ascii="方正仿宋简体" w:hAnsi="方正仿宋简体" w:eastAsia="方正仿宋简体" w:cs="方正仿宋简体"/>
          <w:sz w:val="32"/>
          <w:szCs w:val="32"/>
        </w:rPr>
      </w:pPr>
    </w:p>
    <w:sectPr>
      <w:footerReference r:id="rId3" w:type="default"/>
      <w:footerReference r:id="rId4" w:type="even"/>
      <w:pgSz w:w="11906" w:h="16838"/>
      <w:pgMar w:top="1418" w:right="1418" w:bottom="1134" w:left="1701" w:header="907" w:footer="907" w:gutter="0"/>
      <w:pgBorders>
        <w:top w:val="none" w:sz="0" w:space="0"/>
        <w:left w:val="none" w:sz="0" w:space="0"/>
        <w:bottom w:val="none" w:sz="0" w:space="0"/>
        <w:right w:val="none" w:sz="0" w:space="0"/>
      </w:pgBorders>
      <w:pgNumType w:fmt="decimal" w:start="1"/>
      <w:cols w:space="720" w:num="1"/>
      <w:docGrid w:type="lines" w:linePitch="6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兰米粗楷简体">
    <w:altName w:val="楷体_GB2312"/>
    <w:panose1 w:val="02000503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hint="default" w:ascii="隶书" w:eastAsia="隶书"/>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9"/>
      </w:rPr>
    </w:pPr>
    <w:r>
      <w:fldChar w:fldCharType="begin"/>
    </w:r>
    <w:r>
      <w:rPr>
        <w:rStyle w:val="9"/>
      </w:rPr>
      <w:instrText xml:space="preserve">PAGE  </w:instrText>
    </w:r>
    <w:r>
      <w:fldChar w:fldCharType="separate"/>
    </w:r>
    <w:r>
      <w:rPr>
        <w:rStyle w:val="9"/>
      </w:rPr>
      <w:t>１</w: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Zjg1MWM5ZWNkZWYyZjVjMmM2MTQwNTVlNzU0ZjAifQ=="/>
  </w:docVars>
  <w:rsids>
    <w:rsidRoot w:val="6C9A4B21"/>
    <w:rsid w:val="04A03C9D"/>
    <w:rsid w:val="06343920"/>
    <w:rsid w:val="110814DB"/>
    <w:rsid w:val="347B7427"/>
    <w:rsid w:val="3F122481"/>
    <w:rsid w:val="432A5FEB"/>
    <w:rsid w:val="5B4D3D6F"/>
    <w:rsid w:val="60E85719"/>
    <w:rsid w:val="61280ADA"/>
    <w:rsid w:val="6C9A4B21"/>
    <w:rsid w:val="6D264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ind w:firstLine="200" w:firstLineChars="200"/>
      <w:outlineLvl w:val="0"/>
    </w:pPr>
    <w:rPr>
      <w:rFonts w:eastAsia="仿宋"/>
      <w:b/>
      <w:bCs/>
      <w:kern w:val="44"/>
      <w:sz w:val="30"/>
      <w:szCs w:val="44"/>
    </w:rPr>
  </w:style>
  <w:style w:type="paragraph" w:styleId="4">
    <w:name w:val="heading 2"/>
    <w:basedOn w:val="1"/>
    <w:next w:val="1"/>
    <w:qFormat/>
    <w:uiPriority w:val="0"/>
    <w:pPr>
      <w:keepNext/>
      <w:keepLines/>
      <w:ind w:firstLine="200" w:firstLineChars="200"/>
      <w:outlineLvl w:val="1"/>
    </w:pPr>
    <w:rPr>
      <w:rFonts w:ascii="Arial" w:hAnsi="Arial" w:eastAsia="仿宋"/>
      <w:b/>
      <w:bCs/>
      <w:sz w:val="30"/>
      <w:szCs w:val="32"/>
    </w:rPr>
  </w:style>
  <w:style w:type="paragraph" w:styleId="2">
    <w:name w:val="heading 3"/>
    <w:basedOn w:val="1"/>
    <w:next w:val="1"/>
    <w:qFormat/>
    <w:uiPriority w:val="0"/>
    <w:pPr>
      <w:keepNext/>
      <w:keepLines/>
      <w:ind w:firstLine="200" w:firstLineChars="200"/>
      <w:outlineLvl w:val="2"/>
    </w:pPr>
    <w:rPr>
      <w:rFonts w:eastAsia="仿宋"/>
      <w:b/>
      <w:sz w:val="3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Indent 2"/>
    <w:basedOn w:val="1"/>
    <w:qFormat/>
    <w:uiPriority w:val="0"/>
    <w:pPr>
      <w:spacing w:before="50" w:beforeLines="0" w:after="50" w:afterLines="0"/>
      <w:ind w:firstLine="560"/>
    </w:pPr>
    <w:rPr>
      <w:rFonts w:eastAsia="仿宋_GB2312"/>
      <w:sz w:val="28"/>
      <w:szCs w:val="20"/>
    </w:rPr>
  </w:style>
  <w:style w:type="paragraph" w:styleId="6">
    <w:name w:val="footer"/>
    <w:basedOn w:val="1"/>
    <w:qFormat/>
    <w:uiPriority w:val="0"/>
    <w:pPr>
      <w:tabs>
        <w:tab w:val="center" w:pos="4153"/>
        <w:tab w:val="right" w:pos="8306"/>
      </w:tabs>
      <w:snapToGrid w:val="0"/>
      <w:jc w:val="left"/>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4306</Words>
  <Characters>5339</Characters>
  <Lines>0</Lines>
  <Paragraphs>0</Paragraphs>
  <TotalTime>0</TotalTime>
  <ScaleCrop>false</ScaleCrop>
  <LinksUpToDate>false</LinksUpToDate>
  <CharactersWithSpaces>5373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2023-05-09T04:07:00Z</dcterms:created>
  <dc:creator>Administrator</dc:creator>
  <cp:lastModifiedBy>Administrator</cp:lastModifiedBy>
  <dcterms:modified xsi:type="dcterms:W3CDTF">2023-05-09T10:57:33Z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00E78D06F683438881919721738DC2F6_11</vt:lpwstr>
  </property>
</Properties>
</file>